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1A0A" w14:textId="6FD77862" w:rsidR="005A73E9" w:rsidRDefault="005A73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material</w:t>
      </w:r>
    </w:p>
    <w:p w14:paraId="03A001A7" w14:textId="77777777" w:rsidR="0064762A" w:rsidRDefault="0064762A">
      <w:pPr>
        <w:rPr>
          <w:rFonts w:ascii="Times New Roman" w:hAnsi="Times New Roman"/>
          <w:b/>
        </w:rPr>
      </w:pPr>
    </w:p>
    <w:p w14:paraId="615878AA" w14:textId="4A745B97" w:rsidR="0055751F" w:rsidRPr="002838C3" w:rsidRDefault="00A676DD" w:rsidP="00A35F59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 w:rsidR="002A29DD" w:rsidRPr="002838C3">
        <w:rPr>
          <w:rFonts w:ascii="Times New Roman" w:hAnsi="Times New Roman"/>
          <w:b/>
        </w:rPr>
        <w:t>Table S1</w:t>
      </w:r>
      <w:r>
        <w:rPr>
          <w:rFonts w:ascii="Times New Roman" w:hAnsi="Times New Roman"/>
          <w:b/>
        </w:rPr>
        <w:t>.</w:t>
      </w:r>
      <w:r w:rsidR="002838C3" w:rsidRPr="002838C3">
        <w:rPr>
          <w:rFonts w:ascii="Times New Roman" w:hAnsi="Times New Roman"/>
          <w:b/>
        </w:rPr>
        <w:t xml:space="preserve"> Patient eligibility</w:t>
      </w:r>
    </w:p>
    <w:tbl>
      <w:tblPr>
        <w:tblStyle w:val="GridTable4"/>
        <w:tblW w:w="9190" w:type="dxa"/>
        <w:tblInd w:w="108" w:type="dxa"/>
        <w:tblLook w:val="0420" w:firstRow="1" w:lastRow="0" w:firstColumn="0" w:lastColumn="0" w:noHBand="0" w:noVBand="1"/>
      </w:tblPr>
      <w:tblGrid>
        <w:gridCol w:w="4595"/>
        <w:gridCol w:w="4595"/>
      </w:tblGrid>
      <w:tr w:rsidR="002A0221" w:rsidRPr="002838C3" w14:paraId="5624301C" w14:textId="77777777" w:rsidTr="000D3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4595" w:type="dxa"/>
          </w:tcPr>
          <w:p w14:paraId="1A1A079F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Inclusion Criteria</w:t>
            </w:r>
          </w:p>
        </w:tc>
        <w:tc>
          <w:tcPr>
            <w:tcW w:w="4595" w:type="dxa"/>
          </w:tcPr>
          <w:p w14:paraId="73A32DE2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Exclusion Criteria</w:t>
            </w:r>
          </w:p>
        </w:tc>
      </w:tr>
      <w:tr w:rsidR="002A0221" w:rsidRPr="002838C3" w14:paraId="3F09968D" w14:textId="77777777" w:rsidTr="000D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4595" w:type="dxa"/>
          </w:tcPr>
          <w:p w14:paraId="4556897F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A diagnosis of synovial sarcoma and myxoid/ round cell liposarcoma</w:t>
            </w:r>
          </w:p>
        </w:tc>
        <w:tc>
          <w:tcPr>
            <w:tcW w:w="4595" w:type="dxa"/>
          </w:tcPr>
          <w:p w14:paraId="23E5B97C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Active infection requiring oral or intravenous antibiotics</w:t>
            </w:r>
          </w:p>
        </w:tc>
      </w:tr>
      <w:tr w:rsidR="002A0221" w:rsidRPr="002838C3" w14:paraId="06700305" w14:textId="77777777" w:rsidTr="000D3D75">
        <w:trPr>
          <w:trHeight w:val="1209"/>
        </w:trPr>
        <w:tc>
          <w:tcPr>
            <w:tcW w:w="4595" w:type="dxa"/>
          </w:tcPr>
          <w:p w14:paraId="6DE16427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Male or female subject, 18 or older</w:t>
            </w:r>
          </w:p>
        </w:tc>
        <w:tc>
          <w:tcPr>
            <w:tcW w:w="4595" w:type="dxa"/>
          </w:tcPr>
          <w:p w14:paraId="7ACC3090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Pregnant women, nursing mothers, men or women of reproductive ability who are unwilling to use effective contraception or abstinence. Women of childbearing potential must have a negative pregnancy test within two weeks prior to entry.</w:t>
            </w:r>
          </w:p>
        </w:tc>
      </w:tr>
      <w:tr w:rsidR="002A0221" w:rsidRPr="002838C3" w14:paraId="0F009804" w14:textId="77777777" w:rsidTr="000D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tcW w:w="4595" w:type="dxa"/>
          </w:tcPr>
          <w:p w14:paraId="1230904A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A superficial tumor easily and safely accessible for a research biopsy or are being considered for resection or biopsy of their tumor as part of standard of care and have recent pathology.</w:t>
            </w:r>
          </w:p>
        </w:tc>
        <w:tc>
          <w:tcPr>
            <w:tcW w:w="4595" w:type="dxa"/>
          </w:tcPr>
          <w:p w14:paraId="6C1C2692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Serum creatinine &gt; 1.5 mg/dL or Glomerular Filtration Rate &lt;50.</w:t>
            </w:r>
          </w:p>
        </w:tc>
      </w:tr>
      <w:tr w:rsidR="002A0221" w:rsidRPr="002838C3" w14:paraId="721062D7" w14:textId="77777777" w:rsidTr="000D3D75">
        <w:trPr>
          <w:trHeight w:val="702"/>
        </w:trPr>
        <w:tc>
          <w:tcPr>
            <w:tcW w:w="4595" w:type="dxa"/>
          </w:tcPr>
          <w:p w14:paraId="24D4975D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838C3">
              <w:rPr>
                <w:rFonts w:ascii="Times New Roman" w:hAnsi="Times New Roman"/>
                <w:sz w:val="20"/>
              </w:rPr>
              <w:t>Zubrod</w:t>
            </w:r>
            <w:proofErr w:type="spellEnd"/>
            <w:r w:rsidRPr="002838C3">
              <w:rPr>
                <w:rFonts w:ascii="Times New Roman" w:hAnsi="Times New Roman"/>
                <w:sz w:val="20"/>
              </w:rPr>
              <w:t xml:space="preserve"> performance status of ‘0-2’ or </w:t>
            </w:r>
            <w:proofErr w:type="spellStart"/>
            <w:r w:rsidRPr="002838C3">
              <w:rPr>
                <w:rFonts w:ascii="Times New Roman" w:hAnsi="Times New Roman"/>
                <w:sz w:val="20"/>
              </w:rPr>
              <w:t>Karnofsky</w:t>
            </w:r>
            <w:proofErr w:type="spellEnd"/>
            <w:r w:rsidRPr="002838C3">
              <w:rPr>
                <w:rFonts w:ascii="Times New Roman" w:hAnsi="Times New Roman"/>
                <w:sz w:val="20"/>
              </w:rPr>
              <w:t xml:space="preserve"> score &gt;60%. (Appendix A)</w:t>
            </w:r>
          </w:p>
        </w:tc>
        <w:tc>
          <w:tcPr>
            <w:tcW w:w="4595" w:type="dxa"/>
          </w:tcPr>
          <w:p w14:paraId="0ABF9052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Significant hepatic dysfunction (SGOT &gt; 150 IU or &gt; 3x upper limit of normal; bilirubin &gt; 1.6 mg/dL; prothrombin time &gt; 1.5 x control).</w:t>
            </w:r>
          </w:p>
        </w:tc>
      </w:tr>
      <w:tr w:rsidR="002A0221" w:rsidRPr="002838C3" w14:paraId="61C7D824" w14:textId="77777777" w:rsidTr="000D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4595" w:type="dxa"/>
          </w:tcPr>
          <w:p w14:paraId="79ACD620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No treatment with systemic anti-cancer treatment (chemotherapy or biologics) within 2 weeks of starting interferon gamma.</w:t>
            </w:r>
          </w:p>
        </w:tc>
        <w:tc>
          <w:tcPr>
            <w:tcW w:w="4595" w:type="dxa"/>
          </w:tcPr>
          <w:p w14:paraId="769F8BEC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Known CNS metastasis. Once CNS metastasis have been treated these patients may participate if they are otherwise good trial candidates.</w:t>
            </w:r>
          </w:p>
        </w:tc>
      </w:tr>
      <w:tr w:rsidR="002A0221" w:rsidRPr="002838C3" w14:paraId="58B26933" w14:textId="77777777" w:rsidTr="000D3D75">
        <w:trPr>
          <w:trHeight w:val="721"/>
        </w:trPr>
        <w:tc>
          <w:tcPr>
            <w:tcW w:w="4595" w:type="dxa"/>
          </w:tcPr>
          <w:p w14:paraId="4ABBBD36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Patients with a history of coronary artery disease must have had a normal stress test within 180 days of starting IFNγ.</w:t>
            </w:r>
          </w:p>
        </w:tc>
        <w:tc>
          <w:tcPr>
            <w:tcW w:w="4595" w:type="dxa"/>
          </w:tcPr>
          <w:p w14:paraId="1F569C2F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Current treatment with steroids (must be discontinued 1 week before starting IFNγ).</w:t>
            </w:r>
          </w:p>
        </w:tc>
      </w:tr>
      <w:tr w:rsidR="002A0221" w:rsidRPr="002838C3" w14:paraId="27C0D4B5" w14:textId="77777777" w:rsidTr="000D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4595" w:type="dxa"/>
          </w:tcPr>
          <w:p w14:paraId="4F7AB739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Must have been off metformin for at least 2 weeks prior to starting IFNγ.</w:t>
            </w:r>
          </w:p>
        </w:tc>
        <w:tc>
          <w:tcPr>
            <w:tcW w:w="4595" w:type="dxa"/>
          </w:tcPr>
          <w:p w14:paraId="31D3DC8D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Hemoglobin A1C &gt;8.5%.</w:t>
            </w:r>
          </w:p>
        </w:tc>
      </w:tr>
      <w:tr w:rsidR="002A0221" w:rsidRPr="002838C3" w14:paraId="5B9D7D3C" w14:textId="77777777" w:rsidTr="000D3D75">
        <w:trPr>
          <w:trHeight w:val="721"/>
        </w:trPr>
        <w:tc>
          <w:tcPr>
            <w:tcW w:w="4595" w:type="dxa"/>
          </w:tcPr>
          <w:p w14:paraId="2BACE22C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No use of full dose, therapeutic anti-coagulation. However, low dose warfarin for catheter prophylaxis or acetylsalicylic acid are acceptable.</w:t>
            </w:r>
          </w:p>
        </w:tc>
        <w:tc>
          <w:tcPr>
            <w:tcW w:w="4595" w:type="dxa"/>
          </w:tcPr>
          <w:p w14:paraId="226D713A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Uncontrolled hypertension, BP &gt;150/100mmHg. Patients with elevated BP may enroll once BP is corrected.</w:t>
            </w:r>
          </w:p>
        </w:tc>
      </w:tr>
      <w:tr w:rsidR="002A0221" w:rsidRPr="002838C3" w14:paraId="49DAB2F7" w14:textId="77777777" w:rsidTr="000D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4595" w:type="dxa"/>
          </w:tcPr>
          <w:p w14:paraId="43DA455B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No thrombotic event within 6 months (deep vein thrombosis, pulmonary embolism) of starting IFNγ.</w:t>
            </w:r>
          </w:p>
        </w:tc>
        <w:tc>
          <w:tcPr>
            <w:tcW w:w="4595" w:type="dxa"/>
          </w:tcPr>
          <w:p w14:paraId="27A396BE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NY-ESO-1 specific T cell therapy within 1 year of starting on the trial.</w:t>
            </w:r>
          </w:p>
        </w:tc>
      </w:tr>
      <w:tr w:rsidR="002A0221" w:rsidRPr="002838C3" w14:paraId="18D5F704" w14:textId="77777777" w:rsidTr="000D3D75">
        <w:trPr>
          <w:trHeight w:val="548"/>
        </w:trPr>
        <w:tc>
          <w:tcPr>
            <w:tcW w:w="4595" w:type="dxa"/>
          </w:tcPr>
          <w:p w14:paraId="6610938E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5" w:type="dxa"/>
          </w:tcPr>
          <w:p w14:paraId="24F9A905" w14:textId="2BFE924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New (&lt;6 months) cardiac arrhy</w:t>
            </w:r>
            <w:r w:rsidR="002838C3">
              <w:rPr>
                <w:rFonts w:ascii="Times New Roman" w:hAnsi="Times New Roman"/>
                <w:sz w:val="20"/>
              </w:rPr>
              <w:t xml:space="preserve">thmia (EKG should be performed </w:t>
            </w:r>
            <w:r w:rsidRPr="002838C3">
              <w:rPr>
                <w:rFonts w:ascii="Times New Roman" w:hAnsi="Times New Roman"/>
                <w:sz w:val="20"/>
              </w:rPr>
              <w:t>within 2 weeks of starting IFNγ.</w:t>
            </w:r>
          </w:p>
        </w:tc>
      </w:tr>
      <w:tr w:rsidR="002A0221" w:rsidRPr="002838C3" w14:paraId="755E8032" w14:textId="77777777" w:rsidTr="000D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4595" w:type="dxa"/>
          </w:tcPr>
          <w:p w14:paraId="637211E4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5" w:type="dxa"/>
          </w:tcPr>
          <w:p w14:paraId="2A2555EF" w14:textId="77777777" w:rsidR="00F33E37" w:rsidRPr="002838C3" w:rsidRDefault="00F33E37">
            <w:pPr>
              <w:rPr>
                <w:rFonts w:ascii="Times New Roman" w:hAnsi="Times New Roman"/>
                <w:sz w:val="20"/>
              </w:rPr>
            </w:pPr>
            <w:r w:rsidRPr="002838C3">
              <w:rPr>
                <w:rFonts w:ascii="Times New Roman" w:hAnsi="Times New Roman"/>
                <w:sz w:val="20"/>
              </w:rPr>
              <w:t>History of clinically significant congestive heart failure.</w:t>
            </w:r>
          </w:p>
        </w:tc>
      </w:tr>
    </w:tbl>
    <w:p w14:paraId="4568FE37" w14:textId="77777777" w:rsidR="00F33E37" w:rsidRPr="002838C3" w:rsidRDefault="00F33E37">
      <w:pPr>
        <w:rPr>
          <w:rFonts w:ascii="Times New Roman" w:hAnsi="Times New Roman"/>
        </w:rPr>
      </w:pPr>
    </w:p>
    <w:p w14:paraId="67ED6E27" w14:textId="12CB8B0A" w:rsidR="002A29DD" w:rsidRPr="002838C3" w:rsidRDefault="002A29DD">
      <w:pPr>
        <w:rPr>
          <w:rFonts w:ascii="Times New Roman" w:hAnsi="Times New Roman"/>
          <w:b/>
        </w:rPr>
      </w:pPr>
    </w:p>
    <w:p w14:paraId="79EF8F13" w14:textId="77777777" w:rsidR="002A0221" w:rsidRDefault="002A0221" w:rsidP="000C7018">
      <w:pPr>
        <w:rPr>
          <w:rFonts w:ascii="Times New Roman" w:hAnsi="Times New Roman"/>
          <w:b/>
        </w:rPr>
      </w:pPr>
    </w:p>
    <w:p w14:paraId="5EA505CC" w14:textId="77777777" w:rsidR="00A676DD" w:rsidRDefault="00A676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2E93907" w14:textId="6CEA97EE" w:rsidR="00A676DD" w:rsidRPr="00A35F59" w:rsidRDefault="00A676DD" w:rsidP="00A676DD">
      <w:pPr>
        <w:spacing w:line="480" w:lineRule="auto"/>
        <w:jc w:val="both"/>
        <w:rPr>
          <w:b/>
          <w:bCs/>
          <w:u w:val="single"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r w:rsidRPr="002838C3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>2.</w:t>
      </w:r>
      <w:r w:rsidRPr="002838C3">
        <w:rPr>
          <w:rFonts w:ascii="Times New Roman" w:hAnsi="Times New Roman"/>
          <w:b/>
        </w:rPr>
        <w:t xml:space="preserve"> </w:t>
      </w:r>
      <w:r w:rsidRPr="00A35F59">
        <w:rPr>
          <w:b/>
          <w:bCs/>
        </w:rPr>
        <w:t>Flow cytometry multicolor panel:</w:t>
      </w:r>
    </w:p>
    <w:tbl>
      <w:tblPr>
        <w:tblStyle w:val="GridTable4"/>
        <w:tblW w:w="6666" w:type="dxa"/>
        <w:tblInd w:w="108" w:type="dxa"/>
        <w:tblLook w:val="0420" w:firstRow="1" w:lastRow="0" w:firstColumn="0" w:lastColumn="0" w:noHBand="0" w:noVBand="1"/>
      </w:tblPr>
      <w:tblGrid>
        <w:gridCol w:w="2196"/>
        <w:gridCol w:w="1531"/>
        <w:gridCol w:w="1095"/>
        <w:gridCol w:w="1844"/>
      </w:tblGrid>
      <w:tr w:rsidR="00A676DD" w:rsidRPr="002838C3" w14:paraId="470DDBF9" w14:textId="77777777" w:rsidTr="00077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2196" w:type="dxa"/>
          </w:tcPr>
          <w:p w14:paraId="483D7B16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Marker</w:t>
            </w:r>
          </w:p>
        </w:tc>
        <w:tc>
          <w:tcPr>
            <w:tcW w:w="1531" w:type="dxa"/>
          </w:tcPr>
          <w:p w14:paraId="79A7E803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Color</w:t>
            </w:r>
          </w:p>
        </w:tc>
        <w:tc>
          <w:tcPr>
            <w:tcW w:w="1095" w:type="dxa"/>
          </w:tcPr>
          <w:p w14:paraId="397CB6F2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Clone</w:t>
            </w:r>
          </w:p>
        </w:tc>
        <w:tc>
          <w:tcPr>
            <w:tcW w:w="1844" w:type="dxa"/>
          </w:tcPr>
          <w:p w14:paraId="0083457F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Company</w:t>
            </w:r>
          </w:p>
        </w:tc>
      </w:tr>
      <w:tr w:rsidR="00A676DD" w:rsidRPr="002838C3" w14:paraId="17E19B17" w14:textId="77777777" w:rsidTr="0007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96" w:type="dxa"/>
          </w:tcPr>
          <w:p w14:paraId="79BCBA31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CD3</w:t>
            </w:r>
          </w:p>
        </w:tc>
        <w:tc>
          <w:tcPr>
            <w:tcW w:w="1531" w:type="dxa"/>
          </w:tcPr>
          <w:p w14:paraId="583FF431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PerCP/Cy5.5</w:t>
            </w:r>
          </w:p>
        </w:tc>
        <w:tc>
          <w:tcPr>
            <w:tcW w:w="1095" w:type="dxa"/>
          </w:tcPr>
          <w:p w14:paraId="2887E886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SK7</w:t>
            </w:r>
          </w:p>
        </w:tc>
        <w:tc>
          <w:tcPr>
            <w:tcW w:w="1844" w:type="dxa"/>
          </w:tcPr>
          <w:p w14:paraId="00F025AA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BioLegend</w:t>
            </w:r>
          </w:p>
        </w:tc>
      </w:tr>
      <w:tr w:rsidR="00A676DD" w:rsidRPr="002838C3" w14:paraId="02D5D48E" w14:textId="77777777" w:rsidTr="000776AB">
        <w:trPr>
          <w:trHeight w:val="260"/>
        </w:trPr>
        <w:tc>
          <w:tcPr>
            <w:tcW w:w="2196" w:type="dxa"/>
          </w:tcPr>
          <w:p w14:paraId="45077AE7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CD4</w:t>
            </w:r>
          </w:p>
        </w:tc>
        <w:tc>
          <w:tcPr>
            <w:tcW w:w="1531" w:type="dxa"/>
          </w:tcPr>
          <w:p w14:paraId="4B02C214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FITC</w:t>
            </w:r>
          </w:p>
        </w:tc>
        <w:tc>
          <w:tcPr>
            <w:tcW w:w="1095" w:type="dxa"/>
          </w:tcPr>
          <w:p w14:paraId="43DC4671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OKT</w:t>
            </w:r>
            <w:r>
              <w:rPr>
                <w:rFonts w:ascii="Times New Roman" w:eastAsia="Batang" w:hAnsi="Times New Roman"/>
                <w:sz w:val="20"/>
              </w:rPr>
              <w:t>4</w:t>
            </w:r>
          </w:p>
        </w:tc>
        <w:tc>
          <w:tcPr>
            <w:tcW w:w="1844" w:type="dxa"/>
          </w:tcPr>
          <w:p w14:paraId="74873A55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proofErr w:type="spellStart"/>
            <w:r w:rsidRPr="002838C3">
              <w:rPr>
                <w:rFonts w:ascii="Times New Roman" w:eastAsia="Batang" w:hAnsi="Times New Roman"/>
                <w:sz w:val="20"/>
              </w:rPr>
              <w:t>StemCell</w:t>
            </w:r>
            <w:proofErr w:type="spellEnd"/>
          </w:p>
        </w:tc>
      </w:tr>
      <w:tr w:rsidR="00A676DD" w:rsidRPr="002838C3" w14:paraId="7A40280C" w14:textId="77777777" w:rsidTr="0007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2196" w:type="dxa"/>
          </w:tcPr>
          <w:p w14:paraId="604800DC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CD8</w:t>
            </w:r>
          </w:p>
        </w:tc>
        <w:tc>
          <w:tcPr>
            <w:tcW w:w="1531" w:type="dxa"/>
          </w:tcPr>
          <w:p w14:paraId="4555D762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PE-Texas Red</w:t>
            </w:r>
          </w:p>
        </w:tc>
        <w:tc>
          <w:tcPr>
            <w:tcW w:w="1095" w:type="dxa"/>
          </w:tcPr>
          <w:p w14:paraId="0934A4D2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>
              <w:rPr>
                <w:rFonts w:ascii="Times New Roman" w:eastAsia="Batang" w:hAnsi="Times New Roman"/>
                <w:sz w:val="20"/>
              </w:rPr>
              <w:t>3B5</w:t>
            </w:r>
          </w:p>
        </w:tc>
        <w:tc>
          <w:tcPr>
            <w:tcW w:w="1844" w:type="dxa"/>
          </w:tcPr>
          <w:p w14:paraId="43A3B413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Life Technologies</w:t>
            </w:r>
          </w:p>
        </w:tc>
      </w:tr>
      <w:tr w:rsidR="00A676DD" w:rsidRPr="002838C3" w14:paraId="261B3A92" w14:textId="77777777" w:rsidTr="000776AB">
        <w:trPr>
          <w:trHeight w:val="260"/>
        </w:trPr>
        <w:tc>
          <w:tcPr>
            <w:tcW w:w="2196" w:type="dxa"/>
          </w:tcPr>
          <w:p w14:paraId="0A4D4AD3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CD11b</w:t>
            </w:r>
          </w:p>
        </w:tc>
        <w:tc>
          <w:tcPr>
            <w:tcW w:w="1531" w:type="dxa"/>
          </w:tcPr>
          <w:p w14:paraId="523C3ADF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PE</w:t>
            </w:r>
          </w:p>
        </w:tc>
        <w:tc>
          <w:tcPr>
            <w:tcW w:w="1095" w:type="dxa"/>
          </w:tcPr>
          <w:p w14:paraId="6BAB5C05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ICRF44</w:t>
            </w:r>
          </w:p>
        </w:tc>
        <w:tc>
          <w:tcPr>
            <w:tcW w:w="1844" w:type="dxa"/>
          </w:tcPr>
          <w:p w14:paraId="27F611F2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BioLegend</w:t>
            </w:r>
          </w:p>
        </w:tc>
      </w:tr>
      <w:tr w:rsidR="00A676DD" w:rsidRPr="002838C3" w14:paraId="57B1DBC7" w14:textId="77777777" w:rsidTr="0007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96" w:type="dxa"/>
          </w:tcPr>
          <w:p w14:paraId="7DA2BBB7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CD14</w:t>
            </w:r>
          </w:p>
        </w:tc>
        <w:tc>
          <w:tcPr>
            <w:tcW w:w="1531" w:type="dxa"/>
          </w:tcPr>
          <w:p w14:paraId="67086306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APC</w:t>
            </w:r>
          </w:p>
        </w:tc>
        <w:tc>
          <w:tcPr>
            <w:tcW w:w="1095" w:type="dxa"/>
          </w:tcPr>
          <w:p w14:paraId="47CBCDA6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61D3</w:t>
            </w:r>
          </w:p>
        </w:tc>
        <w:tc>
          <w:tcPr>
            <w:tcW w:w="1844" w:type="dxa"/>
          </w:tcPr>
          <w:p w14:paraId="709D256E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Invitrogen</w:t>
            </w:r>
          </w:p>
        </w:tc>
      </w:tr>
      <w:tr w:rsidR="00A676DD" w:rsidRPr="002838C3" w14:paraId="7DBF91F5" w14:textId="77777777" w:rsidTr="000776AB">
        <w:trPr>
          <w:trHeight w:val="244"/>
        </w:trPr>
        <w:tc>
          <w:tcPr>
            <w:tcW w:w="2196" w:type="dxa"/>
          </w:tcPr>
          <w:p w14:paraId="5D495402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CD45</w:t>
            </w:r>
          </w:p>
        </w:tc>
        <w:tc>
          <w:tcPr>
            <w:tcW w:w="1531" w:type="dxa"/>
          </w:tcPr>
          <w:p w14:paraId="6128AE16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V450</w:t>
            </w:r>
          </w:p>
        </w:tc>
        <w:tc>
          <w:tcPr>
            <w:tcW w:w="1095" w:type="dxa"/>
          </w:tcPr>
          <w:p w14:paraId="70AB6844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HI30</w:t>
            </w:r>
          </w:p>
        </w:tc>
        <w:tc>
          <w:tcPr>
            <w:tcW w:w="1844" w:type="dxa"/>
          </w:tcPr>
          <w:p w14:paraId="7ACBF694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BD Horizon</w:t>
            </w:r>
          </w:p>
        </w:tc>
      </w:tr>
      <w:tr w:rsidR="00A676DD" w:rsidRPr="002838C3" w14:paraId="36ECB9B0" w14:textId="77777777" w:rsidTr="0007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96" w:type="dxa"/>
          </w:tcPr>
          <w:p w14:paraId="394F707F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CD56</w:t>
            </w:r>
          </w:p>
        </w:tc>
        <w:tc>
          <w:tcPr>
            <w:tcW w:w="1531" w:type="dxa"/>
          </w:tcPr>
          <w:p w14:paraId="379B81CB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Pe-Cy7</w:t>
            </w:r>
          </w:p>
        </w:tc>
        <w:tc>
          <w:tcPr>
            <w:tcW w:w="1095" w:type="dxa"/>
          </w:tcPr>
          <w:p w14:paraId="63CF116D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CMSSB</w:t>
            </w:r>
          </w:p>
        </w:tc>
        <w:tc>
          <w:tcPr>
            <w:tcW w:w="1844" w:type="dxa"/>
          </w:tcPr>
          <w:p w14:paraId="19DC63C8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Invitrogen</w:t>
            </w:r>
          </w:p>
        </w:tc>
      </w:tr>
      <w:tr w:rsidR="00A676DD" w:rsidRPr="002838C3" w14:paraId="21949E52" w14:textId="77777777" w:rsidTr="000776AB">
        <w:trPr>
          <w:trHeight w:val="244"/>
        </w:trPr>
        <w:tc>
          <w:tcPr>
            <w:tcW w:w="2196" w:type="dxa"/>
          </w:tcPr>
          <w:p w14:paraId="329C5A19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CD163</w:t>
            </w:r>
          </w:p>
        </w:tc>
        <w:tc>
          <w:tcPr>
            <w:tcW w:w="1531" w:type="dxa"/>
          </w:tcPr>
          <w:p w14:paraId="33393DA9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BV711</w:t>
            </w:r>
          </w:p>
        </w:tc>
        <w:tc>
          <w:tcPr>
            <w:tcW w:w="1095" w:type="dxa"/>
          </w:tcPr>
          <w:p w14:paraId="35FF484C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GHI/61</w:t>
            </w:r>
          </w:p>
        </w:tc>
        <w:tc>
          <w:tcPr>
            <w:tcW w:w="1844" w:type="dxa"/>
          </w:tcPr>
          <w:p w14:paraId="1D856587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BD Horizon</w:t>
            </w:r>
          </w:p>
        </w:tc>
      </w:tr>
      <w:tr w:rsidR="00A676DD" w:rsidRPr="002838C3" w14:paraId="441B20A1" w14:textId="77777777" w:rsidTr="0007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96" w:type="dxa"/>
          </w:tcPr>
          <w:p w14:paraId="5D8A850E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CD279</w:t>
            </w:r>
          </w:p>
        </w:tc>
        <w:tc>
          <w:tcPr>
            <w:tcW w:w="1531" w:type="dxa"/>
          </w:tcPr>
          <w:p w14:paraId="261F5F0D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BV786</w:t>
            </w:r>
          </w:p>
        </w:tc>
        <w:tc>
          <w:tcPr>
            <w:tcW w:w="1095" w:type="dxa"/>
          </w:tcPr>
          <w:p w14:paraId="1C8E3DF5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EH12.1</w:t>
            </w:r>
          </w:p>
        </w:tc>
        <w:tc>
          <w:tcPr>
            <w:tcW w:w="1844" w:type="dxa"/>
          </w:tcPr>
          <w:p w14:paraId="17EB9761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BD Horizon</w:t>
            </w:r>
          </w:p>
        </w:tc>
      </w:tr>
      <w:tr w:rsidR="00A676DD" w:rsidRPr="002838C3" w14:paraId="0CC66771" w14:textId="77777777" w:rsidTr="000776AB">
        <w:trPr>
          <w:trHeight w:val="260"/>
        </w:trPr>
        <w:tc>
          <w:tcPr>
            <w:tcW w:w="2196" w:type="dxa"/>
          </w:tcPr>
          <w:p w14:paraId="5FBFA9C3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HLA-ABC</w:t>
            </w:r>
          </w:p>
        </w:tc>
        <w:tc>
          <w:tcPr>
            <w:tcW w:w="1531" w:type="dxa"/>
          </w:tcPr>
          <w:p w14:paraId="56E07F8C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AF700</w:t>
            </w:r>
          </w:p>
        </w:tc>
        <w:tc>
          <w:tcPr>
            <w:tcW w:w="1095" w:type="dxa"/>
          </w:tcPr>
          <w:p w14:paraId="7D89F24D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W6/32</w:t>
            </w:r>
          </w:p>
        </w:tc>
        <w:tc>
          <w:tcPr>
            <w:tcW w:w="1844" w:type="dxa"/>
          </w:tcPr>
          <w:p w14:paraId="30216903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BioLegend</w:t>
            </w:r>
          </w:p>
        </w:tc>
      </w:tr>
      <w:tr w:rsidR="00A676DD" w:rsidRPr="002838C3" w14:paraId="32959F71" w14:textId="77777777" w:rsidTr="0007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2196" w:type="dxa"/>
          </w:tcPr>
          <w:p w14:paraId="327B1B3D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HLA-DR</w:t>
            </w:r>
          </w:p>
        </w:tc>
        <w:tc>
          <w:tcPr>
            <w:tcW w:w="1531" w:type="dxa"/>
          </w:tcPr>
          <w:p w14:paraId="37D0CE0D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APC/Cy7</w:t>
            </w:r>
          </w:p>
        </w:tc>
        <w:tc>
          <w:tcPr>
            <w:tcW w:w="1095" w:type="dxa"/>
          </w:tcPr>
          <w:p w14:paraId="607D88DC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L243</w:t>
            </w:r>
          </w:p>
        </w:tc>
        <w:tc>
          <w:tcPr>
            <w:tcW w:w="1844" w:type="dxa"/>
          </w:tcPr>
          <w:p w14:paraId="4AF84C58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BioLegend</w:t>
            </w:r>
          </w:p>
        </w:tc>
      </w:tr>
      <w:tr w:rsidR="00A676DD" w:rsidRPr="002838C3" w14:paraId="4F684298" w14:textId="77777777" w:rsidTr="000776AB">
        <w:trPr>
          <w:trHeight w:val="260"/>
        </w:trPr>
        <w:tc>
          <w:tcPr>
            <w:tcW w:w="2196" w:type="dxa"/>
          </w:tcPr>
          <w:p w14:paraId="311272DD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PD-L1</w:t>
            </w:r>
          </w:p>
        </w:tc>
        <w:tc>
          <w:tcPr>
            <w:tcW w:w="1531" w:type="dxa"/>
          </w:tcPr>
          <w:p w14:paraId="2BCD66B2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BV605</w:t>
            </w:r>
          </w:p>
        </w:tc>
        <w:tc>
          <w:tcPr>
            <w:tcW w:w="1095" w:type="dxa"/>
          </w:tcPr>
          <w:p w14:paraId="01E98F69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29E.2A3</w:t>
            </w:r>
          </w:p>
        </w:tc>
        <w:tc>
          <w:tcPr>
            <w:tcW w:w="1844" w:type="dxa"/>
          </w:tcPr>
          <w:p w14:paraId="782F7354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BioLegend</w:t>
            </w:r>
          </w:p>
        </w:tc>
      </w:tr>
      <w:tr w:rsidR="00A676DD" w:rsidRPr="002838C3" w14:paraId="5FB25647" w14:textId="77777777" w:rsidTr="0007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196" w:type="dxa"/>
          </w:tcPr>
          <w:p w14:paraId="6DCFB355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Fixable Viability Dye</w:t>
            </w:r>
          </w:p>
        </w:tc>
        <w:tc>
          <w:tcPr>
            <w:tcW w:w="1531" w:type="dxa"/>
          </w:tcPr>
          <w:p w14:paraId="541FB638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proofErr w:type="spellStart"/>
            <w:r w:rsidRPr="002838C3">
              <w:rPr>
                <w:rFonts w:ascii="Times New Roman" w:eastAsia="Batang" w:hAnsi="Times New Roman"/>
                <w:sz w:val="20"/>
              </w:rPr>
              <w:t>eFlour</w:t>
            </w:r>
            <w:proofErr w:type="spellEnd"/>
            <w:r w:rsidRPr="002838C3">
              <w:rPr>
                <w:rFonts w:ascii="Times New Roman" w:eastAsia="Batang" w:hAnsi="Times New Roman"/>
                <w:sz w:val="20"/>
              </w:rPr>
              <w:t xml:space="preserve"> 506</w:t>
            </w:r>
          </w:p>
        </w:tc>
        <w:tc>
          <w:tcPr>
            <w:tcW w:w="1095" w:type="dxa"/>
          </w:tcPr>
          <w:p w14:paraId="5F9E6360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None</w:t>
            </w:r>
          </w:p>
        </w:tc>
        <w:tc>
          <w:tcPr>
            <w:tcW w:w="1844" w:type="dxa"/>
          </w:tcPr>
          <w:p w14:paraId="5A573C54" w14:textId="77777777" w:rsidR="00A676DD" w:rsidRPr="002838C3" w:rsidRDefault="00A676DD" w:rsidP="000776AB">
            <w:pPr>
              <w:rPr>
                <w:rFonts w:ascii="Times New Roman" w:eastAsia="Batang" w:hAnsi="Times New Roman"/>
                <w:sz w:val="20"/>
              </w:rPr>
            </w:pPr>
            <w:r w:rsidRPr="002838C3">
              <w:rPr>
                <w:rFonts w:ascii="Times New Roman" w:eastAsia="Batang" w:hAnsi="Times New Roman"/>
                <w:sz w:val="20"/>
              </w:rPr>
              <w:t>Invitrogen</w:t>
            </w:r>
          </w:p>
        </w:tc>
      </w:tr>
    </w:tbl>
    <w:p w14:paraId="57A4D3FC" w14:textId="77777777" w:rsidR="00A676DD" w:rsidRDefault="00A676DD" w:rsidP="00A676DD">
      <w:pPr>
        <w:spacing w:line="480" w:lineRule="auto"/>
        <w:rPr>
          <w:rFonts w:ascii="Times New Roman" w:hAnsi="Times New Roman"/>
          <w:b/>
        </w:rPr>
      </w:pPr>
    </w:p>
    <w:p w14:paraId="5948D827" w14:textId="5E0ACF8F" w:rsidR="002A29DD" w:rsidRPr="002A0221" w:rsidRDefault="00A676DD" w:rsidP="00745899">
      <w:pPr>
        <w:pageBreakBefore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r w:rsidR="007C21AB" w:rsidRPr="002A0221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>3.</w:t>
      </w:r>
      <w:r w:rsidR="002A0221" w:rsidRPr="00745899">
        <w:rPr>
          <w:rFonts w:ascii="Times New Roman" w:hAnsi="Times New Roman"/>
          <w:b/>
        </w:rPr>
        <w:t xml:space="preserve"> </w:t>
      </w:r>
      <w:r w:rsidR="002A0221" w:rsidRPr="002A0221">
        <w:rPr>
          <w:rFonts w:ascii="Times New Roman" w:hAnsi="Times New Roman"/>
          <w:b/>
        </w:rPr>
        <w:t>Summary of adverse events occurred during treatment</w:t>
      </w:r>
    </w:p>
    <w:tbl>
      <w:tblPr>
        <w:tblW w:w="7864" w:type="dxa"/>
        <w:tblInd w:w="108" w:type="dxa"/>
        <w:tblLook w:val="04A0" w:firstRow="1" w:lastRow="0" w:firstColumn="1" w:lastColumn="0" w:noHBand="0" w:noVBand="1"/>
      </w:tblPr>
      <w:tblGrid>
        <w:gridCol w:w="2700"/>
        <w:gridCol w:w="1495"/>
        <w:gridCol w:w="443"/>
        <w:gridCol w:w="444"/>
        <w:gridCol w:w="444"/>
        <w:gridCol w:w="444"/>
        <w:gridCol w:w="444"/>
        <w:gridCol w:w="1438"/>
        <w:gridCol w:w="12"/>
      </w:tblGrid>
      <w:tr w:rsidR="007C21AB" w:rsidRPr="002838C3" w14:paraId="2ABD4DB8" w14:textId="77777777" w:rsidTr="008D4E48">
        <w:trPr>
          <w:trHeight w:val="34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10236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  <w:t>Category (CTCAE)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2BE72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  <w:t>Adverse Event/Toxicity</w:t>
            </w:r>
          </w:p>
        </w:tc>
        <w:tc>
          <w:tcPr>
            <w:tcW w:w="36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50E711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  <w:t>Number (N) and Grade of Events</w:t>
            </w:r>
          </w:p>
        </w:tc>
      </w:tr>
      <w:tr w:rsidR="007C21AB" w:rsidRPr="002838C3" w14:paraId="73AEF614" w14:textId="77777777" w:rsidTr="008D4E48">
        <w:trPr>
          <w:gridAfter w:val="1"/>
          <w:wAfter w:w="12" w:type="dxa"/>
          <w:trHeight w:val="58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5B5DD1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AE9D3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5927C1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570AB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4365E7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A90AB6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0CC001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  <w:t>N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2EE90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zh-CN"/>
              </w:rPr>
              <w:t>Total Number of Incidences</w:t>
            </w:r>
          </w:p>
        </w:tc>
      </w:tr>
      <w:tr w:rsidR="007C21AB" w:rsidRPr="002838C3" w14:paraId="3606AA87" w14:textId="77777777" w:rsidTr="008D4E48">
        <w:trPr>
          <w:gridAfter w:val="1"/>
          <w:wAfter w:w="12" w:type="dxa"/>
          <w:trHeight w:val="3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A23481E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  <w:t>Category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6925B46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  <w:t>AE Name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7C464F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46358F0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  <w:t>2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257C1E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  <w:t>3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BB6CF7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  <w:t>4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F4342C3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  <w:t>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264F48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b/>
                <w:bCs/>
                <w:color w:val="FFFFFF"/>
                <w:sz w:val="20"/>
                <w:lang w:eastAsia="zh-CN"/>
              </w:rPr>
              <w:t>#</w:t>
            </w:r>
          </w:p>
        </w:tc>
      </w:tr>
      <w:tr w:rsidR="007C21AB" w:rsidRPr="002838C3" w14:paraId="1DD8B43B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C6B3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General disorders and administration site conditions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9B6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Flu-like symptoms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C5E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5237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F381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6871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82F4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A48E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5</w:t>
            </w:r>
          </w:p>
        </w:tc>
      </w:tr>
      <w:tr w:rsidR="007C21AB" w:rsidRPr="002838C3" w14:paraId="5159DB4B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A57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General disorders and administration site conditions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A34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Fatigue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EB7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1C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86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4D6C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394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7936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5</w:t>
            </w:r>
          </w:p>
        </w:tc>
      </w:tr>
      <w:tr w:rsidR="007C21AB" w:rsidRPr="002838C3" w14:paraId="34B530D7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B71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General disorders and administration site conditions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E08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Chills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5A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2D3C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4A42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2A7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A77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AC35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4</w:t>
            </w:r>
          </w:p>
        </w:tc>
      </w:tr>
      <w:tr w:rsidR="007C21AB" w:rsidRPr="002838C3" w14:paraId="2AE01259" w14:textId="77777777" w:rsidTr="008D4E48">
        <w:trPr>
          <w:gridAfter w:val="1"/>
          <w:wAfter w:w="12" w:type="dxa"/>
          <w:trHeight w:val="3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7BCD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Nervous system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D31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Headache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52D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4B4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C703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BB7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36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2090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4</w:t>
            </w:r>
          </w:p>
        </w:tc>
      </w:tr>
      <w:tr w:rsidR="007C21AB" w:rsidRPr="002838C3" w14:paraId="6102E07F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898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General disorders and administration site conditions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E5F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Fever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85C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A13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BFC2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2E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0AA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1A8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2</w:t>
            </w:r>
          </w:p>
        </w:tc>
      </w:tr>
      <w:tr w:rsidR="007C21AB" w:rsidRPr="002838C3" w14:paraId="5A85A99E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4319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Musculoskeletal and connective tissue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038E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Body Aches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085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8886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6055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D0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DBF9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DEC3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2</w:t>
            </w:r>
          </w:p>
        </w:tc>
      </w:tr>
      <w:tr w:rsidR="007C21AB" w:rsidRPr="002838C3" w14:paraId="4F774614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F6E0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General disorders and administration site conditions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F78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Injection site pain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CE3E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D95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2DE6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9232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023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4C7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2</w:t>
            </w:r>
          </w:p>
        </w:tc>
      </w:tr>
      <w:tr w:rsidR="007C21AB" w:rsidRPr="002838C3" w14:paraId="16649350" w14:textId="77777777" w:rsidTr="008D4E48">
        <w:trPr>
          <w:gridAfter w:val="1"/>
          <w:wAfter w:w="12" w:type="dxa"/>
          <w:trHeight w:val="3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1F8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Nervous system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5BA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Dizziness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4A3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24A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F4FC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65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06E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CBFE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2DD3B17E" w14:textId="77777777" w:rsidTr="008D4E48">
        <w:trPr>
          <w:gridAfter w:val="1"/>
          <w:wAfter w:w="12" w:type="dxa"/>
          <w:trHeight w:val="3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4D8" w14:textId="09630631" w:rsidR="007C21AB" w:rsidRPr="002838C3" w:rsidRDefault="002A0221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Psychiatric</w:t>
            </w:r>
            <w:r w:rsidR="007C21AB"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 xml:space="preserve">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5F76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Insomnia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629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39F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315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F22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F2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607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7AAE7A64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01F2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General disorders and administration site conditions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6C37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Night Sweats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68D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2C9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A21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D78C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BB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876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1EF64DDA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7D3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Musculoskeletal and connective tissue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91E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Arthralgia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C7F9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474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5A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8A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9A9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F90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0948D5F6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DC6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General disorders and administration site conditions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D01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Malaise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64A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DC7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3F9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88A3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C59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B6D6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580E26DF" w14:textId="77777777" w:rsidTr="008D4E48">
        <w:trPr>
          <w:gridAfter w:val="1"/>
          <w:wAfter w:w="12" w:type="dxa"/>
          <w:trHeight w:val="3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E3E8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Nervous system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532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Paresthesia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F7C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6F1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D69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D60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9C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086E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6B98D05F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1AB8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Musculoskeletal and connective tissue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94A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Bone pain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A8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F26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E6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F201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FC0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EC3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3C9F83FF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B6E9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Musculoskeletal and connective tissue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DFC8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Neck pain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560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851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076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46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9A6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6F7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3A0E07D4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9DF6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General disorders and administration site conditions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56B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Injection site erythema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958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073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770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67D5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F8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C72E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1BB46E98" w14:textId="77777777" w:rsidTr="008D4E48">
        <w:trPr>
          <w:gridAfter w:val="1"/>
          <w:wAfter w:w="12" w:type="dxa"/>
          <w:trHeight w:val="3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ADE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Gastrointestinal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219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Dry mouth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EB1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7C53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55B1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377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FB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A18C0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04682323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5F9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Infections and infestations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899B" w14:textId="5FB64463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 xml:space="preserve">Upper </w:t>
            </w:r>
            <w:r w:rsidR="002A0221"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Respiratory</w:t>
            </w: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 xml:space="preserve"> Infection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BB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86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AE99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DBA0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843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B60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598D6812" w14:textId="77777777" w:rsidTr="008D4E48">
        <w:trPr>
          <w:gridAfter w:val="1"/>
          <w:wAfter w:w="12" w:type="dxa"/>
          <w:trHeight w:val="3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A658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Gastrointestinal disorders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364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Diarrhea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980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9DA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2EAE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4E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82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8259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700EEED9" w14:textId="77777777" w:rsidTr="008D4E48">
        <w:trPr>
          <w:gridAfter w:val="1"/>
          <w:wAfter w:w="12" w:type="dxa"/>
          <w:trHeight w:val="32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F48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Infections and infestations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07C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Urinary Tract Infection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8C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249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3E5D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238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8D2B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87C2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  <w:tr w:rsidR="007C21AB" w:rsidRPr="002838C3" w14:paraId="658AB16E" w14:textId="77777777" w:rsidTr="008D4E48">
        <w:trPr>
          <w:gridAfter w:val="1"/>
          <w:wAfter w:w="12" w:type="dxa"/>
          <w:trHeight w:val="56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DEB7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General disorders and administration site conditions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AE7" w14:textId="77777777" w:rsidR="007C21AB" w:rsidRPr="002838C3" w:rsidRDefault="007C21AB" w:rsidP="008D4E48">
            <w:pPr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Biopsy site pain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D123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2805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EC4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0513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4A5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F75F" w14:textId="77777777" w:rsidR="007C21AB" w:rsidRPr="002838C3" w:rsidRDefault="007C21AB" w:rsidP="008D4E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</w:pPr>
            <w:r w:rsidRPr="002838C3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1</w:t>
            </w:r>
          </w:p>
        </w:tc>
      </w:tr>
    </w:tbl>
    <w:p w14:paraId="67344CF0" w14:textId="77777777" w:rsidR="002838C3" w:rsidRDefault="002838C3" w:rsidP="000C7018">
      <w:pPr>
        <w:rPr>
          <w:rFonts w:ascii="Times New Roman" w:hAnsi="Times New Roman"/>
        </w:rPr>
      </w:pPr>
    </w:p>
    <w:p w14:paraId="791B0139" w14:textId="5FC995C3" w:rsidR="00825CBE" w:rsidRPr="00745899" w:rsidRDefault="00A676DD" w:rsidP="00825CBE">
      <w:pPr>
        <w:pageBreakBefore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r w:rsidRPr="00745899">
        <w:rPr>
          <w:rFonts w:ascii="Times New Roman" w:hAnsi="Times New Roman"/>
          <w:b/>
        </w:rPr>
        <w:t>Fig</w:t>
      </w:r>
      <w:r>
        <w:rPr>
          <w:rFonts w:ascii="Times New Roman" w:hAnsi="Times New Roman"/>
          <w:b/>
        </w:rPr>
        <w:t xml:space="preserve">. </w:t>
      </w:r>
      <w:r w:rsidR="00825CBE" w:rsidRPr="00745899">
        <w:rPr>
          <w:rFonts w:ascii="Times New Roman" w:hAnsi="Times New Roman"/>
          <w:b/>
        </w:rPr>
        <w:t>S</w:t>
      </w:r>
      <w:r w:rsidR="00825CBE">
        <w:rPr>
          <w:rFonts w:ascii="Times New Roman" w:hAnsi="Times New Roman"/>
          <w:b/>
        </w:rPr>
        <w:t>1</w:t>
      </w:r>
    </w:p>
    <w:p w14:paraId="1C0AD900" w14:textId="77777777" w:rsidR="00825CBE" w:rsidRDefault="00825CBE" w:rsidP="00825C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684A72CC" wp14:editId="0B22F87E">
            <wp:extent cx="2857500" cy="38862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 S6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3A10D" w14:textId="77777777" w:rsidR="00825CBE" w:rsidRDefault="00825CBE" w:rsidP="00825CBE">
      <w:pPr>
        <w:rPr>
          <w:rFonts w:ascii="Times New Roman" w:hAnsi="Times New Roman"/>
        </w:rPr>
      </w:pPr>
    </w:p>
    <w:p w14:paraId="42B65793" w14:textId="53833A7F" w:rsidR="00825CBE" w:rsidRPr="005423C9" w:rsidRDefault="00825CBE" w:rsidP="00825CBE">
      <w:pPr>
        <w:spacing w:line="480" w:lineRule="auto"/>
        <w:rPr>
          <w:rFonts w:ascii="Times New Roman" w:hAnsi="Times New Roman"/>
        </w:rPr>
      </w:pPr>
      <w:r w:rsidRPr="005423C9">
        <w:rPr>
          <w:rFonts w:ascii="Times New Roman" w:hAnsi="Times New Roman"/>
          <w:b/>
          <w:bCs/>
        </w:rPr>
        <w:t xml:space="preserve">Supplementary </w:t>
      </w:r>
      <w:r w:rsidR="00A676DD">
        <w:rPr>
          <w:rFonts w:ascii="Times New Roman" w:hAnsi="Times New Roman"/>
          <w:b/>
          <w:bCs/>
        </w:rPr>
        <w:t>F</w:t>
      </w:r>
      <w:r w:rsidR="00A676DD" w:rsidRPr="005423C9">
        <w:rPr>
          <w:rFonts w:ascii="Times New Roman" w:hAnsi="Times New Roman"/>
          <w:b/>
          <w:bCs/>
        </w:rPr>
        <w:t>ig</w:t>
      </w:r>
      <w:r w:rsidR="00A676DD">
        <w:rPr>
          <w:rFonts w:ascii="Times New Roman" w:hAnsi="Times New Roman"/>
          <w:b/>
          <w:bCs/>
        </w:rPr>
        <w:t>.</w:t>
      </w:r>
      <w:r w:rsidR="00A676DD" w:rsidRPr="005423C9">
        <w:rPr>
          <w:rFonts w:ascii="Times New Roman" w:hAnsi="Times New Roman"/>
          <w:b/>
          <w:bCs/>
        </w:rPr>
        <w:t xml:space="preserve"> </w:t>
      </w:r>
      <w:r w:rsidRPr="005423C9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1</w:t>
      </w:r>
      <w:r w:rsidRPr="005423C9">
        <w:rPr>
          <w:rFonts w:ascii="Times New Roman" w:hAnsi="Times New Roman"/>
          <w:b/>
          <w:bCs/>
        </w:rPr>
        <w:t xml:space="preserve">. Profiles of patients’ serum tumor antigen specificity. </w:t>
      </w:r>
      <w:r w:rsidRPr="005423C9">
        <w:rPr>
          <w:rFonts w:ascii="Times New Roman" w:hAnsi="Times New Roman"/>
        </w:rPr>
        <w:t xml:space="preserve">Antibodies against 29 tumor antigens have been accessed in patients’ serum by </w:t>
      </w:r>
      <w:proofErr w:type="spellStart"/>
      <w:r w:rsidRPr="005423C9">
        <w:rPr>
          <w:rFonts w:ascii="Times New Roman" w:hAnsi="Times New Roman"/>
        </w:rPr>
        <w:t>Serametrix</w:t>
      </w:r>
      <w:proofErr w:type="spellEnd"/>
      <w:r w:rsidRPr="005423C9">
        <w:rPr>
          <w:rFonts w:ascii="Times New Roman" w:hAnsi="Times New Roman"/>
        </w:rPr>
        <w:t>. Patient #1, #5 and #8 had significantly more serum antibody specificity post treatment.</w:t>
      </w:r>
    </w:p>
    <w:p w14:paraId="1D5820BE" w14:textId="64A7B073" w:rsidR="005423C9" w:rsidRPr="00745899" w:rsidRDefault="00A676DD" w:rsidP="00745899">
      <w:pPr>
        <w:pageBreakBefore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r w:rsidRPr="00745899">
        <w:rPr>
          <w:rFonts w:ascii="Times New Roman" w:hAnsi="Times New Roman"/>
          <w:b/>
        </w:rPr>
        <w:t>Fig</w:t>
      </w:r>
      <w:r>
        <w:rPr>
          <w:rFonts w:ascii="Times New Roman" w:hAnsi="Times New Roman"/>
          <w:b/>
        </w:rPr>
        <w:t>.</w:t>
      </w:r>
      <w:r w:rsidRPr="00745899">
        <w:rPr>
          <w:rFonts w:ascii="Times New Roman" w:hAnsi="Times New Roman"/>
          <w:b/>
        </w:rPr>
        <w:t xml:space="preserve"> </w:t>
      </w:r>
      <w:r w:rsidR="005423C9" w:rsidRPr="00745899">
        <w:rPr>
          <w:rFonts w:ascii="Times New Roman" w:hAnsi="Times New Roman"/>
          <w:b/>
        </w:rPr>
        <w:t>S</w:t>
      </w:r>
      <w:r w:rsidR="00825CBE">
        <w:rPr>
          <w:rFonts w:ascii="Times New Roman" w:hAnsi="Times New Roman"/>
          <w:b/>
        </w:rPr>
        <w:t>2</w:t>
      </w:r>
    </w:p>
    <w:p w14:paraId="5C7889DF" w14:textId="2521A2BA" w:rsidR="002838C3" w:rsidRDefault="00E33A7E" w:rsidP="00E33A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166C809B" wp14:editId="0335FCC3">
            <wp:extent cx="38100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30D0" w14:textId="77777777" w:rsidR="005423C9" w:rsidRDefault="005423C9" w:rsidP="00745899">
      <w:pPr>
        <w:spacing w:line="480" w:lineRule="auto"/>
        <w:rPr>
          <w:rFonts w:ascii="Times New Roman" w:hAnsi="Times New Roman"/>
          <w:b/>
          <w:bCs/>
        </w:rPr>
      </w:pPr>
    </w:p>
    <w:p w14:paraId="17BA63A4" w14:textId="10291069" w:rsidR="00E33A7E" w:rsidRPr="00E33A7E" w:rsidRDefault="00E33A7E" w:rsidP="00745899">
      <w:pPr>
        <w:spacing w:line="480" w:lineRule="auto"/>
        <w:rPr>
          <w:rFonts w:ascii="Times New Roman" w:hAnsi="Times New Roman"/>
        </w:rPr>
      </w:pPr>
      <w:r w:rsidRPr="00E33A7E">
        <w:rPr>
          <w:rFonts w:ascii="Times New Roman" w:hAnsi="Times New Roman"/>
          <w:b/>
          <w:bCs/>
        </w:rPr>
        <w:t xml:space="preserve">Supplementary </w:t>
      </w:r>
      <w:r w:rsidR="00A676DD">
        <w:rPr>
          <w:rFonts w:ascii="Times New Roman" w:hAnsi="Times New Roman"/>
          <w:b/>
          <w:bCs/>
        </w:rPr>
        <w:t>Fig.</w:t>
      </w:r>
      <w:r w:rsidRPr="00E33A7E">
        <w:rPr>
          <w:rFonts w:ascii="Times New Roman" w:hAnsi="Times New Roman"/>
          <w:b/>
          <w:bCs/>
        </w:rPr>
        <w:t xml:space="preserve"> S</w:t>
      </w:r>
      <w:r w:rsidR="00825CBE">
        <w:rPr>
          <w:rFonts w:ascii="Times New Roman" w:hAnsi="Times New Roman"/>
          <w:b/>
          <w:bCs/>
        </w:rPr>
        <w:t>2</w:t>
      </w:r>
      <w:r w:rsidRPr="00E33A7E">
        <w:rPr>
          <w:rFonts w:ascii="Times New Roman" w:hAnsi="Times New Roman"/>
          <w:b/>
          <w:bCs/>
        </w:rPr>
        <w:t>. IFN</w:t>
      </w:r>
      <w:r w:rsidRPr="00E33A7E">
        <w:rPr>
          <w:rFonts w:ascii="Cambria Math" w:eastAsia="Cambria Math" w:hAnsi="Cambria Math" w:cs="Cambria Math"/>
          <w:b/>
          <w:bCs/>
        </w:rPr>
        <w:t>𝛄</w:t>
      </w:r>
      <w:r w:rsidRPr="00E33A7E">
        <w:rPr>
          <w:rFonts w:ascii="Times New Roman" w:hAnsi="Times New Roman"/>
          <w:b/>
          <w:bCs/>
        </w:rPr>
        <w:t xml:space="preserve"> treatment non-responder and moderate responder didn’t have increased antigen processing and presentation capability. </w:t>
      </w:r>
      <w:r w:rsidRPr="00E33A7E">
        <w:rPr>
          <w:rFonts w:ascii="Times New Roman" w:hAnsi="Times New Roman"/>
        </w:rPr>
        <w:t>Unlike major responder patient #6, tumor cells from non-responder patient #7 and moderate responder patient #8 had decreased and no change in antigen processing and presentation capacity, respectively. This observation is consistent with tumor surface HLA-ABC expression trend.</w:t>
      </w:r>
    </w:p>
    <w:p w14:paraId="492E81C2" w14:textId="77777777" w:rsidR="00E33A7E" w:rsidRDefault="00E33A7E" w:rsidP="00E33A7E">
      <w:pPr>
        <w:rPr>
          <w:rFonts w:ascii="Times New Roman" w:hAnsi="Times New Roman"/>
        </w:rPr>
      </w:pPr>
    </w:p>
    <w:p w14:paraId="17DDDAEC" w14:textId="77777777" w:rsidR="00E33A7E" w:rsidRDefault="00E33A7E" w:rsidP="00E33A7E">
      <w:pPr>
        <w:rPr>
          <w:rFonts w:ascii="Times New Roman" w:hAnsi="Times New Roman"/>
        </w:rPr>
      </w:pPr>
    </w:p>
    <w:p w14:paraId="57857FAA" w14:textId="1784E4E3" w:rsidR="005423C9" w:rsidRDefault="00A676DD" w:rsidP="00745899">
      <w:pPr>
        <w:pageBreakBefore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r w:rsidRPr="00745899">
        <w:rPr>
          <w:rFonts w:ascii="Times New Roman" w:hAnsi="Times New Roman"/>
          <w:b/>
        </w:rPr>
        <w:t>Fig</w:t>
      </w:r>
      <w:r>
        <w:rPr>
          <w:rFonts w:ascii="Times New Roman" w:hAnsi="Times New Roman"/>
          <w:b/>
        </w:rPr>
        <w:t>.</w:t>
      </w:r>
      <w:r w:rsidRPr="00745899">
        <w:rPr>
          <w:rFonts w:ascii="Times New Roman" w:hAnsi="Times New Roman"/>
          <w:b/>
        </w:rPr>
        <w:t xml:space="preserve"> </w:t>
      </w:r>
      <w:r w:rsidR="005423C9" w:rsidRPr="00745899">
        <w:rPr>
          <w:rFonts w:ascii="Times New Roman" w:hAnsi="Times New Roman"/>
          <w:b/>
        </w:rPr>
        <w:t>S</w:t>
      </w:r>
      <w:r w:rsidR="00825CBE">
        <w:rPr>
          <w:rFonts w:ascii="Times New Roman" w:hAnsi="Times New Roman"/>
          <w:b/>
        </w:rPr>
        <w:t>3</w:t>
      </w:r>
      <w:r w:rsidR="005423C9">
        <w:rPr>
          <w:rFonts w:ascii="Times New Roman" w:hAnsi="Times New Roman"/>
          <w:noProof/>
          <w:lang w:eastAsia="zh-CN"/>
        </w:rPr>
        <w:drawing>
          <wp:inline distT="0" distB="0" distL="0" distR="0" wp14:anchorId="782A7CC7" wp14:editId="58C78A70">
            <wp:extent cx="5486400" cy="14217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270C4" w14:textId="77777777" w:rsidR="005423C9" w:rsidRDefault="005423C9" w:rsidP="005423C9">
      <w:pPr>
        <w:rPr>
          <w:rFonts w:ascii="Times New Roman" w:hAnsi="Times New Roman"/>
        </w:rPr>
      </w:pPr>
    </w:p>
    <w:p w14:paraId="352FB1C3" w14:textId="604D9BD3" w:rsidR="005423C9" w:rsidRPr="005423C9" w:rsidRDefault="005423C9" w:rsidP="00745899">
      <w:pPr>
        <w:spacing w:line="480" w:lineRule="auto"/>
        <w:rPr>
          <w:rFonts w:ascii="Times New Roman" w:hAnsi="Times New Roman"/>
        </w:rPr>
      </w:pPr>
      <w:r w:rsidRPr="005423C9">
        <w:rPr>
          <w:rFonts w:ascii="Times New Roman" w:hAnsi="Times New Roman"/>
          <w:b/>
          <w:bCs/>
        </w:rPr>
        <w:t xml:space="preserve">Supplementary </w:t>
      </w:r>
      <w:r w:rsidR="00A676DD">
        <w:rPr>
          <w:rFonts w:ascii="Times New Roman" w:hAnsi="Times New Roman"/>
          <w:b/>
          <w:bCs/>
        </w:rPr>
        <w:t>Fig.</w:t>
      </w:r>
      <w:r w:rsidR="00A676DD" w:rsidRPr="005423C9">
        <w:rPr>
          <w:rFonts w:ascii="Times New Roman" w:hAnsi="Times New Roman"/>
          <w:b/>
          <w:bCs/>
        </w:rPr>
        <w:t xml:space="preserve"> </w:t>
      </w:r>
      <w:r w:rsidRPr="005423C9">
        <w:rPr>
          <w:rFonts w:ascii="Times New Roman" w:hAnsi="Times New Roman"/>
          <w:b/>
          <w:bCs/>
        </w:rPr>
        <w:t>S</w:t>
      </w:r>
      <w:r w:rsidR="00825CBE">
        <w:rPr>
          <w:rFonts w:ascii="Times New Roman" w:hAnsi="Times New Roman"/>
          <w:b/>
          <w:bCs/>
        </w:rPr>
        <w:t>3</w:t>
      </w:r>
      <w:r w:rsidRPr="005423C9">
        <w:rPr>
          <w:rFonts w:ascii="Times New Roman" w:hAnsi="Times New Roman"/>
          <w:b/>
          <w:bCs/>
        </w:rPr>
        <w:t xml:space="preserve">. Tumor cells from our cohort are positive for CT antigens. </w:t>
      </w:r>
      <w:r w:rsidRPr="005423C9">
        <w:rPr>
          <w:rFonts w:ascii="Times New Roman" w:hAnsi="Times New Roman"/>
        </w:rPr>
        <w:t xml:space="preserve">Tumor mRNA expression levels measured by micro array show that tumors are positive for the following tumor antigens, NY-ESO-1, PRAME and MAGE-A4. Negative lines were drawn according to the average expression level of the respective genes in CD8+ TILs. </w:t>
      </w:r>
      <w:r w:rsidR="00D42200">
        <w:rPr>
          <w:rFonts w:ascii="Times New Roman" w:hAnsi="Times New Roman"/>
        </w:rPr>
        <w:t>No significant change of the tumor antigen expression level was observed. Based on Wilcoxon matched-pairs signed rank test, p values equal to 0.25, 0.75 and &gt;0.9999 for NY-ESO-1, PRAME and MAGE-A4 respectively.</w:t>
      </w:r>
    </w:p>
    <w:p w14:paraId="7A16DC47" w14:textId="77777777" w:rsidR="005423C9" w:rsidRDefault="005423C9" w:rsidP="00E33A7E">
      <w:pPr>
        <w:rPr>
          <w:rFonts w:ascii="Times New Roman" w:hAnsi="Times New Roman"/>
        </w:rPr>
      </w:pPr>
    </w:p>
    <w:p w14:paraId="3E3A9365" w14:textId="2BDAAA4C" w:rsidR="005423C9" w:rsidRPr="00745899" w:rsidRDefault="00A676DD" w:rsidP="00745899">
      <w:pPr>
        <w:pageBreakBefore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r w:rsidRPr="00745899">
        <w:rPr>
          <w:rFonts w:ascii="Times New Roman" w:hAnsi="Times New Roman"/>
          <w:b/>
        </w:rPr>
        <w:t>Fig</w:t>
      </w:r>
      <w:r>
        <w:rPr>
          <w:rFonts w:ascii="Times New Roman" w:hAnsi="Times New Roman"/>
          <w:b/>
        </w:rPr>
        <w:t>.</w:t>
      </w:r>
      <w:r w:rsidRPr="00745899">
        <w:rPr>
          <w:rFonts w:ascii="Times New Roman" w:hAnsi="Times New Roman"/>
          <w:b/>
        </w:rPr>
        <w:t xml:space="preserve"> </w:t>
      </w:r>
      <w:r w:rsidR="005423C9" w:rsidRPr="00745899">
        <w:rPr>
          <w:rFonts w:ascii="Times New Roman" w:hAnsi="Times New Roman"/>
          <w:b/>
        </w:rPr>
        <w:t>S</w:t>
      </w:r>
      <w:r w:rsidR="00825CBE">
        <w:rPr>
          <w:rFonts w:ascii="Times New Roman" w:hAnsi="Times New Roman"/>
          <w:b/>
        </w:rPr>
        <w:t>4</w:t>
      </w:r>
    </w:p>
    <w:p w14:paraId="12791921" w14:textId="5432C032" w:rsidR="005423C9" w:rsidRDefault="005423C9" w:rsidP="00E33A7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3A041B27" wp14:editId="0A5AA424">
            <wp:extent cx="5486400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3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5239" w14:textId="77777777" w:rsidR="005423C9" w:rsidRDefault="005423C9" w:rsidP="00E33A7E">
      <w:pPr>
        <w:rPr>
          <w:rFonts w:ascii="Times New Roman" w:hAnsi="Times New Roman"/>
        </w:rPr>
      </w:pPr>
    </w:p>
    <w:p w14:paraId="604B3D19" w14:textId="7EC3DFAD" w:rsidR="005423C9" w:rsidRPr="005423C9" w:rsidRDefault="005423C9" w:rsidP="00745899">
      <w:pPr>
        <w:spacing w:line="480" w:lineRule="auto"/>
        <w:rPr>
          <w:rFonts w:ascii="Times New Roman" w:hAnsi="Times New Roman"/>
        </w:rPr>
      </w:pPr>
      <w:r w:rsidRPr="005423C9">
        <w:rPr>
          <w:rFonts w:ascii="Times New Roman" w:hAnsi="Times New Roman"/>
          <w:b/>
          <w:bCs/>
        </w:rPr>
        <w:t xml:space="preserve">Supplementary </w:t>
      </w:r>
      <w:r w:rsidR="00A676DD">
        <w:rPr>
          <w:rFonts w:ascii="Times New Roman" w:hAnsi="Times New Roman"/>
          <w:b/>
          <w:bCs/>
        </w:rPr>
        <w:t>Fig.</w:t>
      </w:r>
      <w:r w:rsidR="00A676DD" w:rsidRPr="005423C9">
        <w:rPr>
          <w:rFonts w:ascii="Times New Roman" w:hAnsi="Times New Roman"/>
          <w:b/>
          <w:bCs/>
        </w:rPr>
        <w:t xml:space="preserve"> </w:t>
      </w:r>
      <w:r w:rsidRPr="005423C9">
        <w:rPr>
          <w:rFonts w:ascii="Times New Roman" w:hAnsi="Times New Roman"/>
          <w:b/>
          <w:bCs/>
        </w:rPr>
        <w:t>S</w:t>
      </w:r>
      <w:r w:rsidR="00825CBE">
        <w:rPr>
          <w:rFonts w:ascii="Times New Roman" w:hAnsi="Times New Roman"/>
          <w:b/>
          <w:bCs/>
        </w:rPr>
        <w:t>4</w:t>
      </w:r>
      <w:r w:rsidRPr="005423C9">
        <w:rPr>
          <w:rFonts w:ascii="Times New Roman" w:hAnsi="Times New Roman"/>
          <w:b/>
          <w:bCs/>
        </w:rPr>
        <w:t xml:space="preserve">. Significant increase of tumor apoptosis from a major responder. </w:t>
      </w:r>
      <w:r w:rsidRPr="005423C9">
        <w:rPr>
          <w:rFonts w:ascii="Times New Roman" w:hAnsi="Times New Roman"/>
        </w:rPr>
        <w:t>GSEA analysis of patients #6, #7 and #8’s tumor cells with the BIOCARTA CASPASE PATHWAY reveals a significant increase of tumor apoptosis from the major responder patient #6, no significance was observed from non-responder or moderate responder.</w:t>
      </w:r>
    </w:p>
    <w:p w14:paraId="2B3CEA64" w14:textId="77777777" w:rsidR="005423C9" w:rsidRDefault="005423C9" w:rsidP="00E33A7E">
      <w:pPr>
        <w:rPr>
          <w:rFonts w:ascii="Times New Roman" w:hAnsi="Times New Roman"/>
        </w:rPr>
      </w:pPr>
    </w:p>
    <w:p w14:paraId="461F0322" w14:textId="77777777" w:rsidR="005423C9" w:rsidRDefault="005423C9" w:rsidP="00E33A7E">
      <w:pPr>
        <w:rPr>
          <w:rFonts w:ascii="Times New Roman" w:hAnsi="Times New Roman"/>
        </w:rPr>
      </w:pPr>
    </w:p>
    <w:p w14:paraId="1455C4B5" w14:textId="68FCFA9D" w:rsidR="005423C9" w:rsidRPr="00745899" w:rsidRDefault="00A676DD" w:rsidP="00745899">
      <w:pPr>
        <w:pageBreakBefore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r w:rsidRPr="00745899">
        <w:rPr>
          <w:rFonts w:ascii="Times New Roman" w:hAnsi="Times New Roman"/>
          <w:b/>
        </w:rPr>
        <w:t>Fig</w:t>
      </w:r>
      <w:r>
        <w:rPr>
          <w:rFonts w:ascii="Times New Roman" w:hAnsi="Times New Roman"/>
          <w:b/>
        </w:rPr>
        <w:t>.</w:t>
      </w:r>
      <w:r w:rsidRPr="00745899">
        <w:rPr>
          <w:rFonts w:ascii="Times New Roman" w:hAnsi="Times New Roman"/>
          <w:b/>
        </w:rPr>
        <w:t xml:space="preserve"> </w:t>
      </w:r>
      <w:r w:rsidR="005423C9" w:rsidRPr="00745899">
        <w:rPr>
          <w:rFonts w:ascii="Times New Roman" w:hAnsi="Times New Roman"/>
          <w:b/>
        </w:rPr>
        <w:t>S</w:t>
      </w:r>
      <w:r w:rsidR="00825CBE">
        <w:rPr>
          <w:rFonts w:ascii="Times New Roman" w:hAnsi="Times New Roman"/>
          <w:b/>
        </w:rPr>
        <w:t>5</w:t>
      </w:r>
    </w:p>
    <w:p w14:paraId="3968079B" w14:textId="31825ADD" w:rsidR="005423C9" w:rsidRDefault="005423C9" w:rsidP="005423C9">
      <w:pPr>
        <w:jc w:val="center"/>
        <w:rPr>
          <w:rFonts w:ascii="Times New Roman" w:hAnsi="Times New Roman"/>
        </w:rPr>
      </w:pPr>
      <w:r w:rsidRPr="005423C9">
        <w:rPr>
          <w:rFonts w:ascii="Times New Roman" w:hAnsi="Times New Roman"/>
          <w:noProof/>
          <w:lang w:eastAsia="zh-CN"/>
        </w:rPr>
        <w:drawing>
          <wp:inline distT="0" distB="0" distL="0" distR="0" wp14:anchorId="70E49597" wp14:editId="0C4BC2BC">
            <wp:extent cx="2352675" cy="162623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3823C" w14:textId="4C273FE9" w:rsidR="005423C9" w:rsidRPr="005423C9" w:rsidRDefault="005423C9" w:rsidP="00745899">
      <w:pPr>
        <w:spacing w:line="480" w:lineRule="auto"/>
        <w:rPr>
          <w:rFonts w:ascii="Times New Roman" w:hAnsi="Times New Roman"/>
        </w:rPr>
      </w:pPr>
      <w:r w:rsidRPr="005423C9">
        <w:rPr>
          <w:rFonts w:ascii="Times New Roman" w:hAnsi="Times New Roman"/>
          <w:b/>
          <w:bCs/>
        </w:rPr>
        <w:t xml:space="preserve">Supplementary </w:t>
      </w:r>
      <w:r w:rsidR="00A676DD">
        <w:rPr>
          <w:rFonts w:ascii="Times New Roman" w:hAnsi="Times New Roman"/>
          <w:b/>
          <w:bCs/>
        </w:rPr>
        <w:t>Fig.</w:t>
      </w:r>
      <w:r w:rsidR="00A676DD" w:rsidRPr="005423C9">
        <w:rPr>
          <w:rFonts w:ascii="Times New Roman" w:hAnsi="Times New Roman"/>
          <w:b/>
          <w:bCs/>
        </w:rPr>
        <w:t xml:space="preserve"> </w:t>
      </w:r>
      <w:r w:rsidRPr="005423C9">
        <w:rPr>
          <w:rFonts w:ascii="Times New Roman" w:hAnsi="Times New Roman"/>
          <w:b/>
          <w:bCs/>
        </w:rPr>
        <w:t>S</w:t>
      </w:r>
      <w:r w:rsidR="00825CBE">
        <w:rPr>
          <w:rFonts w:ascii="Times New Roman" w:hAnsi="Times New Roman"/>
          <w:b/>
          <w:bCs/>
        </w:rPr>
        <w:t>5</w:t>
      </w:r>
      <w:r w:rsidRPr="005423C9">
        <w:rPr>
          <w:rFonts w:ascii="Times New Roman" w:hAnsi="Times New Roman"/>
          <w:b/>
          <w:bCs/>
        </w:rPr>
        <w:t xml:space="preserve">. Patients mainly have biased CD8 over CD4 T cells infiltration in the tumor. </w:t>
      </w:r>
      <w:r w:rsidRPr="005423C9">
        <w:rPr>
          <w:rFonts w:ascii="Times New Roman" w:hAnsi="Times New Roman"/>
        </w:rPr>
        <w:t>Except for patient #1 who had more CD4+ infiltrates in the tumor, the other 6 patients have up to 4.5 times more CD8 T cell infiltrates than CD4 T cells. IFN</w:t>
      </w:r>
      <w:r w:rsidRPr="005423C9">
        <w:rPr>
          <w:rFonts w:ascii="Cambria Math" w:eastAsia="Cambria Math" w:hAnsi="Cambria Math" w:cs="Cambria Math"/>
        </w:rPr>
        <w:t>𝛄</w:t>
      </w:r>
      <w:r w:rsidRPr="005423C9">
        <w:rPr>
          <w:rFonts w:ascii="Times New Roman" w:hAnsi="Times New Roman"/>
        </w:rPr>
        <w:t xml:space="preserve"> treatment doesn’t change the tumor infiltrating CD8:CD4 T cells ratio.</w:t>
      </w:r>
    </w:p>
    <w:p w14:paraId="12495845" w14:textId="77777777" w:rsidR="005423C9" w:rsidRDefault="005423C9" w:rsidP="005423C9">
      <w:pPr>
        <w:rPr>
          <w:rFonts w:ascii="Times New Roman" w:hAnsi="Times New Roman"/>
        </w:rPr>
      </w:pPr>
    </w:p>
    <w:p w14:paraId="74F950ED" w14:textId="1F2EBD42" w:rsidR="005423C9" w:rsidRPr="00745899" w:rsidRDefault="00A676DD" w:rsidP="00745899">
      <w:pPr>
        <w:pageBreakBefore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Supplementary </w:t>
      </w:r>
      <w:r w:rsidRPr="00745899">
        <w:rPr>
          <w:rFonts w:ascii="Times New Roman" w:hAnsi="Times New Roman"/>
          <w:b/>
        </w:rPr>
        <w:t>Fig</w:t>
      </w:r>
      <w:r>
        <w:rPr>
          <w:rFonts w:ascii="Times New Roman" w:hAnsi="Times New Roman"/>
          <w:b/>
        </w:rPr>
        <w:t>.</w:t>
      </w:r>
      <w:r w:rsidRPr="00745899">
        <w:rPr>
          <w:rFonts w:ascii="Times New Roman" w:hAnsi="Times New Roman"/>
          <w:b/>
        </w:rPr>
        <w:t xml:space="preserve"> </w:t>
      </w:r>
      <w:r w:rsidR="005423C9" w:rsidRPr="00745899">
        <w:rPr>
          <w:rFonts w:ascii="Times New Roman" w:hAnsi="Times New Roman"/>
          <w:b/>
        </w:rPr>
        <w:t>S</w:t>
      </w:r>
      <w:r w:rsidR="00825CBE">
        <w:rPr>
          <w:rFonts w:ascii="Times New Roman" w:hAnsi="Times New Roman"/>
          <w:b/>
        </w:rPr>
        <w:t>6</w:t>
      </w:r>
    </w:p>
    <w:p w14:paraId="1BA29B1F" w14:textId="6A46132E" w:rsidR="005423C9" w:rsidRDefault="005423C9" w:rsidP="005423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1D5ACA0B" wp14:editId="5B601255">
            <wp:extent cx="3098800" cy="662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S5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7967A1" w14:textId="77777777" w:rsidR="005423C9" w:rsidRDefault="005423C9" w:rsidP="00745899">
      <w:pPr>
        <w:spacing w:line="480" w:lineRule="auto"/>
        <w:rPr>
          <w:rFonts w:ascii="Times New Roman" w:hAnsi="Times New Roman"/>
        </w:rPr>
      </w:pPr>
    </w:p>
    <w:p w14:paraId="720B4DF5" w14:textId="5F1F59C7" w:rsidR="005423C9" w:rsidRPr="002838C3" w:rsidRDefault="005423C9" w:rsidP="00825CBE">
      <w:pPr>
        <w:spacing w:line="480" w:lineRule="auto"/>
        <w:rPr>
          <w:rFonts w:ascii="Times New Roman" w:hAnsi="Times New Roman"/>
        </w:rPr>
      </w:pPr>
      <w:r w:rsidRPr="005423C9">
        <w:rPr>
          <w:rFonts w:ascii="Times New Roman" w:hAnsi="Times New Roman"/>
          <w:b/>
          <w:bCs/>
        </w:rPr>
        <w:t xml:space="preserve">Supplementary </w:t>
      </w:r>
      <w:r w:rsidR="00A676DD">
        <w:rPr>
          <w:rFonts w:ascii="Times New Roman" w:hAnsi="Times New Roman"/>
          <w:b/>
          <w:bCs/>
        </w:rPr>
        <w:t>Fig.</w:t>
      </w:r>
      <w:r w:rsidR="00A676DD" w:rsidRPr="005423C9">
        <w:rPr>
          <w:rFonts w:ascii="Times New Roman" w:hAnsi="Times New Roman"/>
          <w:b/>
          <w:bCs/>
        </w:rPr>
        <w:t xml:space="preserve"> </w:t>
      </w:r>
      <w:r w:rsidRPr="005423C9">
        <w:rPr>
          <w:rFonts w:ascii="Times New Roman" w:hAnsi="Times New Roman"/>
          <w:b/>
          <w:bCs/>
        </w:rPr>
        <w:t>S</w:t>
      </w:r>
      <w:r w:rsidR="00825CBE">
        <w:rPr>
          <w:rFonts w:ascii="Times New Roman" w:hAnsi="Times New Roman"/>
          <w:b/>
          <w:bCs/>
        </w:rPr>
        <w:t>6</w:t>
      </w:r>
      <w:r w:rsidRPr="005423C9">
        <w:rPr>
          <w:rFonts w:ascii="Times New Roman" w:hAnsi="Times New Roman"/>
          <w:b/>
          <w:bCs/>
        </w:rPr>
        <w:t xml:space="preserve">. Profiles of patients’ serum cytokine. </w:t>
      </w:r>
      <w:proofErr w:type="spellStart"/>
      <w:r w:rsidRPr="005423C9">
        <w:rPr>
          <w:rFonts w:ascii="Times New Roman" w:hAnsi="Times New Roman"/>
        </w:rPr>
        <w:t>Patients’s</w:t>
      </w:r>
      <w:proofErr w:type="spellEnd"/>
      <w:r w:rsidRPr="005423C9">
        <w:rPr>
          <w:rFonts w:ascii="Times New Roman" w:hAnsi="Times New Roman"/>
        </w:rPr>
        <w:t xml:space="preserve"> serum were</w:t>
      </w:r>
      <w:r w:rsidRPr="005423C9">
        <w:rPr>
          <w:rFonts w:ascii="Times New Roman" w:hAnsi="Times New Roman"/>
          <w:b/>
          <w:bCs/>
        </w:rPr>
        <w:t xml:space="preserve"> </w:t>
      </w:r>
      <w:r w:rsidRPr="005423C9">
        <w:rPr>
          <w:rFonts w:ascii="Times New Roman" w:hAnsi="Times New Roman"/>
        </w:rPr>
        <w:t xml:space="preserve">measured by </w:t>
      </w:r>
      <w:proofErr w:type="spellStart"/>
      <w:r w:rsidRPr="005423C9">
        <w:rPr>
          <w:rFonts w:ascii="Times New Roman" w:hAnsi="Times New Roman"/>
        </w:rPr>
        <w:t>ProcartaPlex</w:t>
      </w:r>
      <w:proofErr w:type="spellEnd"/>
      <w:r w:rsidRPr="005423C9">
        <w:rPr>
          <w:rFonts w:ascii="Times New Roman" w:hAnsi="Times New Roman"/>
        </w:rPr>
        <w:t xml:space="preserve"> Immunoassays for 79 cytokines, chemokines and other molecules. Red indicates high values, and blue indicates low values. </w:t>
      </w:r>
    </w:p>
    <w:sectPr w:rsidR="005423C9" w:rsidRPr="002838C3" w:rsidSect="006F3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1DDE"/>
    <w:multiLevelType w:val="multilevel"/>
    <w:tmpl w:val="26C0F988"/>
    <w:lvl w:ilvl="0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60" w:hanging="48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EA"/>
    <w:rsid w:val="00000499"/>
    <w:rsid w:val="000C7018"/>
    <w:rsid w:val="000D3D75"/>
    <w:rsid w:val="00245579"/>
    <w:rsid w:val="002838C3"/>
    <w:rsid w:val="002A0221"/>
    <w:rsid w:val="002A29DD"/>
    <w:rsid w:val="003809FE"/>
    <w:rsid w:val="004B2625"/>
    <w:rsid w:val="00531090"/>
    <w:rsid w:val="00540A28"/>
    <w:rsid w:val="005423C9"/>
    <w:rsid w:val="0055751F"/>
    <w:rsid w:val="00586968"/>
    <w:rsid w:val="0059524E"/>
    <w:rsid w:val="005A73E9"/>
    <w:rsid w:val="005D400A"/>
    <w:rsid w:val="00647544"/>
    <w:rsid w:val="0064762A"/>
    <w:rsid w:val="006E4568"/>
    <w:rsid w:val="006F3374"/>
    <w:rsid w:val="00745899"/>
    <w:rsid w:val="007636EA"/>
    <w:rsid w:val="007C21AB"/>
    <w:rsid w:val="00825CBE"/>
    <w:rsid w:val="00870EA8"/>
    <w:rsid w:val="00A35F59"/>
    <w:rsid w:val="00A41EE3"/>
    <w:rsid w:val="00A676DD"/>
    <w:rsid w:val="00A72579"/>
    <w:rsid w:val="00C465B7"/>
    <w:rsid w:val="00D42200"/>
    <w:rsid w:val="00DE43FD"/>
    <w:rsid w:val="00E33A7E"/>
    <w:rsid w:val="00F33E37"/>
    <w:rsid w:val="00F530E9"/>
    <w:rsid w:val="00F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A1D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6E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7636EA"/>
    <w:pPr>
      <w:tabs>
        <w:tab w:val="left" w:pos="2160"/>
      </w:tabs>
      <w:autoSpaceDE w:val="0"/>
      <w:autoSpaceDN w:val="0"/>
      <w:spacing w:before="80" w:after="80" w:line="240" w:lineRule="atLeast"/>
      <w:ind w:left="2160" w:hanging="900"/>
      <w:jc w:val="both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uiPriority w:val="39"/>
    <w:rsid w:val="00F3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F33E3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33E37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E37"/>
    <w:rPr>
      <w:rFonts w:ascii="Times New Roman" w:eastAsia="Times" w:hAnsi="Times New Roman" w:cs="Times New Roman"/>
    </w:rPr>
  </w:style>
  <w:style w:type="table" w:styleId="GridTable4">
    <w:name w:val="Grid Table 4"/>
    <w:basedOn w:val="TableNormal"/>
    <w:uiPriority w:val="49"/>
    <w:rsid w:val="002A02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5CB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BE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 Pollack</dc:creator>
  <cp:keywords/>
  <dc:description/>
  <cp:lastModifiedBy>Miller, Linda</cp:lastModifiedBy>
  <cp:revision>3</cp:revision>
  <dcterms:created xsi:type="dcterms:W3CDTF">2019-05-31T15:23:00Z</dcterms:created>
  <dcterms:modified xsi:type="dcterms:W3CDTF">2019-05-31T15:24:00Z</dcterms:modified>
</cp:coreProperties>
</file>