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5DDC" w14:textId="576FE94C" w:rsidR="00435298" w:rsidRPr="00435298" w:rsidRDefault="00BD368C" w:rsidP="001320D3">
      <w:pPr>
        <w:spacing w:after="160"/>
        <w:rPr>
          <w:rFonts w:ascii="Helvetica" w:hAnsi="Helvetica"/>
        </w:rPr>
      </w:pPr>
      <w:r w:rsidRPr="00BD368C">
        <w:rPr>
          <w:rFonts w:ascii="Helvetica" w:hAnsi="Helvetica"/>
        </w:rPr>
        <w:t>Sanseviero</w:t>
      </w:r>
      <w:r w:rsidR="00435298" w:rsidRPr="00435298">
        <w:rPr>
          <w:rFonts w:ascii="Helvetica" w:hAnsi="Helvetica"/>
        </w:rPr>
        <w:t xml:space="preserve"> et al., </w:t>
      </w:r>
    </w:p>
    <w:p w14:paraId="0784EF4D" w14:textId="77174F99" w:rsidR="00435298" w:rsidRPr="00435298" w:rsidRDefault="00435298" w:rsidP="001320D3">
      <w:pPr>
        <w:spacing w:after="160"/>
        <w:rPr>
          <w:rFonts w:ascii="Helvetica" w:hAnsi="Helvetica"/>
        </w:rPr>
      </w:pPr>
    </w:p>
    <w:p w14:paraId="54559159" w14:textId="77777777" w:rsidR="00435298" w:rsidRPr="00435298" w:rsidRDefault="00435298" w:rsidP="001320D3">
      <w:pPr>
        <w:spacing w:after="160"/>
        <w:rPr>
          <w:rFonts w:ascii="Helvetica" w:hAnsi="Helvetica"/>
        </w:rPr>
      </w:pPr>
    </w:p>
    <w:p w14:paraId="3065031B" w14:textId="512D4AAE" w:rsidR="00435298" w:rsidRPr="00435298" w:rsidRDefault="00435298" w:rsidP="001320D3">
      <w:pPr>
        <w:spacing w:after="160"/>
        <w:rPr>
          <w:rFonts w:ascii="Helvetica" w:hAnsi="Helvetica"/>
        </w:rPr>
      </w:pPr>
      <w:r w:rsidRPr="00435298">
        <w:rPr>
          <w:rFonts w:ascii="Helvetica" w:hAnsi="Helvetica"/>
        </w:rPr>
        <w:t>Supplemental Data</w:t>
      </w:r>
    </w:p>
    <w:p w14:paraId="5196D02C" w14:textId="4520535C" w:rsidR="00435298" w:rsidRPr="00435298" w:rsidRDefault="00435298" w:rsidP="001320D3">
      <w:pPr>
        <w:spacing w:after="160"/>
        <w:rPr>
          <w:rFonts w:ascii="Helvetica" w:hAnsi="Helvetica"/>
        </w:rPr>
      </w:pPr>
    </w:p>
    <w:p w14:paraId="042AC013" w14:textId="77777777" w:rsidR="00435298" w:rsidRPr="00435298" w:rsidRDefault="00435298" w:rsidP="001320D3">
      <w:pPr>
        <w:spacing w:after="160"/>
        <w:rPr>
          <w:rFonts w:ascii="Helvetica" w:hAnsi="Helvetica"/>
        </w:rPr>
      </w:pPr>
    </w:p>
    <w:p w14:paraId="6DECEB70" w14:textId="1014A9D9" w:rsidR="00435298" w:rsidRPr="00435298" w:rsidRDefault="00435298" w:rsidP="001320D3">
      <w:pPr>
        <w:spacing w:after="160"/>
        <w:rPr>
          <w:rFonts w:ascii="Helvetica" w:hAnsi="Helvetica"/>
        </w:rPr>
      </w:pPr>
      <w:r w:rsidRPr="00435298">
        <w:rPr>
          <w:rFonts w:ascii="Helvetica" w:hAnsi="Helvetica"/>
        </w:rPr>
        <w:t>Table of Contents</w:t>
      </w:r>
    </w:p>
    <w:p w14:paraId="4B7B3C57" w14:textId="77777777" w:rsidR="00435298" w:rsidRPr="00435298" w:rsidRDefault="00435298" w:rsidP="001320D3">
      <w:pPr>
        <w:spacing w:after="160"/>
        <w:rPr>
          <w:rFonts w:ascii="Helvetica" w:hAnsi="Helvetica"/>
        </w:rPr>
      </w:pPr>
    </w:p>
    <w:p w14:paraId="4C03B414" w14:textId="77777777" w:rsidR="00435298" w:rsidRPr="00435298" w:rsidRDefault="00435298" w:rsidP="001320D3">
      <w:pPr>
        <w:spacing w:after="160"/>
        <w:rPr>
          <w:rFonts w:ascii="Helvetica" w:hAnsi="Helvetica"/>
        </w:rPr>
      </w:pPr>
    </w:p>
    <w:p w14:paraId="719B6A88" w14:textId="392C8379" w:rsidR="002E6447" w:rsidRPr="00435298" w:rsidRDefault="00F35008" w:rsidP="001320D3">
      <w:pPr>
        <w:spacing w:after="160"/>
        <w:rPr>
          <w:rFonts w:ascii="Helvetica" w:hAnsi="Helvetica"/>
        </w:rPr>
      </w:pPr>
      <w:r>
        <w:rPr>
          <w:rFonts w:ascii="Helvetica" w:hAnsi="Helvetica"/>
        </w:rPr>
        <w:t xml:space="preserve">Supplemental </w:t>
      </w:r>
      <w:r w:rsidR="002E6447">
        <w:rPr>
          <w:rFonts w:ascii="Helvetica" w:hAnsi="Helvetica"/>
        </w:rPr>
        <w:t>Figure Legends</w:t>
      </w:r>
    </w:p>
    <w:p w14:paraId="6B14DA15" w14:textId="1F16D47B" w:rsidR="00435298" w:rsidRDefault="001811AF" w:rsidP="001320D3">
      <w:pPr>
        <w:spacing w:after="160"/>
        <w:rPr>
          <w:rFonts w:ascii="Helvetica" w:hAnsi="Helvetica"/>
        </w:rPr>
      </w:pPr>
      <w:r>
        <w:rPr>
          <w:rFonts w:ascii="Helvetica" w:hAnsi="Helvetica"/>
        </w:rPr>
        <w:t>Supplemental</w:t>
      </w:r>
      <w:r w:rsidR="00435298" w:rsidRPr="00435298">
        <w:rPr>
          <w:rFonts w:ascii="Helvetica" w:hAnsi="Helvetica"/>
        </w:rPr>
        <w:t xml:space="preserve"> Figure 1</w:t>
      </w:r>
    </w:p>
    <w:p w14:paraId="64697E41" w14:textId="2BAE0024" w:rsidR="002E6447" w:rsidRDefault="001811AF" w:rsidP="001320D3">
      <w:pPr>
        <w:spacing w:after="160"/>
        <w:rPr>
          <w:rFonts w:ascii="Helvetica" w:hAnsi="Helvetica"/>
        </w:rPr>
      </w:pPr>
      <w:r>
        <w:rPr>
          <w:rFonts w:ascii="Helvetica" w:hAnsi="Helvetica"/>
        </w:rPr>
        <w:t>Supplemental</w:t>
      </w:r>
      <w:r w:rsidR="002E6447">
        <w:rPr>
          <w:rFonts w:ascii="Helvetica" w:hAnsi="Helvetica"/>
        </w:rPr>
        <w:t xml:space="preserve"> Figure 2</w:t>
      </w:r>
    </w:p>
    <w:p w14:paraId="4D482C09" w14:textId="32E5B7E4" w:rsidR="00380489" w:rsidRDefault="00380489" w:rsidP="001320D3">
      <w:pPr>
        <w:spacing w:after="160"/>
        <w:rPr>
          <w:rFonts w:ascii="Helvetica" w:hAnsi="Helvetica"/>
        </w:rPr>
      </w:pPr>
      <w:r>
        <w:rPr>
          <w:rFonts w:ascii="Helvetica" w:hAnsi="Helvetica"/>
        </w:rPr>
        <w:t>Supplemental Figure 3</w:t>
      </w:r>
    </w:p>
    <w:p w14:paraId="3A145F7D" w14:textId="62622C36" w:rsidR="00DC431B" w:rsidRDefault="00DC431B" w:rsidP="00DC431B">
      <w:pPr>
        <w:spacing w:after="160"/>
        <w:rPr>
          <w:rFonts w:ascii="Helvetica" w:hAnsi="Helvetica"/>
        </w:rPr>
      </w:pPr>
      <w:r>
        <w:rPr>
          <w:rFonts w:ascii="Helvetica" w:hAnsi="Helvetica"/>
        </w:rPr>
        <w:t>Supplemental Figure 4</w:t>
      </w:r>
    </w:p>
    <w:p w14:paraId="31CC6FB5" w14:textId="77777777" w:rsidR="00DC431B" w:rsidRDefault="00DC431B" w:rsidP="001320D3">
      <w:pPr>
        <w:spacing w:after="160"/>
        <w:rPr>
          <w:rFonts w:ascii="Helvetica" w:hAnsi="Helvetica"/>
        </w:rPr>
      </w:pPr>
    </w:p>
    <w:p w14:paraId="0C66C421" w14:textId="7BBC8083" w:rsidR="001811AF" w:rsidRPr="00435298" w:rsidRDefault="001811AF" w:rsidP="001320D3">
      <w:pPr>
        <w:spacing w:after="160"/>
        <w:rPr>
          <w:rFonts w:ascii="Helvetica" w:hAnsi="Helvetica"/>
        </w:rPr>
      </w:pPr>
    </w:p>
    <w:p w14:paraId="69933486" w14:textId="4F52E89F" w:rsidR="00435298" w:rsidRDefault="00435298" w:rsidP="001320D3">
      <w:pPr>
        <w:spacing w:after="160"/>
        <w:rPr>
          <w:rFonts w:ascii="Helvetica" w:hAnsi="Helvetica"/>
          <w:b/>
        </w:rPr>
      </w:pPr>
    </w:p>
    <w:p w14:paraId="3AB303D6" w14:textId="77777777" w:rsidR="00435298" w:rsidRDefault="00435298" w:rsidP="001320D3">
      <w:pPr>
        <w:spacing w:after="160"/>
        <w:rPr>
          <w:rFonts w:ascii="Helvetica" w:hAnsi="Helvetica"/>
          <w:b/>
        </w:rPr>
      </w:pPr>
    </w:p>
    <w:p w14:paraId="7485E578" w14:textId="4FC11C89" w:rsidR="00820E56" w:rsidRDefault="00820E56" w:rsidP="001320D3">
      <w:pPr>
        <w:spacing w:after="160"/>
        <w:rPr>
          <w:rFonts w:ascii="Helvetica" w:hAnsi="Helvetica" w:cs="Arial"/>
        </w:rPr>
      </w:pPr>
    </w:p>
    <w:p w14:paraId="31065300" w14:textId="77777777" w:rsidR="001811AF" w:rsidRDefault="001811AF">
      <w:pPr>
        <w:rPr>
          <w:rFonts w:ascii="Helvetica" w:hAnsi="Helvetica" w:cs="Arial"/>
          <w:b/>
        </w:rPr>
      </w:pPr>
      <w:r>
        <w:rPr>
          <w:rFonts w:ascii="Helvetica" w:hAnsi="Helvetica" w:cs="Arial"/>
          <w:b/>
        </w:rPr>
        <w:br w:type="page"/>
      </w:r>
    </w:p>
    <w:p w14:paraId="23A3FC06" w14:textId="6D0CCC9F" w:rsidR="00820E56" w:rsidRPr="001811AF" w:rsidRDefault="00820E56" w:rsidP="001320D3">
      <w:pPr>
        <w:spacing w:after="160"/>
        <w:rPr>
          <w:rFonts w:ascii="Helvetica" w:hAnsi="Helvetica" w:cs="Arial"/>
          <w:b/>
        </w:rPr>
      </w:pPr>
      <w:r w:rsidRPr="001811AF">
        <w:rPr>
          <w:rFonts w:ascii="Helvetica" w:hAnsi="Helvetica" w:cs="Arial"/>
          <w:b/>
        </w:rPr>
        <w:lastRenderedPageBreak/>
        <w:t>Supplemental Figure Legends.</w:t>
      </w:r>
    </w:p>
    <w:p w14:paraId="0811A7BF" w14:textId="511E6998" w:rsidR="00820E56" w:rsidRPr="001811AF" w:rsidRDefault="00820E56" w:rsidP="001320D3">
      <w:pPr>
        <w:spacing w:after="160"/>
        <w:rPr>
          <w:rFonts w:ascii="Helvetica" w:hAnsi="Helvetica" w:cs="Arial"/>
          <w:b/>
        </w:rPr>
      </w:pPr>
      <w:r w:rsidRPr="001811AF">
        <w:rPr>
          <w:rFonts w:ascii="Helvetica" w:hAnsi="Helvetica" w:cs="Arial"/>
          <w:b/>
        </w:rPr>
        <w:t>Supplemental Figure 1</w:t>
      </w:r>
      <w:r w:rsidR="001811AF">
        <w:rPr>
          <w:rFonts w:ascii="Helvetica" w:hAnsi="Helvetica" w:cs="Arial"/>
          <w:b/>
        </w:rPr>
        <w:t>. Expression of CTLA4 by intratumoral NK cells.</w:t>
      </w:r>
    </w:p>
    <w:p w14:paraId="7CC81047" w14:textId="3808860C" w:rsidR="00745666" w:rsidRPr="001A3968" w:rsidRDefault="00EE0C32" w:rsidP="00745666">
      <w:pPr>
        <w:spacing w:after="160"/>
        <w:jc w:val="both"/>
        <w:rPr>
          <w:rFonts w:ascii="Helvetica" w:hAnsi="Helvetica" w:cs="Times New Roman"/>
        </w:rPr>
      </w:pPr>
      <w:r>
        <w:rPr>
          <w:rFonts w:ascii="Helvetica" w:hAnsi="Helvetica" w:cs="Times New Roman"/>
        </w:rPr>
        <w:t xml:space="preserve">(A) </w:t>
      </w:r>
      <w:r w:rsidRPr="00916C38">
        <w:rPr>
          <w:rFonts w:ascii="Helvetica" w:hAnsi="Helvetica" w:cs="Times New Roman"/>
        </w:rPr>
        <w:t xml:space="preserve">CT26 cells </w:t>
      </w:r>
      <w:r>
        <w:rPr>
          <w:rFonts w:ascii="Helvetica" w:hAnsi="Helvetica" w:cs="Times New Roman"/>
        </w:rPr>
        <w:t>were transplanted s.c. and on day</w:t>
      </w:r>
      <w:r w:rsidR="001A3968">
        <w:rPr>
          <w:rFonts w:ascii="Helvetica" w:hAnsi="Helvetica" w:cs="Times New Roman"/>
        </w:rPr>
        <w:t xml:space="preserve"> 9</w:t>
      </w:r>
      <w:r>
        <w:rPr>
          <w:rFonts w:ascii="Helvetica" w:hAnsi="Helvetica" w:cs="Times New Roman"/>
        </w:rPr>
        <w:t xml:space="preserve"> post tumor transplantation </w:t>
      </w:r>
      <w:r w:rsidRPr="00916C38">
        <w:rPr>
          <w:rFonts w:ascii="Helvetica" w:hAnsi="Helvetica" w:cs="Times New Roman"/>
        </w:rPr>
        <w:t xml:space="preserve">mice were treated with anti-CTLA4 (clone </w:t>
      </w:r>
      <w:r>
        <w:rPr>
          <w:rFonts w:ascii="Helvetica" w:hAnsi="Helvetica" w:cs="Times New Roman"/>
        </w:rPr>
        <w:t xml:space="preserve">9H10) or isotype (Isotype) control. </w:t>
      </w:r>
      <w:r w:rsidR="00C27E9E" w:rsidRPr="00916C38">
        <w:rPr>
          <w:rFonts w:ascii="Helvetica" w:hAnsi="Helvetica" w:cs="Times New Roman"/>
        </w:rPr>
        <w:t>Graphs show the frequency of NK cells (</w:t>
      </w:r>
      <w:r w:rsidR="00C27E9E">
        <w:rPr>
          <w:rFonts w:ascii="Helvetica" w:hAnsi="Helvetica" w:cs="Times New Roman"/>
        </w:rPr>
        <w:t>Live CD45+CD19-Ly6G-</w:t>
      </w:r>
      <w:r w:rsidR="00C27E9E" w:rsidRPr="00916C38">
        <w:rPr>
          <w:rFonts w:ascii="Helvetica" w:hAnsi="Helvetica" w:cs="Times New Roman"/>
        </w:rPr>
        <w:t xml:space="preserve">CD3-NKp46+) that </w:t>
      </w:r>
      <w:r w:rsidR="005706F9">
        <w:rPr>
          <w:rFonts w:ascii="Helvetica" w:hAnsi="Helvetica" w:cs="Times New Roman"/>
        </w:rPr>
        <w:t xml:space="preserve">display </w:t>
      </w:r>
      <w:r w:rsidR="001A3968">
        <w:rPr>
          <w:rFonts w:ascii="Helvetica" w:hAnsi="Helvetica" w:cs="Times New Roman"/>
        </w:rPr>
        <w:t>CD1</w:t>
      </w:r>
      <w:r w:rsidR="004C381D">
        <w:rPr>
          <w:rFonts w:ascii="Helvetica" w:hAnsi="Helvetica" w:cs="Times New Roman"/>
        </w:rPr>
        <w:t>0</w:t>
      </w:r>
      <w:r w:rsidR="001A3968">
        <w:rPr>
          <w:rFonts w:ascii="Helvetica" w:hAnsi="Helvetica" w:cs="Times New Roman"/>
        </w:rPr>
        <w:t xml:space="preserve">7a </w:t>
      </w:r>
      <w:r w:rsidR="005706F9">
        <w:rPr>
          <w:rFonts w:ascii="Helvetica" w:hAnsi="Helvetica" w:cs="Times New Roman"/>
        </w:rPr>
        <w:t>on their surface</w:t>
      </w:r>
      <w:r w:rsidR="00BF2866">
        <w:rPr>
          <w:rFonts w:ascii="Helvetica" w:hAnsi="Helvetica" w:cs="Times New Roman"/>
        </w:rPr>
        <w:t xml:space="preserve"> </w:t>
      </w:r>
      <w:r w:rsidR="00C27E9E">
        <w:rPr>
          <w:rFonts w:ascii="Helvetica" w:hAnsi="Helvetica" w:cs="Times New Roman"/>
        </w:rPr>
        <w:t xml:space="preserve">on day 14 </w:t>
      </w:r>
      <w:r w:rsidR="001A3968">
        <w:rPr>
          <w:rFonts w:ascii="Helvetica" w:hAnsi="Helvetica" w:cs="Times New Roman"/>
        </w:rPr>
        <w:t>as determined by flow cytometry. (</w:t>
      </w:r>
      <w:r w:rsidR="005706F9">
        <w:rPr>
          <w:rFonts w:ascii="Helvetica" w:hAnsi="Helvetica" w:cs="Times New Roman"/>
        </w:rPr>
        <w:t>B</w:t>
      </w:r>
      <w:r w:rsidR="001A3968">
        <w:rPr>
          <w:rFonts w:ascii="Helvetica" w:hAnsi="Helvetica" w:cs="Times New Roman"/>
        </w:rPr>
        <w:t xml:space="preserve">) </w:t>
      </w:r>
      <w:r w:rsidR="00745666" w:rsidRPr="00916C38">
        <w:rPr>
          <w:rFonts w:ascii="Helvetica" w:hAnsi="Helvetica" w:cs="Times New Roman"/>
        </w:rPr>
        <w:t xml:space="preserve">Representative contour plots </w:t>
      </w:r>
      <w:r w:rsidR="004C381D">
        <w:rPr>
          <w:rFonts w:ascii="Helvetica" w:hAnsi="Helvetica" w:cs="Times New Roman"/>
        </w:rPr>
        <w:t xml:space="preserve">and corresponding graphs </w:t>
      </w:r>
      <w:r w:rsidR="00745666" w:rsidRPr="00916C38">
        <w:rPr>
          <w:rFonts w:ascii="Helvetica" w:hAnsi="Helvetica" w:cs="Times New Roman"/>
        </w:rPr>
        <w:t>showing expression of NKp46 versus IC or s</w:t>
      </w:r>
      <w:r w:rsidR="00745666">
        <w:rPr>
          <w:rFonts w:ascii="Helvetica" w:hAnsi="Helvetica" w:cs="Times New Roman"/>
        </w:rPr>
        <w:t xml:space="preserve">urface </w:t>
      </w:r>
      <w:r w:rsidR="00745666" w:rsidRPr="00916C38">
        <w:rPr>
          <w:rFonts w:ascii="Helvetica" w:hAnsi="Helvetica" w:cs="Times New Roman"/>
        </w:rPr>
        <w:t>CTLA4</w:t>
      </w:r>
      <w:r w:rsidR="00745666">
        <w:rPr>
          <w:rFonts w:ascii="Helvetica" w:hAnsi="Helvetica" w:cs="Times New Roman"/>
        </w:rPr>
        <w:t xml:space="preserve"> (sCTLA4)</w:t>
      </w:r>
      <w:r w:rsidR="00745666" w:rsidRPr="00916C38">
        <w:rPr>
          <w:rFonts w:ascii="Helvetica" w:hAnsi="Helvetica" w:cs="Times New Roman"/>
        </w:rPr>
        <w:t xml:space="preserve"> by Live</w:t>
      </w:r>
      <w:r w:rsidR="00745666">
        <w:rPr>
          <w:rFonts w:ascii="Helvetica" w:hAnsi="Helvetica" w:cs="Times New Roman"/>
        </w:rPr>
        <w:t xml:space="preserve"> </w:t>
      </w:r>
      <w:r w:rsidR="00745666" w:rsidRPr="00916C38">
        <w:rPr>
          <w:rFonts w:ascii="Helvetica" w:hAnsi="Helvetica" w:cs="Times New Roman"/>
        </w:rPr>
        <w:t>CD45+</w:t>
      </w:r>
      <w:r w:rsidR="00745666">
        <w:rPr>
          <w:rFonts w:ascii="Helvetica" w:hAnsi="Helvetica" w:cs="Times New Roman"/>
        </w:rPr>
        <w:t>CD19-CD11c-Ly6G</w:t>
      </w:r>
      <w:r w:rsidR="00745666" w:rsidRPr="00916C38">
        <w:rPr>
          <w:rFonts w:ascii="Helvetica" w:hAnsi="Helvetica" w:cs="Times New Roman"/>
        </w:rPr>
        <w:t xml:space="preserve">- cells infiltrating CT26 tumors 18 days post transplantation. </w:t>
      </w:r>
      <w:r w:rsidR="00745666">
        <w:rPr>
          <w:rFonts w:ascii="Helvetica" w:hAnsi="Helvetica" w:cs="Times New Roman"/>
        </w:rPr>
        <w:t>I</w:t>
      </w:r>
      <w:r w:rsidR="00745666" w:rsidRPr="00916C38">
        <w:rPr>
          <w:rFonts w:ascii="Helvetica" w:hAnsi="Helvetica" w:cs="Times New Roman"/>
        </w:rPr>
        <w:t>sotype con</w:t>
      </w:r>
      <w:r w:rsidR="00745666">
        <w:rPr>
          <w:rFonts w:ascii="Helvetica" w:hAnsi="Helvetica" w:cs="Times New Roman"/>
        </w:rPr>
        <w:t>trol staining for the sCTLA4 an</w:t>
      </w:r>
      <w:r w:rsidR="00745666" w:rsidRPr="00916C38">
        <w:rPr>
          <w:rFonts w:ascii="Helvetica" w:hAnsi="Helvetica" w:cs="Times New Roman"/>
        </w:rPr>
        <w:t>t</w:t>
      </w:r>
      <w:r w:rsidR="00745666">
        <w:rPr>
          <w:rFonts w:ascii="Helvetica" w:hAnsi="Helvetica" w:cs="Times New Roman"/>
        </w:rPr>
        <w:t>ib</w:t>
      </w:r>
      <w:r w:rsidR="00745666" w:rsidRPr="00916C38">
        <w:rPr>
          <w:rFonts w:ascii="Helvetica" w:hAnsi="Helvetica" w:cs="Times New Roman"/>
        </w:rPr>
        <w:t xml:space="preserve">ody is also shown. </w:t>
      </w:r>
      <w:r w:rsidR="00745666">
        <w:rPr>
          <w:rFonts w:ascii="Helvetica" w:hAnsi="Helvetica" w:cs="Arial"/>
        </w:rPr>
        <w:t>To determine statistical significance t-test for two groups was used.</w:t>
      </w:r>
      <w:r w:rsidR="00745666" w:rsidRPr="00745666">
        <w:rPr>
          <w:rFonts w:ascii="Helvetica" w:hAnsi="Helvetica" w:cs="Arial"/>
        </w:rPr>
        <w:t xml:space="preserve"> </w:t>
      </w:r>
      <w:r w:rsidR="00745666">
        <w:rPr>
          <w:rFonts w:ascii="Helvetica" w:hAnsi="Helvetica" w:cs="Arial"/>
        </w:rPr>
        <w:t>**** indicates p&lt; 0.0001.</w:t>
      </w:r>
    </w:p>
    <w:p w14:paraId="30D7B8C7" w14:textId="3D969040" w:rsidR="00820E56" w:rsidRPr="001811AF" w:rsidRDefault="00820E56" w:rsidP="001320D3">
      <w:pPr>
        <w:spacing w:after="160"/>
        <w:rPr>
          <w:rFonts w:ascii="Helvetica" w:hAnsi="Helvetica" w:cs="Arial"/>
          <w:b/>
        </w:rPr>
      </w:pPr>
      <w:r w:rsidRPr="001811AF">
        <w:rPr>
          <w:rFonts w:ascii="Helvetica" w:hAnsi="Helvetica" w:cs="Arial"/>
          <w:b/>
        </w:rPr>
        <w:t xml:space="preserve">Supplemental Figure 2. </w:t>
      </w:r>
      <w:r w:rsidR="001811AF">
        <w:rPr>
          <w:rFonts w:ascii="Helvetica" w:hAnsi="Helvetica" w:cs="Arial"/>
          <w:b/>
        </w:rPr>
        <w:t xml:space="preserve">Expression of sCTLA4 on T cells infiltrating murine tumors. </w:t>
      </w:r>
    </w:p>
    <w:p w14:paraId="739E62D7" w14:textId="14706C88" w:rsidR="00820E56" w:rsidRDefault="00820E56" w:rsidP="00820E56">
      <w:pPr>
        <w:spacing w:after="160"/>
        <w:jc w:val="both"/>
        <w:rPr>
          <w:rFonts w:ascii="Helvetica" w:hAnsi="Helvetica" w:cs="Arial"/>
        </w:rPr>
      </w:pPr>
      <w:r w:rsidRPr="00916C38">
        <w:rPr>
          <w:rFonts w:ascii="Helvetica" w:hAnsi="Helvetica" w:cs="Times New Roman"/>
        </w:rPr>
        <w:t>(</w:t>
      </w:r>
      <w:r>
        <w:rPr>
          <w:rFonts w:ascii="Helvetica" w:hAnsi="Helvetica" w:cs="Arial"/>
        </w:rPr>
        <w:t>A-B</w:t>
      </w:r>
      <w:r w:rsidRPr="00916C38">
        <w:rPr>
          <w:rFonts w:ascii="Helvetica" w:hAnsi="Helvetica" w:cs="Arial"/>
        </w:rPr>
        <w:t>) Flow cytometry was used to visu</w:t>
      </w:r>
      <w:r w:rsidR="00A44A54">
        <w:rPr>
          <w:rFonts w:ascii="Helvetica" w:hAnsi="Helvetica" w:cs="Arial"/>
        </w:rPr>
        <w:t>alize expression of sCTLA4 on</w:t>
      </w:r>
      <w:r w:rsidRPr="00916C38">
        <w:rPr>
          <w:rFonts w:ascii="Helvetica" w:hAnsi="Helvetica" w:cs="Arial"/>
        </w:rPr>
        <w:t xml:space="preserve"> intratumoral T cell subpopulations. Histograms show sCTLA4 expression on the </w:t>
      </w:r>
      <w:r>
        <w:rPr>
          <w:rFonts w:ascii="Helvetica" w:hAnsi="Helvetica" w:cs="Arial"/>
        </w:rPr>
        <w:t xml:space="preserve">following </w:t>
      </w:r>
      <w:r w:rsidR="002E6447">
        <w:rPr>
          <w:rFonts w:ascii="Helvetica" w:hAnsi="Helvetica" w:cs="Arial"/>
        </w:rPr>
        <w:t xml:space="preserve">intratumoral </w:t>
      </w:r>
      <w:r>
        <w:rPr>
          <w:rFonts w:ascii="Helvetica" w:hAnsi="Helvetica" w:cs="Arial"/>
        </w:rPr>
        <w:t>T cell (Live CD45+B220-CD11b-CD11c-Ly6G-CD3+)</w:t>
      </w:r>
      <w:r w:rsidRPr="00916C38">
        <w:rPr>
          <w:rFonts w:ascii="Helvetica" w:hAnsi="Helvetica" w:cs="Arial"/>
        </w:rPr>
        <w:t xml:space="preserve"> subsets: Tregs (CD4+FOXP3+, open black histogram)</w:t>
      </w:r>
      <w:r w:rsidR="00E83BDE">
        <w:rPr>
          <w:rFonts w:ascii="Helvetica" w:hAnsi="Helvetica" w:cs="Arial"/>
        </w:rPr>
        <w:t>, CD4 effector T cells (</w:t>
      </w:r>
      <w:r w:rsidRPr="00916C38">
        <w:rPr>
          <w:rFonts w:ascii="Helvetica" w:hAnsi="Helvetica" w:cs="Arial"/>
        </w:rPr>
        <w:t>CD4+FOXP3-, open blue histogram), CD8 T c</w:t>
      </w:r>
      <w:r w:rsidR="002E6447">
        <w:rPr>
          <w:rFonts w:ascii="Helvetica" w:hAnsi="Helvetica" w:cs="Arial"/>
        </w:rPr>
        <w:t>ells (CD8+, open red histogram) and splenic Tregs (</w:t>
      </w:r>
      <w:r w:rsidR="005242A5">
        <w:rPr>
          <w:rFonts w:ascii="Helvetica" w:hAnsi="Helvetica" w:cs="Arial"/>
        </w:rPr>
        <w:t xml:space="preserve">Spl Tregs, </w:t>
      </w:r>
      <w:r w:rsidR="002E6447">
        <w:rPr>
          <w:rFonts w:ascii="Helvetica" w:hAnsi="Helvetica" w:cs="Arial"/>
        </w:rPr>
        <w:t>black dotted histogram),</w:t>
      </w:r>
      <w:r w:rsidRPr="00916C38">
        <w:rPr>
          <w:rFonts w:ascii="Helvetica" w:hAnsi="Helvetica" w:cs="Arial"/>
        </w:rPr>
        <w:t xml:space="preserve"> Filled gray histograms show background from cells similarly stained with isotype control</w:t>
      </w:r>
      <w:r>
        <w:rPr>
          <w:rFonts w:ascii="Helvetica" w:hAnsi="Helvetica" w:cs="Arial"/>
        </w:rPr>
        <w:t>. (A</w:t>
      </w:r>
      <w:r w:rsidRPr="00916C38">
        <w:rPr>
          <w:rFonts w:ascii="Helvetica" w:hAnsi="Helvetica" w:cs="Arial"/>
        </w:rPr>
        <w:t xml:space="preserve">) </w:t>
      </w:r>
      <w:r>
        <w:rPr>
          <w:rFonts w:ascii="Helvetica" w:hAnsi="Helvetica" w:cs="Arial"/>
        </w:rPr>
        <w:t>sC</w:t>
      </w:r>
      <w:r w:rsidRPr="00916C38">
        <w:rPr>
          <w:rFonts w:ascii="Helvetica" w:hAnsi="Helvetica" w:cs="Arial"/>
        </w:rPr>
        <w:t xml:space="preserve">TLA4 expression by B16-infiltrating T cell </w:t>
      </w:r>
      <w:r w:rsidR="00A44A54">
        <w:rPr>
          <w:rFonts w:ascii="Helvetica" w:hAnsi="Helvetica" w:cs="Arial"/>
        </w:rPr>
        <w:t xml:space="preserve">subsets </w:t>
      </w:r>
      <w:r>
        <w:rPr>
          <w:rFonts w:ascii="Helvetica" w:hAnsi="Helvetica" w:cs="Arial"/>
        </w:rPr>
        <w:t>19</w:t>
      </w:r>
      <w:r w:rsidRPr="00916C38">
        <w:rPr>
          <w:rFonts w:ascii="Helvetica" w:hAnsi="Helvetica" w:cs="Arial"/>
        </w:rPr>
        <w:t xml:space="preserve"> day</w:t>
      </w:r>
      <w:r>
        <w:rPr>
          <w:rFonts w:ascii="Helvetica" w:hAnsi="Helvetica" w:cs="Arial"/>
        </w:rPr>
        <w:t>s</w:t>
      </w:r>
      <w:r w:rsidRPr="00916C38">
        <w:rPr>
          <w:rFonts w:ascii="Helvetica" w:hAnsi="Helvetica" w:cs="Arial"/>
        </w:rPr>
        <w:t xml:space="preserve"> post tumor transplantation</w:t>
      </w:r>
      <w:r>
        <w:rPr>
          <w:rFonts w:ascii="Helvetica" w:hAnsi="Helvetica" w:cs="Arial"/>
        </w:rPr>
        <w:t>. (B) s</w:t>
      </w:r>
      <w:r w:rsidRPr="00916C38">
        <w:rPr>
          <w:rFonts w:ascii="Helvetica" w:hAnsi="Helvetica" w:cs="Arial"/>
        </w:rPr>
        <w:t xml:space="preserve">CTLA4 expression by YUMM1.7-infiltrating T cell subsets </w:t>
      </w:r>
      <w:r>
        <w:rPr>
          <w:rFonts w:ascii="Helvetica" w:hAnsi="Helvetica" w:cs="Arial"/>
        </w:rPr>
        <w:t xml:space="preserve">45 </w:t>
      </w:r>
      <w:r w:rsidRPr="00916C38">
        <w:rPr>
          <w:rFonts w:ascii="Helvetica" w:hAnsi="Helvetica" w:cs="Arial"/>
        </w:rPr>
        <w:t>days post tumor transplantation.</w:t>
      </w:r>
      <w:r w:rsidR="00745666">
        <w:rPr>
          <w:rFonts w:ascii="Helvetica" w:hAnsi="Helvetica" w:cs="Arial"/>
        </w:rPr>
        <w:t xml:space="preserve"> </w:t>
      </w:r>
      <w:r w:rsidR="00E83BDE">
        <w:rPr>
          <w:rFonts w:ascii="Helvetica" w:hAnsi="Helvetica" w:cs="Arial"/>
        </w:rPr>
        <w:t>(C) Flow cytometry was used to determine expression of sCTLA4 on sCTLA4+ Tregs (Live CD45+TCR</w:t>
      </w:r>
      <w:r w:rsidR="00E83BDE">
        <w:rPr>
          <w:rFonts w:ascii="Helvetica" w:hAnsi="Helvetica" w:cs="Arial"/>
        </w:rPr>
        <w:sym w:font="Symbol" w:char="F062"/>
      </w:r>
      <w:r w:rsidR="00E83BDE">
        <w:rPr>
          <w:rFonts w:ascii="Helvetica" w:hAnsi="Helvetica" w:cs="Arial"/>
        </w:rPr>
        <w:t>+CD4+FOXP3+), CD4 effector (Live CD45+TCR</w:t>
      </w:r>
      <w:r w:rsidR="00E83BDE">
        <w:rPr>
          <w:rFonts w:ascii="Helvetica" w:hAnsi="Helvetica" w:cs="Arial"/>
        </w:rPr>
        <w:sym w:font="Symbol" w:char="F062"/>
      </w:r>
      <w:r w:rsidR="00E83BDE">
        <w:rPr>
          <w:rFonts w:ascii="Helvetica" w:hAnsi="Helvetica" w:cs="Arial"/>
        </w:rPr>
        <w:t>+CD4+FOXP3-) and CD8 (Live CD45+TCR</w:t>
      </w:r>
      <w:r w:rsidR="00E83BDE">
        <w:rPr>
          <w:rFonts w:ascii="Helvetica" w:hAnsi="Helvetica" w:cs="Arial"/>
        </w:rPr>
        <w:sym w:font="Symbol" w:char="F062"/>
      </w:r>
      <w:r w:rsidR="00E83BDE">
        <w:rPr>
          <w:rFonts w:ascii="Helvetica" w:hAnsi="Helvetica" w:cs="Arial"/>
        </w:rPr>
        <w:t xml:space="preserve">+CD8+) T cells infiltrating conditionally-induced, </w:t>
      </w:r>
      <w:r w:rsidR="00E83BDE">
        <w:rPr>
          <w:rFonts w:ascii="Helvetica" w:hAnsi="Helvetica"/>
        </w:rPr>
        <w:t>autochthonous melanoma</w:t>
      </w:r>
      <w:r w:rsidR="00E83BDE">
        <w:rPr>
          <w:rFonts w:ascii="Helvetica" w:hAnsi="Helvetica" w:cs="Arial"/>
        </w:rPr>
        <w:t xml:space="preserve"> tumors from the </w:t>
      </w:r>
      <w:r w:rsidR="00E83BDE" w:rsidRPr="00996934">
        <w:rPr>
          <w:rFonts w:ascii="Helvetica" w:hAnsi="Helvetica"/>
          <w:i/>
          <w:color w:val="000000" w:themeColor="text1"/>
        </w:rPr>
        <w:t>Braf</w:t>
      </w:r>
      <w:r w:rsidR="00E83BDE">
        <w:rPr>
          <w:rFonts w:ascii="Helvetica" w:hAnsi="Helvetica"/>
          <w:color w:val="000000" w:themeColor="text1"/>
          <w:vertAlign w:val="superscript"/>
        </w:rPr>
        <w:t>V600E</w:t>
      </w:r>
      <w:r w:rsidR="00E83BDE">
        <w:rPr>
          <w:rFonts w:ascii="Helvetica" w:hAnsi="Helvetica"/>
          <w:color w:val="000000" w:themeColor="text1"/>
        </w:rPr>
        <w:t>/</w:t>
      </w:r>
      <w:r w:rsidR="00E83BDE" w:rsidRPr="00996934">
        <w:rPr>
          <w:rFonts w:ascii="Helvetica" w:hAnsi="Helvetica"/>
          <w:i/>
          <w:color w:val="000000" w:themeColor="text1"/>
        </w:rPr>
        <w:t>Pten</w:t>
      </w:r>
      <w:r w:rsidR="00E83BDE">
        <w:rPr>
          <w:rFonts w:ascii="Helvetica" w:hAnsi="Helvetica"/>
          <w:color w:val="000000" w:themeColor="text1"/>
          <w:vertAlign w:val="superscript"/>
        </w:rPr>
        <w:t xml:space="preserve">-/- </w:t>
      </w:r>
      <w:r w:rsidR="00E83BDE">
        <w:rPr>
          <w:rFonts w:ascii="Helvetica" w:hAnsi="Helvetica"/>
          <w:color w:val="000000" w:themeColor="text1"/>
        </w:rPr>
        <w:t>mouse model</w:t>
      </w:r>
      <w:r w:rsidR="00E83BDE">
        <w:rPr>
          <w:rFonts w:ascii="Helvetica" w:hAnsi="Helvetica" w:cs="Arial"/>
        </w:rPr>
        <w:t>. (</w:t>
      </w:r>
      <w:r w:rsidR="008D1F4F">
        <w:rPr>
          <w:rFonts w:ascii="Helvetica" w:hAnsi="Helvetica" w:cs="Arial"/>
        </w:rPr>
        <w:t>D) Flow cytometry was used to determine expression of sCTLA4 on peripheral, s</w:t>
      </w:r>
      <w:r w:rsidR="00E83BDE">
        <w:rPr>
          <w:rFonts w:ascii="Helvetica" w:hAnsi="Helvetica" w:cs="Arial"/>
        </w:rPr>
        <w:t>kin and intratumoral Tregs (Live CD45+TCR</w:t>
      </w:r>
      <w:r w:rsidR="00E83BDE">
        <w:rPr>
          <w:rFonts w:ascii="Helvetica" w:hAnsi="Helvetica" w:cs="Arial"/>
        </w:rPr>
        <w:sym w:font="Symbol" w:char="F062"/>
      </w:r>
      <w:r w:rsidR="00E83BDE">
        <w:rPr>
          <w:rFonts w:ascii="Helvetica" w:hAnsi="Helvetica" w:cs="Arial"/>
        </w:rPr>
        <w:t>+CD4+FOXP3+) from</w:t>
      </w:r>
      <w:r w:rsidR="00E83BDE">
        <w:rPr>
          <w:rFonts w:ascii="Helvetica" w:hAnsi="Helvetica"/>
        </w:rPr>
        <w:t xml:space="preserve"> conditionally-induced </w:t>
      </w:r>
      <w:r w:rsidR="00E83BDE" w:rsidRPr="00996934">
        <w:rPr>
          <w:rFonts w:ascii="Helvetica" w:hAnsi="Helvetica"/>
          <w:i/>
          <w:color w:val="000000" w:themeColor="text1"/>
        </w:rPr>
        <w:t>Braf</w:t>
      </w:r>
      <w:r w:rsidR="00E83BDE">
        <w:rPr>
          <w:rFonts w:ascii="Helvetica" w:hAnsi="Helvetica"/>
          <w:color w:val="000000" w:themeColor="text1"/>
          <w:vertAlign w:val="superscript"/>
        </w:rPr>
        <w:t>V600E</w:t>
      </w:r>
      <w:r w:rsidR="00E83BDE">
        <w:rPr>
          <w:rFonts w:ascii="Helvetica" w:hAnsi="Helvetica"/>
          <w:color w:val="000000" w:themeColor="text1"/>
        </w:rPr>
        <w:t>/</w:t>
      </w:r>
      <w:r w:rsidR="00E83BDE" w:rsidRPr="00996934">
        <w:rPr>
          <w:rFonts w:ascii="Helvetica" w:hAnsi="Helvetica"/>
          <w:i/>
          <w:color w:val="000000" w:themeColor="text1"/>
        </w:rPr>
        <w:t>Pten</w:t>
      </w:r>
      <w:r w:rsidR="00E83BDE">
        <w:rPr>
          <w:rFonts w:ascii="Helvetica" w:hAnsi="Helvetica"/>
          <w:color w:val="000000" w:themeColor="text1"/>
          <w:vertAlign w:val="superscript"/>
        </w:rPr>
        <w:t>-/-</w:t>
      </w:r>
      <w:r w:rsidR="00E83BDE">
        <w:rPr>
          <w:rFonts w:ascii="Helvetica" w:hAnsi="Helvetica"/>
          <w:color w:val="000000" w:themeColor="text1"/>
        </w:rPr>
        <w:t xml:space="preserve"> melanoma mouse model. </w:t>
      </w:r>
      <w:r w:rsidR="008D1F4F">
        <w:rPr>
          <w:rFonts w:ascii="Helvetica" w:hAnsi="Helvetica" w:cs="Arial"/>
        </w:rPr>
        <w:t xml:space="preserve"> </w:t>
      </w:r>
      <w:r>
        <w:rPr>
          <w:rFonts w:ascii="Helvetica" w:hAnsi="Helvetica" w:cs="Arial"/>
        </w:rPr>
        <w:t xml:space="preserve">To determine statistical significance t-test for two groups was used. For multiple groups of data analysis ANOVA with </w:t>
      </w:r>
      <w:r w:rsidR="00517979">
        <w:rPr>
          <w:rFonts w:ascii="Helvetica" w:hAnsi="Helvetica" w:cs="Arial"/>
        </w:rPr>
        <w:t xml:space="preserve">Dunnett’s </w:t>
      </w:r>
      <w:r>
        <w:rPr>
          <w:rFonts w:ascii="Helvetica" w:hAnsi="Helvetica" w:cs="Arial"/>
        </w:rPr>
        <w:t>post-hoc multiple comparison was used to determine statistical significance between two groups. n.s. indicates non-significant,</w:t>
      </w:r>
      <w:r w:rsidR="001E084A">
        <w:rPr>
          <w:rFonts w:ascii="Helvetica" w:hAnsi="Helvetica" w:cs="Arial"/>
        </w:rPr>
        <w:t xml:space="preserve"> </w:t>
      </w:r>
      <w:r w:rsidR="00E83BDE">
        <w:rPr>
          <w:rFonts w:ascii="Helvetica" w:hAnsi="Helvetica" w:cs="Arial"/>
        </w:rPr>
        <w:t xml:space="preserve">* indicates p&lt;0.05, </w:t>
      </w:r>
      <w:r w:rsidR="00517979">
        <w:rPr>
          <w:rFonts w:ascii="Helvetica" w:hAnsi="Helvetica" w:cs="Arial"/>
        </w:rPr>
        <w:t xml:space="preserve">*** indicates p&lt;0.001, </w:t>
      </w:r>
      <w:r>
        <w:rPr>
          <w:rFonts w:ascii="Helvetica" w:hAnsi="Helvetica" w:cs="Arial"/>
        </w:rPr>
        <w:t>**** indicates p&lt; 0.0001.</w:t>
      </w:r>
    </w:p>
    <w:p w14:paraId="380065F0" w14:textId="2B0D7E55" w:rsidR="00380489" w:rsidRPr="00380489" w:rsidRDefault="00380489" w:rsidP="00820E56">
      <w:pPr>
        <w:spacing w:after="160"/>
        <w:jc w:val="both"/>
        <w:rPr>
          <w:rFonts w:ascii="Helvetica" w:hAnsi="Helvetica" w:cs="Arial"/>
          <w:b/>
          <w:color w:val="FF0000"/>
        </w:rPr>
      </w:pPr>
      <w:r>
        <w:rPr>
          <w:rFonts w:ascii="Helvetica" w:hAnsi="Helvetica" w:cs="Arial"/>
          <w:b/>
        </w:rPr>
        <w:t>Supplemental Figure 3</w:t>
      </w:r>
      <w:r w:rsidRPr="001811AF">
        <w:rPr>
          <w:rFonts w:ascii="Helvetica" w:hAnsi="Helvetica" w:cs="Arial"/>
          <w:b/>
        </w:rPr>
        <w:t>.</w:t>
      </w:r>
      <w:r>
        <w:rPr>
          <w:rFonts w:ascii="Helvetica" w:hAnsi="Helvetica" w:cs="Arial"/>
          <w:b/>
        </w:rPr>
        <w:t xml:space="preserve"> </w:t>
      </w:r>
      <w:r w:rsidR="004C381D">
        <w:rPr>
          <w:rFonts w:ascii="Helvetica" w:hAnsi="Helvetica" w:cs="Arial"/>
          <w:b/>
        </w:rPr>
        <w:t xml:space="preserve">Proposed </w:t>
      </w:r>
      <w:r>
        <w:rPr>
          <w:rFonts w:ascii="Helvetica" w:hAnsi="Helvetica" w:cs="Arial"/>
          <w:b/>
        </w:rPr>
        <w:t xml:space="preserve">Model. </w:t>
      </w:r>
      <w:r w:rsidRPr="00380489">
        <w:rPr>
          <w:rFonts w:ascii="Helvetica" w:hAnsi="Helvetica"/>
          <w:b/>
          <w:color w:val="000000" w:themeColor="text1"/>
        </w:rPr>
        <w:t xml:space="preserve">Anti-CTLA4 opsonizes intratumoral Tregs leading to the activation of intratumoral NK cells, which are able to mediate killing of opsonized Tregs. </w:t>
      </w:r>
    </w:p>
    <w:p w14:paraId="5FB9BD41" w14:textId="77B49CB9" w:rsidR="00820E56" w:rsidRDefault="00380489" w:rsidP="001320D3">
      <w:pPr>
        <w:spacing w:after="160"/>
        <w:rPr>
          <w:rFonts w:ascii="Helvetica" w:hAnsi="Helvetica"/>
        </w:rPr>
      </w:pPr>
      <w:r>
        <w:rPr>
          <w:rFonts w:ascii="Helvetica" w:hAnsi="Helvetica"/>
        </w:rPr>
        <w:t xml:space="preserve">The figure depicts anti-CTLA4 binding to sCTLA4 on intratumoral Tregs (Step1). The Fc region of anti-CTLA4 then interacts with FcRs on NK cells leading to NK cell activation (Step 2). These activated NK cells then degranulate (Step 3), leading to depletion of intratumoral Tregs (Step 4). The NK cell degranulation results in CD107a being expressed on the surface of NK cells (Step 3 and 4). </w:t>
      </w:r>
    </w:p>
    <w:p w14:paraId="66ED4F3B" w14:textId="68FDD9DF" w:rsidR="009D652B" w:rsidRDefault="009D652B" w:rsidP="001320D3">
      <w:pPr>
        <w:spacing w:after="160"/>
        <w:rPr>
          <w:rFonts w:ascii="Helvetica" w:hAnsi="Helvetica"/>
        </w:rPr>
      </w:pPr>
      <w:r>
        <w:rPr>
          <w:rFonts w:ascii="Helvetica" w:hAnsi="Helvetica"/>
          <w:b/>
        </w:rPr>
        <w:t xml:space="preserve">Supplemental Figure 4. Ipilimumab induces activation and degranulation of human NK cells. </w:t>
      </w:r>
    </w:p>
    <w:p w14:paraId="6D9C2756" w14:textId="11B0DF94" w:rsidR="009D652B" w:rsidRPr="009D652B" w:rsidRDefault="009D652B" w:rsidP="001320D3">
      <w:pPr>
        <w:spacing w:after="160"/>
        <w:rPr>
          <w:rFonts w:ascii="Helvetica" w:hAnsi="Helvetica"/>
        </w:rPr>
      </w:pPr>
      <w:r w:rsidRPr="00076BCD">
        <w:rPr>
          <w:rFonts w:ascii="Helvetica" w:hAnsi="Helvetica"/>
        </w:rPr>
        <w:lastRenderedPageBreak/>
        <w:t>Human NK cells from donor PBMCs were cultured overnight in RPMI plus 10% FBS</w:t>
      </w:r>
      <w:r w:rsidR="00076BCD" w:rsidRPr="00076BCD">
        <w:rPr>
          <w:rFonts w:ascii="Helvetica" w:hAnsi="Helvetica"/>
        </w:rPr>
        <w:t>,</w:t>
      </w:r>
      <w:r w:rsidRPr="00076BCD">
        <w:rPr>
          <w:rFonts w:ascii="Helvetica" w:hAnsi="Helvetica"/>
        </w:rPr>
        <w:t xml:space="preserve"> </w:t>
      </w:r>
      <w:r w:rsidR="00076BCD" w:rsidRPr="00076BCD">
        <w:rPr>
          <w:rFonts w:ascii="Helvetica" w:hAnsi="Helvetica"/>
        </w:rPr>
        <w:t xml:space="preserve">non-essential amino acids, sodium pyruvate and penicillin-streptomycin-glutamine </w:t>
      </w:r>
      <w:r w:rsidRPr="00076BCD">
        <w:rPr>
          <w:rFonts w:ascii="Helvetica" w:hAnsi="Helvetica"/>
        </w:rPr>
        <w:t>supplemented with 50 ng/ml recombinant IL15 (NIH biorepository). These IL15 stimulated NK cells were</w:t>
      </w:r>
      <w:r>
        <w:rPr>
          <w:rFonts w:ascii="Helvetica" w:hAnsi="Helvetica"/>
        </w:rPr>
        <w:t xml:space="preserve"> then washed and transferred to pre-coated plates. To precoat plates 100 </w:t>
      </w:r>
      <w:r w:rsidR="00D10283">
        <w:rPr>
          <w:rFonts w:ascii="Helvetica" w:hAnsi="Helvetica"/>
        </w:rPr>
        <w:sym w:font="Symbol" w:char="F06D"/>
      </w:r>
      <w:r>
        <w:rPr>
          <w:rFonts w:ascii="Helvetica" w:hAnsi="Helvetica"/>
        </w:rPr>
        <w:t xml:space="preserve">l of Ipilimumab at 100 </w:t>
      </w:r>
      <w:r w:rsidR="00D10283">
        <w:rPr>
          <w:rFonts w:ascii="Helvetica" w:hAnsi="Helvetica"/>
        </w:rPr>
        <w:sym w:font="Symbol" w:char="F06D"/>
      </w:r>
      <w:r>
        <w:rPr>
          <w:rFonts w:ascii="Helvetica" w:hAnsi="Helvetica"/>
        </w:rPr>
        <w:t>g/ml or PBS was added overnight to 96 well plates (costar) pre-coated overnight. Plates were then washed three times with RPMI plus 10% FBS and then blocked for 20 minutes with RPMI plus 10% FBS. 100,000 NK cells were added per a well in the presence or absence of plate-bound Ipilimumab</w:t>
      </w:r>
      <w:r w:rsidR="00B41057">
        <w:rPr>
          <w:rFonts w:ascii="Helvetica" w:hAnsi="Helvetica"/>
        </w:rPr>
        <w:t>. Cells were cultured for 6 hours with monensin solution (Biolegend) being added at 1 hour. F</w:t>
      </w:r>
      <w:r>
        <w:rPr>
          <w:rFonts w:ascii="Helvetica" w:hAnsi="Helvetica"/>
        </w:rPr>
        <w:t>low cytometry was used to determine the frequency of CD69+ cells (A) or surface CD107a expression</w:t>
      </w:r>
      <w:r w:rsidR="00076BCD">
        <w:rPr>
          <w:rFonts w:ascii="Helvetica" w:hAnsi="Helvetica"/>
        </w:rPr>
        <w:t xml:space="preserve"> (B)</w:t>
      </w:r>
      <w:r>
        <w:rPr>
          <w:rFonts w:ascii="Helvetica" w:hAnsi="Helvetica"/>
        </w:rPr>
        <w:t xml:space="preserve"> </w:t>
      </w:r>
      <w:r w:rsidR="00076BCD">
        <w:rPr>
          <w:rFonts w:ascii="Helvetica" w:hAnsi="Helvetica"/>
        </w:rPr>
        <w:t xml:space="preserve">on CD56+CD3- NK </w:t>
      </w:r>
      <w:bookmarkStart w:id="0" w:name="_GoBack"/>
      <w:r w:rsidR="00076BCD">
        <w:rPr>
          <w:rFonts w:ascii="Helvetica" w:hAnsi="Helvetica"/>
        </w:rPr>
        <w:t>cells</w:t>
      </w:r>
      <w:bookmarkEnd w:id="0"/>
      <w:r>
        <w:rPr>
          <w:rFonts w:ascii="Helvetica" w:hAnsi="Helvetica"/>
        </w:rPr>
        <w:t xml:space="preserve">. </w:t>
      </w:r>
    </w:p>
    <w:p w14:paraId="7A29DCA1" w14:textId="77777777" w:rsidR="001811AF" w:rsidRDefault="001811AF" w:rsidP="001320D3">
      <w:pPr>
        <w:spacing w:after="160"/>
      </w:pPr>
    </w:p>
    <w:p w14:paraId="17619590" w14:textId="0FC4DAC3" w:rsidR="001320D3" w:rsidRDefault="001320D3" w:rsidP="00F35008"/>
    <w:sectPr w:rsidR="001320D3" w:rsidSect="00294995">
      <w:footerReference w:type="even" r:id="rId6"/>
      <w:footerReference w:type="default" r:id="rId7"/>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0E9CB" w14:textId="77777777" w:rsidR="00E523C2" w:rsidRDefault="00E523C2" w:rsidP="00294995">
      <w:r>
        <w:separator/>
      </w:r>
    </w:p>
  </w:endnote>
  <w:endnote w:type="continuationSeparator" w:id="0">
    <w:p w14:paraId="1801E343" w14:textId="77777777" w:rsidR="00E523C2" w:rsidRDefault="00E523C2" w:rsidP="0029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9075558"/>
      <w:docPartObj>
        <w:docPartGallery w:val="Page Numbers (Bottom of Page)"/>
        <w:docPartUnique/>
      </w:docPartObj>
    </w:sdtPr>
    <w:sdtEndPr>
      <w:rPr>
        <w:rStyle w:val="PageNumber"/>
      </w:rPr>
    </w:sdtEndPr>
    <w:sdtContent>
      <w:p w14:paraId="6D3648D1" w14:textId="150D848E" w:rsidR="00294995" w:rsidRDefault="00294995" w:rsidP="007923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DC90A" w14:textId="77777777" w:rsidR="00294995" w:rsidRDefault="00294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9127118"/>
      <w:docPartObj>
        <w:docPartGallery w:val="Page Numbers (Bottom of Page)"/>
        <w:docPartUnique/>
      </w:docPartObj>
    </w:sdtPr>
    <w:sdtEndPr>
      <w:rPr>
        <w:rStyle w:val="PageNumber"/>
      </w:rPr>
    </w:sdtEndPr>
    <w:sdtContent>
      <w:p w14:paraId="3FC15E19" w14:textId="2D7539B1" w:rsidR="00294995" w:rsidRDefault="00294995" w:rsidP="007923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F57CCC" w14:textId="77777777" w:rsidR="00294995" w:rsidRDefault="0029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738B0" w14:textId="77777777" w:rsidR="00E523C2" w:rsidRDefault="00E523C2" w:rsidP="00294995">
      <w:r>
        <w:separator/>
      </w:r>
    </w:p>
  </w:footnote>
  <w:footnote w:type="continuationSeparator" w:id="0">
    <w:p w14:paraId="56739BC2" w14:textId="77777777" w:rsidR="00E523C2" w:rsidRDefault="00E523C2" w:rsidP="00294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grammar="clean"/>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edsxwf6dxsd5esxt3prrv59tp5dp9tx2t0&quot;&gt;My EndNote Library&lt;record-ids&gt;&lt;item&gt;477&lt;/item&gt;&lt;item&gt;480&lt;/item&gt;&lt;/record-ids&gt;&lt;/item&gt;&lt;/Libraries&gt;"/>
  </w:docVars>
  <w:rsids>
    <w:rsidRoot w:val="001320D3"/>
    <w:rsid w:val="00011C31"/>
    <w:rsid w:val="000158F0"/>
    <w:rsid w:val="00076BCD"/>
    <w:rsid w:val="000A1958"/>
    <w:rsid w:val="00112745"/>
    <w:rsid w:val="001320D3"/>
    <w:rsid w:val="0014021F"/>
    <w:rsid w:val="001811AF"/>
    <w:rsid w:val="001A3968"/>
    <w:rsid w:val="001E084A"/>
    <w:rsid w:val="00241029"/>
    <w:rsid w:val="0026527B"/>
    <w:rsid w:val="002878DB"/>
    <w:rsid w:val="00294995"/>
    <w:rsid w:val="002E6447"/>
    <w:rsid w:val="00374B9B"/>
    <w:rsid w:val="00380489"/>
    <w:rsid w:val="003C7AED"/>
    <w:rsid w:val="0042024A"/>
    <w:rsid w:val="00435298"/>
    <w:rsid w:val="004838CB"/>
    <w:rsid w:val="004B4F8A"/>
    <w:rsid w:val="004C381D"/>
    <w:rsid w:val="004D0770"/>
    <w:rsid w:val="00517979"/>
    <w:rsid w:val="005242A5"/>
    <w:rsid w:val="0053080D"/>
    <w:rsid w:val="00560667"/>
    <w:rsid w:val="005706F9"/>
    <w:rsid w:val="0057758B"/>
    <w:rsid w:val="005F10F4"/>
    <w:rsid w:val="006210BE"/>
    <w:rsid w:val="006A6BD8"/>
    <w:rsid w:val="00745666"/>
    <w:rsid w:val="00753E4F"/>
    <w:rsid w:val="007A151C"/>
    <w:rsid w:val="007B75CF"/>
    <w:rsid w:val="00820E56"/>
    <w:rsid w:val="0085580F"/>
    <w:rsid w:val="00884782"/>
    <w:rsid w:val="008B7E25"/>
    <w:rsid w:val="008D1F4F"/>
    <w:rsid w:val="008D2E6C"/>
    <w:rsid w:val="008E19B6"/>
    <w:rsid w:val="008E6B91"/>
    <w:rsid w:val="009A73EE"/>
    <w:rsid w:val="009C5FB6"/>
    <w:rsid w:val="009D652B"/>
    <w:rsid w:val="00A44A54"/>
    <w:rsid w:val="00B11D57"/>
    <w:rsid w:val="00B41057"/>
    <w:rsid w:val="00B8178E"/>
    <w:rsid w:val="00BD368C"/>
    <w:rsid w:val="00BF2866"/>
    <w:rsid w:val="00C27E9E"/>
    <w:rsid w:val="00CE218F"/>
    <w:rsid w:val="00D10283"/>
    <w:rsid w:val="00D45AD7"/>
    <w:rsid w:val="00D561CB"/>
    <w:rsid w:val="00D73F12"/>
    <w:rsid w:val="00DC2394"/>
    <w:rsid w:val="00DC431B"/>
    <w:rsid w:val="00DF5468"/>
    <w:rsid w:val="00E350C4"/>
    <w:rsid w:val="00E523C2"/>
    <w:rsid w:val="00E8085D"/>
    <w:rsid w:val="00E83BDE"/>
    <w:rsid w:val="00EC19FB"/>
    <w:rsid w:val="00EE0C32"/>
    <w:rsid w:val="00F14162"/>
    <w:rsid w:val="00F35008"/>
    <w:rsid w:val="00FE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81CD"/>
  <w14:defaultImageDpi w14:val="32767"/>
  <w15:chartTrackingRefBased/>
  <w15:docId w15:val="{62AE0E0D-AD55-AB46-A8B7-17D6F442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20D3"/>
    <w:rPr>
      <w:sz w:val="18"/>
      <w:szCs w:val="18"/>
    </w:rPr>
  </w:style>
  <w:style w:type="paragraph" w:styleId="CommentText">
    <w:name w:val="annotation text"/>
    <w:basedOn w:val="Normal"/>
    <w:link w:val="CommentTextChar"/>
    <w:uiPriority w:val="99"/>
    <w:semiHidden/>
    <w:unhideWhenUsed/>
    <w:rsid w:val="001320D3"/>
    <w:rPr>
      <w:rFonts w:ascii="Palatino" w:eastAsiaTheme="minorEastAsia" w:hAnsi="Palatino"/>
    </w:rPr>
  </w:style>
  <w:style w:type="character" w:customStyle="1" w:styleId="CommentTextChar">
    <w:name w:val="Comment Text Char"/>
    <w:basedOn w:val="DefaultParagraphFont"/>
    <w:link w:val="CommentText"/>
    <w:uiPriority w:val="99"/>
    <w:semiHidden/>
    <w:rsid w:val="001320D3"/>
    <w:rPr>
      <w:rFonts w:ascii="Palatino" w:eastAsiaTheme="minorEastAsia" w:hAnsi="Palatino"/>
    </w:rPr>
  </w:style>
  <w:style w:type="paragraph" w:styleId="BalloonText">
    <w:name w:val="Balloon Text"/>
    <w:basedOn w:val="Normal"/>
    <w:link w:val="BalloonTextChar"/>
    <w:uiPriority w:val="99"/>
    <w:semiHidden/>
    <w:unhideWhenUsed/>
    <w:rsid w:val="001320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20D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B4F8A"/>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4B4F8A"/>
    <w:rPr>
      <w:rFonts w:ascii="Palatino" w:eastAsiaTheme="minorEastAsia" w:hAnsi="Palatino"/>
      <w:b/>
      <w:bCs/>
      <w:sz w:val="20"/>
      <w:szCs w:val="20"/>
    </w:rPr>
  </w:style>
  <w:style w:type="paragraph" w:styleId="ListParagraph">
    <w:name w:val="List Paragraph"/>
    <w:basedOn w:val="Normal"/>
    <w:uiPriority w:val="34"/>
    <w:qFormat/>
    <w:rsid w:val="00745666"/>
    <w:pPr>
      <w:ind w:left="720"/>
      <w:contextualSpacing/>
    </w:pPr>
  </w:style>
  <w:style w:type="paragraph" w:customStyle="1" w:styleId="EndNoteBibliographyTitle">
    <w:name w:val="EndNote Bibliography Title"/>
    <w:basedOn w:val="Normal"/>
    <w:link w:val="EndNoteBibliographyTitleChar"/>
    <w:rsid w:val="001811AF"/>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1811AF"/>
    <w:rPr>
      <w:rFonts w:ascii="Calibri" w:hAnsi="Calibri" w:cs="Calibri"/>
    </w:rPr>
  </w:style>
  <w:style w:type="paragraph" w:customStyle="1" w:styleId="EndNoteBibliography">
    <w:name w:val="EndNote Bibliography"/>
    <w:basedOn w:val="Normal"/>
    <w:link w:val="EndNoteBibliographyChar"/>
    <w:rsid w:val="001811AF"/>
    <w:rPr>
      <w:rFonts w:ascii="Calibri" w:hAnsi="Calibri" w:cs="Calibri"/>
    </w:rPr>
  </w:style>
  <w:style w:type="character" w:customStyle="1" w:styleId="EndNoteBibliographyChar">
    <w:name w:val="EndNote Bibliography Char"/>
    <w:basedOn w:val="DefaultParagraphFont"/>
    <w:link w:val="EndNoteBibliography"/>
    <w:rsid w:val="001811AF"/>
    <w:rPr>
      <w:rFonts w:ascii="Calibri" w:hAnsi="Calibri" w:cs="Calibri"/>
    </w:rPr>
  </w:style>
  <w:style w:type="character" w:customStyle="1" w:styleId="apple-converted-space">
    <w:name w:val="apple-converted-space"/>
    <w:basedOn w:val="DefaultParagraphFont"/>
    <w:rsid w:val="00DC2394"/>
  </w:style>
  <w:style w:type="character" w:styleId="LineNumber">
    <w:name w:val="line number"/>
    <w:basedOn w:val="DefaultParagraphFont"/>
    <w:uiPriority w:val="99"/>
    <w:semiHidden/>
    <w:unhideWhenUsed/>
    <w:rsid w:val="002878DB"/>
  </w:style>
  <w:style w:type="paragraph" w:styleId="Footer">
    <w:name w:val="footer"/>
    <w:basedOn w:val="Normal"/>
    <w:link w:val="FooterChar"/>
    <w:uiPriority w:val="99"/>
    <w:unhideWhenUsed/>
    <w:rsid w:val="00294995"/>
    <w:pPr>
      <w:tabs>
        <w:tab w:val="center" w:pos="4680"/>
        <w:tab w:val="right" w:pos="9360"/>
      </w:tabs>
    </w:pPr>
  </w:style>
  <w:style w:type="character" w:customStyle="1" w:styleId="FooterChar">
    <w:name w:val="Footer Char"/>
    <w:basedOn w:val="DefaultParagraphFont"/>
    <w:link w:val="Footer"/>
    <w:uiPriority w:val="99"/>
    <w:rsid w:val="00294995"/>
  </w:style>
  <w:style w:type="character" w:styleId="PageNumber">
    <w:name w:val="page number"/>
    <w:basedOn w:val="DefaultParagraphFont"/>
    <w:uiPriority w:val="99"/>
    <w:semiHidden/>
    <w:unhideWhenUsed/>
    <w:rsid w:val="00294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19498">
      <w:bodyDiv w:val="1"/>
      <w:marLeft w:val="0"/>
      <w:marRight w:val="0"/>
      <w:marTop w:val="0"/>
      <w:marBottom w:val="0"/>
      <w:divBdr>
        <w:top w:val="none" w:sz="0" w:space="0" w:color="auto"/>
        <w:left w:val="none" w:sz="0" w:space="0" w:color="auto"/>
        <w:bottom w:val="none" w:sz="0" w:space="0" w:color="auto"/>
        <w:right w:val="none" w:sz="0" w:space="0" w:color="auto"/>
      </w:divBdr>
    </w:div>
    <w:div w:id="762532174">
      <w:bodyDiv w:val="1"/>
      <w:marLeft w:val="0"/>
      <w:marRight w:val="0"/>
      <w:marTop w:val="0"/>
      <w:marBottom w:val="0"/>
      <w:divBdr>
        <w:top w:val="none" w:sz="0" w:space="0" w:color="auto"/>
        <w:left w:val="none" w:sz="0" w:space="0" w:color="auto"/>
        <w:bottom w:val="none" w:sz="0" w:space="0" w:color="auto"/>
        <w:right w:val="none" w:sz="0" w:space="0" w:color="auto"/>
      </w:divBdr>
    </w:div>
    <w:div w:id="845247432">
      <w:bodyDiv w:val="1"/>
      <w:marLeft w:val="0"/>
      <w:marRight w:val="0"/>
      <w:marTop w:val="0"/>
      <w:marBottom w:val="0"/>
      <w:divBdr>
        <w:top w:val="none" w:sz="0" w:space="0" w:color="auto"/>
        <w:left w:val="none" w:sz="0" w:space="0" w:color="auto"/>
        <w:bottom w:val="none" w:sz="0" w:space="0" w:color="auto"/>
        <w:right w:val="none" w:sz="0" w:space="0" w:color="auto"/>
      </w:divBdr>
    </w:div>
    <w:div w:id="13269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Stone</dc:creator>
  <cp:keywords/>
  <dc:description/>
  <cp:lastModifiedBy>Erica Stone</cp:lastModifiedBy>
  <cp:revision>2</cp:revision>
  <cp:lastPrinted>2018-06-11T16:31:00Z</cp:lastPrinted>
  <dcterms:created xsi:type="dcterms:W3CDTF">2019-02-02T16:32:00Z</dcterms:created>
  <dcterms:modified xsi:type="dcterms:W3CDTF">2019-02-02T16:32:00Z</dcterms:modified>
</cp:coreProperties>
</file>