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5BD5" w:rsidRPr="004C5BD5" w:rsidRDefault="004C5BD5" w:rsidP="004C5BD5">
      <w:pPr>
        <w:spacing w:after="0" w:line="240" w:lineRule="auto"/>
        <w:ind w:left="-990"/>
        <w:contextualSpacing/>
        <w:rPr>
          <w:rFonts w:ascii="Times New Roman" w:eastAsiaTheme="minorEastAsia" w:hAnsi="Times New Roman" w:cs="Times New Roman"/>
        </w:rPr>
      </w:pPr>
      <w:bookmarkStart w:id="0" w:name="_GoBack"/>
      <w:bookmarkEnd w:id="0"/>
      <w:r w:rsidRPr="004C5BD5">
        <w:rPr>
          <w:rFonts w:ascii="Times New Roman" w:eastAsiaTheme="minorEastAsia" w:hAnsi="Times New Roman" w:cs="Times New Roman"/>
          <w:b/>
        </w:rPr>
        <w:t>Supplemental Table 1:</w:t>
      </w:r>
      <w:r w:rsidRPr="004C5BD5">
        <w:rPr>
          <w:rFonts w:ascii="Times New Roman" w:eastAsiaTheme="minorEastAsia" w:hAnsi="Times New Roman" w:cs="Times New Roman"/>
        </w:rPr>
        <w:t xml:space="preserve"> Genomics and survival data for the entire cohort of squamous cell carcinomas</w:t>
      </w:r>
    </w:p>
    <w:tbl>
      <w:tblPr>
        <w:tblStyle w:val="TableGrid"/>
        <w:tblW w:w="5838" w:type="pct"/>
        <w:tblInd w:w="-995" w:type="dxa"/>
        <w:tblLayout w:type="fixed"/>
        <w:tblLook w:val="04A0" w:firstRow="1" w:lastRow="0" w:firstColumn="1" w:lastColumn="0" w:noHBand="0" w:noVBand="1"/>
      </w:tblPr>
      <w:tblGrid>
        <w:gridCol w:w="1529"/>
        <w:gridCol w:w="1530"/>
        <w:gridCol w:w="995"/>
        <w:gridCol w:w="1240"/>
        <w:gridCol w:w="2081"/>
        <w:gridCol w:w="1179"/>
        <w:gridCol w:w="1452"/>
        <w:gridCol w:w="1624"/>
        <w:gridCol w:w="1331"/>
        <w:gridCol w:w="940"/>
        <w:gridCol w:w="1219"/>
      </w:tblGrid>
      <w:tr w:rsidR="004C5BD5" w:rsidRPr="004C5BD5" w:rsidTr="00000687">
        <w:trPr>
          <w:trHeight w:val="276"/>
        </w:trPr>
        <w:tc>
          <w:tcPr>
            <w:tcW w:w="506" w:type="pct"/>
            <w:shd w:val="clear" w:color="auto" w:fill="E7E6E6" w:themeFill="background2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Patient number</w:t>
            </w:r>
          </w:p>
        </w:tc>
        <w:tc>
          <w:tcPr>
            <w:tcW w:w="506" w:type="pct"/>
            <w:shd w:val="clear" w:color="auto" w:fill="E7E6E6" w:themeFill="background2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Diagnosis</w:t>
            </w:r>
          </w:p>
        </w:tc>
        <w:tc>
          <w:tcPr>
            <w:tcW w:w="329" w:type="pct"/>
            <w:shd w:val="clear" w:color="auto" w:fill="E7E6E6" w:themeFill="background2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Sex</w:t>
            </w:r>
          </w:p>
        </w:tc>
        <w:tc>
          <w:tcPr>
            <w:tcW w:w="410" w:type="pct"/>
            <w:shd w:val="clear" w:color="auto" w:fill="E7E6E6" w:themeFill="background2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Age (years)</w:t>
            </w:r>
          </w:p>
        </w:tc>
        <w:tc>
          <w:tcPr>
            <w:tcW w:w="688" w:type="pct"/>
            <w:shd w:val="clear" w:color="auto" w:fill="E7E6E6" w:themeFill="background2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Genomic alterations</w:t>
            </w:r>
          </w:p>
        </w:tc>
        <w:tc>
          <w:tcPr>
            <w:tcW w:w="390" w:type="pct"/>
            <w:shd w:val="clear" w:color="auto" w:fill="E7E6E6" w:themeFill="background2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MSI status</w:t>
            </w:r>
          </w:p>
        </w:tc>
        <w:tc>
          <w:tcPr>
            <w:tcW w:w="480" w:type="pct"/>
            <w:shd w:val="clear" w:color="auto" w:fill="E7E6E6" w:themeFill="background2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TMB (mutations/mb)</w:t>
            </w:r>
          </w:p>
        </w:tc>
        <w:tc>
          <w:tcPr>
            <w:tcW w:w="537" w:type="pct"/>
            <w:shd w:val="clear" w:color="auto" w:fill="E7E6E6" w:themeFill="background2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Treatment</w:t>
            </w:r>
          </w:p>
        </w:tc>
        <w:tc>
          <w:tcPr>
            <w:tcW w:w="440" w:type="pct"/>
            <w:shd w:val="clear" w:color="auto" w:fill="E7E6E6" w:themeFill="background2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Best response</w:t>
            </w:r>
          </w:p>
        </w:tc>
        <w:tc>
          <w:tcPr>
            <w:tcW w:w="311" w:type="pct"/>
            <w:shd w:val="clear" w:color="auto" w:fill="E7E6E6" w:themeFill="background2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TTF (months)</w:t>
            </w:r>
          </w:p>
        </w:tc>
        <w:tc>
          <w:tcPr>
            <w:tcW w:w="403" w:type="pct"/>
            <w:shd w:val="clear" w:color="auto" w:fill="E7E6E6" w:themeFill="background2"/>
          </w:tcPr>
          <w:p w:rsidR="004C5BD5" w:rsidRPr="004C5BD5" w:rsidRDefault="004C5BD5" w:rsidP="004C5BD5">
            <w:pPr>
              <w:ind w:right="-108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OS (months)</w:t>
            </w:r>
          </w:p>
          <w:p w:rsidR="004C5BD5" w:rsidRPr="004C5BD5" w:rsidRDefault="004C5BD5" w:rsidP="004C5BD5">
            <w:pPr>
              <w:ind w:right="-108"/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71.4</w:t>
            </w:r>
          </w:p>
        </w:tc>
        <w:tc>
          <w:tcPr>
            <w:tcW w:w="688" w:type="pct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NOTCH1 R365C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NOTCH1 splice site 2467_2467+1GG&gt;AA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R273H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S241F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ASXL1 G646fs*12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CTCF T89fs*6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L4137fs*69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Q3524*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LRP1B Q3874*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LRP1B splice site 13248-1G&gt;C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NOTCH2 E1259*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NOTCH2 Q1872*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SLIT2 D704N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-146C&gt;T</w:t>
            </w:r>
          </w:p>
        </w:tc>
        <w:tc>
          <w:tcPr>
            <w:tcW w:w="390" w:type="pct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N/A</w:t>
            </w:r>
          </w:p>
        </w:tc>
        <w:tc>
          <w:tcPr>
            <w:tcW w:w="480" w:type="pct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537" w:type="pct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1" w:type="pct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9.9</w:t>
            </w:r>
          </w:p>
        </w:tc>
        <w:tc>
          <w:tcPr>
            <w:tcW w:w="403" w:type="pct"/>
          </w:tcPr>
          <w:p w:rsidR="004C5BD5" w:rsidRPr="004C5BD5" w:rsidRDefault="004C5BD5" w:rsidP="004C5BD5">
            <w:pPr>
              <w:ind w:right="-108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11.2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65.3</w:t>
            </w:r>
          </w:p>
        </w:tc>
        <w:tc>
          <w:tcPr>
            <w:tcW w:w="688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N/A</w:t>
            </w:r>
          </w:p>
        </w:tc>
        <w:tc>
          <w:tcPr>
            <w:tcW w:w="39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N/A</w:t>
            </w:r>
          </w:p>
        </w:tc>
        <w:tc>
          <w:tcPr>
            <w:tcW w:w="48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N/A</w:t>
            </w:r>
          </w:p>
        </w:tc>
        <w:tc>
          <w:tcPr>
            <w:tcW w:w="537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24.2+</w:t>
            </w:r>
          </w:p>
        </w:tc>
        <w:tc>
          <w:tcPr>
            <w:tcW w:w="403" w:type="pct"/>
          </w:tcPr>
          <w:p w:rsidR="004C5BD5" w:rsidRPr="004C5BD5" w:rsidRDefault="004C5BD5" w:rsidP="004C5BD5">
            <w:pPr>
              <w:tabs>
                <w:tab w:val="left" w:pos="751"/>
              </w:tabs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24.2+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70.4</w:t>
            </w:r>
          </w:p>
        </w:tc>
        <w:tc>
          <w:tcPr>
            <w:tcW w:w="688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EGFR amplification</w:t>
            </w: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br/>
              <w:t>TSC1 S673F</w:t>
            </w: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br/>
              <w:t>CDKN2A p16INK4a E69* and p14ARF G83V</w:t>
            </w: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br/>
              <w:t>TP53 F270L, H179Y</w:t>
            </w: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br/>
              <w:t>ARID2 Q1318*, R1272*</w:t>
            </w: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br/>
              <w:t>CREBBP P760S</w:t>
            </w: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br/>
              <w:t>SPTA1 Q92*</w:t>
            </w:r>
          </w:p>
        </w:tc>
        <w:tc>
          <w:tcPr>
            <w:tcW w:w="39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N/A</w:t>
            </w:r>
          </w:p>
        </w:tc>
        <w:tc>
          <w:tcPr>
            <w:tcW w:w="48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537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SD</w:t>
            </w:r>
          </w:p>
        </w:tc>
        <w:tc>
          <w:tcPr>
            <w:tcW w:w="311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5.5</w:t>
            </w:r>
          </w:p>
        </w:tc>
        <w:tc>
          <w:tcPr>
            <w:tcW w:w="403" w:type="pct"/>
          </w:tcPr>
          <w:p w:rsidR="004C5BD5" w:rsidRPr="004C5BD5" w:rsidRDefault="004C5BD5" w:rsidP="004C5BD5">
            <w:pPr>
              <w:tabs>
                <w:tab w:val="left" w:pos="751"/>
              </w:tabs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6.2+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79.6</w:t>
            </w:r>
          </w:p>
        </w:tc>
        <w:tc>
          <w:tcPr>
            <w:tcW w:w="688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CDK6 R87Q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 p16INK4a W110*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 p14ARF G125R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NOTCH1 P391S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NOTCH1 R353C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P152L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P98L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R282W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ASXL1 I490fs*213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CHEK2 splice site 1095+1G&gt;A</w:t>
            </w:r>
          </w:p>
        </w:tc>
        <w:tc>
          <w:tcPr>
            <w:tcW w:w="39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537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PR</w:t>
            </w:r>
          </w:p>
        </w:tc>
        <w:tc>
          <w:tcPr>
            <w:tcW w:w="311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27.3+</w:t>
            </w:r>
          </w:p>
        </w:tc>
        <w:tc>
          <w:tcPr>
            <w:tcW w:w="403" w:type="pct"/>
          </w:tcPr>
          <w:p w:rsidR="004C5BD5" w:rsidRPr="004C5BD5" w:rsidRDefault="004C5BD5" w:rsidP="004C5BD5">
            <w:pPr>
              <w:tabs>
                <w:tab w:val="left" w:pos="751"/>
              </w:tabs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27.3+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65.9</w:t>
            </w:r>
          </w:p>
        </w:tc>
        <w:tc>
          <w:tcPr>
            <w:tcW w:w="688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BRCA1 E1375*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FLT3 L939F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CTNNB1 S37F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NOTCH1 P1770S, Q1810*, T1997M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R342*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ASXL1 Q748*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ATRX splice site 6327-1G&gt;A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BRD4 rearrangement intron 11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CHD2 S521*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lastRenderedPageBreak/>
              <w:t>CREBBP Q1245*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EPHA3 T215M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I659M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KDM6A S1400*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LRP1B loss exons 12-15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MAGI2 R766*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RB1 S474N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SETD2 R1592*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SLIT2 R1454*, splice site 611+2T&gt;A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-146C&gt;T</w:t>
            </w:r>
          </w:p>
        </w:tc>
        <w:tc>
          <w:tcPr>
            <w:tcW w:w="39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lastRenderedPageBreak/>
              <w:t>MS-Stable</w:t>
            </w:r>
          </w:p>
        </w:tc>
        <w:tc>
          <w:tcPr>
            <w:tcW w:w="48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347</w:t>
            </w:r>
          </w:p>
        </w:tc>
        <w:tc>
          <w:tcPr>
            <w:tcW w:w="537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24.6+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tabs>
                <w:tab w:val="left" w:pos="751"/>
              </w:tabs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24.6+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75.0</w:t>
            </w:r>
          </w:p>
        </w:tc>
        <w:tc>
          <w:tcPr>
            <w:tcW w:w="688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ABL2 R359P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ERBB2 S310F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FGFR1 S790*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PDGFRA E556K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ATM Q2433*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ATM R717W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GRM3 D280N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Q331*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CSF1R splice site 1511-1G&gt;A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R1070*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LRP1B G1055R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NOTCH1 A1967fs*14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RB1 R579*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SPTA1 R1277H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-124C&gt;T</w:t>
            </w:r>
          </w:p>
        </w:tc>
        <w:tc>
          <w:tcPr>
            <w:tcW w:w="39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182</w:t>
            </w:r>
          </w:p>
        </w:tc>
        <w:tc>
          <w:tcPr>
            <w:tcW w:w="537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CR</w:t>
            </w:r>
          </w:p>
        </w:tc>
        <w:tc>
          <w:tcPr>
            <w:tcW w:w="311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21.4+</w:t>
            </w:r>
          </w:p>
        </w:tc>
        <w:tc>
          <w:tcPr>
            <w:tcW w:w="403" w:type="pct"/>
          </w:tcPr>
          <w:p w:rsidR="004C5BD5" w:rsidRPr="004C5BD5" w:rsidRDefault="004C5BD5" w:rsidP="004C5BD5">
            <w:pPr>
              <w:tabs>
                <w:tab w:val="left" w:pos="751"/>
              </w:tabs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21.4+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63.0</w:t>
            </w:r>
          </w:p>
        </w:tc>
        <w:tc>
          <w:tcPr>
            <w:tcW w:w="688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N/A</w:t>
            </w:r>
          </w:p>
        </w:tc>
        <w:tc>
          <w:tcPr>
            <w:tcW w:w="39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N/A</w:t>
            </w:r>
          </w:p>
        </w:tc>
        <w:tc>
          <w:tcPr>
            <w:tcW w:w="48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N/A</w:t>
            </w:r>
          </w:p>
        </w:tc>
        <w:tc>
          <w:tcPr>
            <w:tcW w:w="537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CR</w:t>
            </w:r>
          </w:p>
        </w:tc>
        <w:tc>
          <w:tcPr>
            <w:tcW w:w="311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10.5+</w:t>
            </w:r>
          </w:p>
        </w:tc>
        <w:tc>
          <w:tcPr>
            <w:tcW w:w="403" w:type="pct"/>
          </w:tcPr>
          <w:p w:rsidR="004C5BD5" w:rsidRPr="004C5BD5" w:rsidRDefault="004C5BD5" w:rsidP="004C5BD5">
            <w:pPr>
              <w:tabs>
                <w:tab w:val="left" w:pos="751"/>
              </w:tabs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10.5+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77.4</w:t>
            </w:r>
          </w:p>
        </w:tc>
        <w:tc>
          <w:tcPr>
            <w:tcW w:w="688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CCND1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FGF19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FGF3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FGF4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LRP1B splice site 13561-1G&gt;A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PBRM1 W1365*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TET2 Q654*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R282W</w:t>
            </w:r>
          </w:p>
        </w:tc>
        <w:tc>
          <w:tcPr>
            <w:tcW w:w="39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MS-high</w:t>
            </w:r>
          </w:p>
        </w:tc>
        <w:tc>
          <w:tcPr>
            <w:tcW w:w="48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537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3.6</w:t>
            </w:r>
          </w:p>
        </w:tc>
        <w:tc>
          <w:tcPr>
            <w:tcW w:w="403" w:type="pct"/>
          </w:tcPr>
          <w:p w:rsidR="004C5BD5" w:rsidRPr="004C5BD5" w:rsidRDefault="004C5BD5" w:rsidP="004C5BD5">
            <w:pPr>
              <w:tabs>
                <w:tab w:val="left" w:pos="751"/>
              </w:tabs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17.4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60.5</w:t>
            </w:r>
          </w:p>
        </w:tc>
        <w:tc>
          <w:tcPr>
            <w:tcW w:w="688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ATR splice site 4642-1G&gt;A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CDKN2A/B loss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MLL2 R2635Q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NOTCH1 P391S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NOTCH2 Q831*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RAC1 P29S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SF3B1 R831Q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-146C&gt;T</w:t>
            </w:r>
          </w:p>
        </w:tc>
        <w:tc>
          <w:tcPr>
            <w:tcW w:w="39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37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20.5+</w:t>
            </w:r>
          </w:p>
        </w:tc>
        <w:tc>
          <w:tcPr>
            <w:tcW w:w="403" w:type="pct"/>
          </w:tcPr>
          <w:p w:rsidR="004C5BD5" w:rsidRPr="004C5BD5" w:rsidRDefault="004C5BD5" w:rsidP="004C5BD5">
            <w:pPr>
              <w:tabs>
                <w:tab w:val="left" w:pos="751"/>
              </w:tabs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20.5+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66.7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TSC2 P670S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ARID2 L1790*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 p16INK4a P114L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CREBBP Q1777*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EP300 Q447*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LRP1B W3570*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lastRenderedPageBreak/>
              <w:t>NOTCH1 Q1214*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NOTCH2 splice site 2027-1G&gt;A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-124C&gt;T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H179R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R196*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lastRenderedPageBreak/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3.0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7.4+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71.6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ARID2 P994fs*16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DNMT3A R736H – subclonal</w:t>
            </w:r>
            <w:r w:rsidRPr="004C5BD5">
              <w:rPr>
                <w:rFonts w:ascii="Cambria Math" w:eastAsiaTheme="minorEastAsia" w:hAnsi="Cambria Math" w:cs="Cambria Math"/>
                <w:i/>
                <w:sz w:val="18"/>
                <w:szCs w:val="18"/>
              </w:rPr>
              <w:t>⧺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FOXP1 Q17*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MSH2 E580fs*10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SMAD4 W99*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R282W – subclonal</w:t>
            </w:r>
            <w:r w:rsidRPr="004C5BD5">
              <w:rPr>
                <w:rFonts w:ascii="Cambria Math" w:eastAsiaTheme="minorEastAsia" w:hAnsi="Cambria Math" w:cs="Cambria Math"/>
                <w:i/>
                <w:sz w:val="18"/>
                <w:szCs w:val="18"/>
              </w:rPr>
              <w:t>⧺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 xml:space="preserve"> , splice site 783-2A&gt;T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16.3+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16.3+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44.8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CDK12 Y279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 p16INK4aD74V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W4175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SETD2 R2077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R196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N/A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8.3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8.7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13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64.4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NF2 L360fs*4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 p16INK4a Q50*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W1345*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LRP1B W2722*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NOTCH1 Q1957*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NOTCH2 Q2452*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PREX2 M1298I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TAF1 E1774*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-124C&gt;T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R248Q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splice site 376-11_380&gt;CCT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N/A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10.1+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tabs>
                <w:tab w:val="left" w:pos="751"/>
              </w:tabs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10.1+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63.8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="Times New Roman" w:hAnsi="Times New Roman" w:cs="Times New Roman"/>
                <w:sz w:val="18"/>
                <w:szCs w:val="18"/>
              </w:rPr>
              <w:t>N/A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N/A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N/A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7.9+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7.9+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Cutaneous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67.0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MLH1 E594fs*23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MSH6 R248fs*8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ARID1A P1326fs*155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ARID1A Q1519fs*8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BLM N515fs*16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CDC73 E303Q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CDKN2A p16INK4a A102fs*18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CDKN2A p14ARF A117fs*18+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CHD2 K337fs*2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CREBBP L524fs*6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GRM3 S154F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LRP1B loss exons 15-25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MLL2 G5182fs*61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MLL2 Q791fs*139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NOTCH1 P422S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PBRM1 N258fs*25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lastRenderedPageBreak/>
              <w:t>PBRM1 R534*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RB1 loss exons 1-9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SPEN A2105fs*33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STAT4 splice site 129-2delA – subclonal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  <w:t>TP53 P153_R156&gt;G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lastRenderedPageBreak/>
              <w:t>N/A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0.0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  <w:t>0.3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80.7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Insufficient tissue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1.4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4.2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45.9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28.9+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28.9+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60.3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0.1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0.1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81.8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4.5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12.8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72.3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PIK3CA amplification – equivocal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PTEN Q298*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CDKN2A p16INK4a D84Y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CDKN2A p14ARF R98L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PRKCI D396E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SOX2 amplification – equivocal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TP53 Q144*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NFE2L2 W8C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7.6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9.8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87.6</w:t>
            </w:r>
          </w:p>
        </w:tc>
        <w:tc>
          <w:tcPr>
            <w:tcW w:w="688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11.7+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11.7+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59.2</w:t>
            </w:r>
          </w:p>
        </w:tc>
        <w:tc>
          <w:tcPr>
            <w:tcW w:w="688" w:type="pct"/>
            <w:tcBorders>
              <w:bottom w:val="single" w:sz="4" w:space="0" w:color="auto"/>
            </w:tcBorders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SRC amplification – equivocal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NOTCH1 T2466fs*11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7.3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21.0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23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69.2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Nivolumab+Carboplatin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32.1+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32.1+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24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66.8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1.9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2.3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74.1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CDKN2A/B loss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RNF43 G659fs*41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R1096* – subclonal</w:t>
            </w:r>
            <w:r w:rsidRPr="004C5BD5">
              <w:rPr>
                <w:rFonts w:ascii="Cambria Math" w:eastAsiaTheme="minorEastAsia" w:hAnsi="Cambria Math" w:cs="Cambria Math"/>
                <w:i/>
                <w:sz w:val="18"/>
                <w:szCs w:val="18"/>
              </w:rPr>
              <w:t>⧺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splice site 375G&gt;T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1.4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2.8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26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78.5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TERT promoter -124C&gt;T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R282W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1.2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2.1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63.5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0.9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1.6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28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72.3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PIK3CA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SOX2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CDKN2A/B loss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KDM6A deletion exons 5-20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LRP1B G783V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MCL1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V274L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5.8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17.6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29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Urethral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39.8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BRAF G606R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EGFR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lastRenderedPageBreak/>
              <w:t>FGFR2 amplification – equivocal</w:t>
            </w:r>
            <w:r w:rsidRPr="004C5BD5">
              <w:rPr>
                <w:rFonts w:ascii="Cambria Math" w:eastAsiaTheme="minorEastAsia" w:hAnsi="Cambria Math" w:cs="Cambria Math"/>
                <w:i/>
                <w:sz w:val="18"/>
                <w:szCs w:val="18"/>
              </w:rPr>
              <w:t>⧺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NF1 loss exons 36-57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C17orf39 amplification – equivocal</w:t>
            </w:r>
            <w:r w:rsidRPr="004C5BD5">
              <w:rPr>
                <w:rFonts w:ascii="Cambria Math" w:eastAsiaTheme="minorEastAsia" w:hAnsi="Cambria Math" w:cs="Cambria Math"/>
                <w:i/>
                <w:sz w:val="18"/>
                <w:szCs w:val="18"/>
              </w:rPr>
              <w:t>⧺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loss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MLL3 S2860*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SPTA1 R2211H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STAT4 splice site 1571-10_1578del18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lastRenderedPageBreak/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2.8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23.3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30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44.3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14.4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17.9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31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Esophageal and hypopharyngeal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69.5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BRCA2 M965fs*13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BRCA2 S884*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ERBB2 I767M – subclonal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FGFR3 S249C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CDKN2A/B loss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R175H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BCORL1 Q851*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MLL3 Q2197* – subclonal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SMAD4 D351H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6.4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17.4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76.9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MYC amplification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16.1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27.5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Esophageal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73.8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CDKN2A/B loss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C176F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D61fs*62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EP300 P925T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Nivolumab+Palbociclib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4.0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4.7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60.9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CDKN2A p16INK4a W110*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-124C&gt;T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K305fs*40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3.19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Avelumab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1.3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9.6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35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58.7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ASXL1 Q575* – subclonal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BCORL1 I790fs*64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CREBBP R1103*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DNMT3A R771* – subclonal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5.8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19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71.0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21.9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26.8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37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NSCLC  and renal cell carcinoma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75.8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ARID1A Q1519fs*13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CDK8 A155V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MAGI2 E1315fs*159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MLH1 H289fs*17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NOTCH1 R1962S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SETD2 K1969fs*2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-124C&gt;T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R175H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VHL L135fs*9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5.1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8.9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38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Cervical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68.8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FBXW7 R465H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CTNNB1 S37C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BCOR Q224*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lastRenderedPageBreak/>
              <w:t>BCOR Q990*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RB1 E31*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RB1 S230*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lastRenderedPageBreak/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4.4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5.7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39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79.1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PIK3CA V344G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SOX9 E75K – subclonal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4.8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6.9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40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56.4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3.2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3.8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41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57.6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none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3.5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12.5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Cervical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59.8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12.6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13.1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43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57.7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CTNNB1 loss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MYB rearrangement intron 14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PARK2 P113fs*51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PIK3R2 R89fs*43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SOX9 S414*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6.4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9.0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Esophageal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77.6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BCL2L2 amplification – equivocal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R937*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ROS1 S1810F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SMARCA4 Q1236fs*51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L252P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R196*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VHL L188fs*28+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16.1+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16.1+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45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62.2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Durvalumab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12.9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29.6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70.0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19.4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19.7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47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69.2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0.8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0.8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48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63.4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3.4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3.7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62.9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Avelumab+Utomilumab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2.6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3.7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72.0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CR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25.2+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25.2+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86.2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HRAS Q61L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 p16INK4a loss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 p14ARF loss exons 2-3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ARID2 Q1027*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ASXL1 G710fs*15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BCORL1 Q1664*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Q1244*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S869*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NOTCH2 Q1392*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PMS2 V415M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-124C&gt;T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4.0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12.2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52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50.7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CDKN2A/B loss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 xml:space="preserve">CYLD S371* 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1.9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11.4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89.5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FAT1 S2682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S3830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lastRenderedPageBreak/>
              <w:t>MPL S505N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NOTCH1 loss exons3-15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G266R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lastRenderedPageBreak/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16.5+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16.5+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54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NSCLC  and mantle cell lymphoma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80.9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3.1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3.9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55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44.8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1.2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1.6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70.9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1.3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4.7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69.7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PIK3CA E542K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ARID2 splice site 1023+1G&gt;A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LRP1B Q3874*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-146C&gt;T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Nivolumab+Cabiralizumab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9.5+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9.5+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58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61.8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2.9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4.8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59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70.9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7.7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8.3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58.9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CD274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PDCD1LG2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E4156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7.19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Avelumab+Utomilumab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4.3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9.9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61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79.3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CDKN2A p16INK4a R58*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 p14ARF P72L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EP300 D1399N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R2726*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MLL2 E233*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MUTYH G382D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NOTCH2 Q2006*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-146C&gt;T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P301Q – subclonal</w:t>
            </w:r>
            <w:r w:rsidRPr="004C5BD5">
              <w:rPr>
                <w:rFonts w:ascii="Cambria Math" w:eastAsiaTheme="minorEastAsia" w:hAnsi="Cambria Math" w:cs="Cambria Math"/>
                <w:i/>
                <w:sz w:val="18"/>
                <w:szCs w:val="18"/>
              </w:rPr>
              <w:t>⧺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R196P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R280T – subclonal</w:t>
            </w:r>
            <w:r w:rsidRPr="004C5BD5">
              <w:rPr>
                <w:rFonts w:ascii="Cambria Math" w:eastAsiaTheme="minorEastAsia" w:hAnsi="Cambria Math" w:cs="Cambria Math"/>
                <w:i/>
                <w:sz w:val="18"/>
                <w:szCs w:val="18"/>
              </w:rPr>
              <w:t>⧺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WT1 C350R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25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2.1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4.4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52.4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1.8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4.5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66.7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Nivolumab+Cabiralizumab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2.9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7.9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64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74.2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Avelumab+Utomilumab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4.8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5.3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65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65.6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2.3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3.9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53.9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1.9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6.4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90.4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CD274 (PD-L1)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PDCD1LG2 (PD-L2)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 xml:space="preserve">CDKN2A p16INK4a 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lastRenderedPageBreak/>
              <w:t>R58*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CDKN2A p14ARF P72L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APC I1307K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FAT1 S1357*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JAK2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TERT promoter -124C&gt;T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H193N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R248W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lastRenderedPageBreak/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PR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10.1+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10.1+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71.3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MYC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R280I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BCORL1 splice site 4306-2A&gt;G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NOTCH2 Q1634*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0.4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1.3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NSCLC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82.7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1.4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2.2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NSCLC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63.1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STK11 V236fs*51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CDK6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IDH2 R140Q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MLL2 A3051fs*20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RUNX1T1 A491T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SMARCA4 I382fs*28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TP53 P151R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Nivolumab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1.7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7.5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71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57.4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0.6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0.7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56.8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not performed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6.3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24.4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Head &amp; neck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76.2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CD274 (PD-L1)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JAK2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PIK3CA E545K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PTCH1 M1fs*81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PDCD1LG2 (PD-L2)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SOX2 amplification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SUFU S79fs*5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BCL2L2 amplification – equivocal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KEAP1 R320Q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MLL3 C310S – subclonal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4.7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22.4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74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Anal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33.0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STK11 loss exons 1-6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 xml:space="preserve">CHD2 truncation exon 31 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1.3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2.9</w:t>
            </w:r>
          </w:p>
        </w:tc>
      </w:tr>
      <w:tr w:rsidR="004C5BD5" w:rsidRPr="004C5BD5" w:rsidTr="00000687">
        <w:trPr>
          <w:trHeight w:val="276"/>
        </w:trPr>
        <w:tc>
          <w:tcPr>
            <w:tcW w:w="506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506" w:type="pct"/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 xml:space="preserve">Rectal </w:t>
            </w:r>
          </w:p>
        </w:tc>
        <w:tc>
          <w:tcPr>
            <w:tcW w:w="329" w:type="pc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41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62.9</w:t>
            </w:r>
          </w:p>
        </w:tc>
        <w:tc>
          <w:tcPr>
            <w:tcW w:w="68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i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t>AKT1 E17K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CYLD Q26* – subclonal</w:t>
            </w:r>
            <w:r w:rsidRPr="004C5BD5">
              <w:rPr>
                <w:rFonts w:ascii="Cambria Math" w:eastAsiaTheme="minorEastAsia" w:hAnsi="Cambria Math" w:cs="Cambria Math"/>
                <w:i/>
                <w:sz w:val="18"/>
                <w:szCs w:val="18"/>
              </w:rPr>
              <w:t>⧺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LRP1B T2117fs*5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SPTA1 R374*</w:t>
            </w:r>
            <w:r w:rsidRPr="004C5BD5">
              <w:rPr>
                <w:rFonts w:ascii="Times New Roman" w:eastAsiaTheme="minorEastAsia" w:hAnsi="Times New Roman" w:cs="Times New Roman"/>
                <w:i/>
                <w:sz w:val="18"/>
                <w:szCs w:val="18"/>
              </w:rPr>
              <w:br/>
              <w:t>STAG2 Q167*</w:t>
            </w:r>
          </w:p>
        </w:tc>
        <w:tc>
          <w:tcPr>
            <w:tcW w:w="39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MS-Stable</w:t>
            </w:r>
          </w:p>
        </w:tc>
        <w:tc>
          <w:tcPr>
            <w:tcW w:w="48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18</w:t>
            </w:r>
          </w:p>
        </w:tc>
        <w:tc>
          <w:tcPr>
            <w:tcW w:w="537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Pembrolizumab</w:t>
            </w:r>
          </w:p>
        </w:tc>
        <w:tc>
          <w:tcPr>
            <w:tcW w:w="440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SD</w:t>
            </w:r>
          </w:p>
        </w:tc>
        <w:tc>
          <w:tcPr>
            <w:tcW w:w="311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8.5+</w:t>
            </w:r>
          </w:p>
        </w:tc>
        <w:tc>
          <w:tcPr>
            <w:tcW w:w="403" w:type="pct"/>
            <w:shd w:val="clear" w:color="auto" w:fill="auto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18"/>
                <w:szCs w:val="18"/>
              </w:rPr>
            </w:pPr>
            <w:r w:rsidRPr="004C5BD5">
              <w:rPr>
                <w:rFonts w:ascii="Times New Roman" w:eastAsiaTheme="minorEastAsia" w:hAnsi="Times New Roman" w:cs="Times New Roman"/>
                <w:sz w:val="18"/>
                <w:szCs w:val="18"/>
              </w:rPr>
              <w:t>8.5+</w:t>
            </w:r>
          </w:p>
        </w:tc>
      </w:tr>
    </w:tbl>
    <w:p w:rsidR="004C5BD5" w:rsidRPr="004C5BD5" w:rsidRDefault="004C5BD5" w:rsidP="004C5BD5">
      <w:pPr>
        <w:spacing w:after="0" w:line="240" w:lineRule="auto"/>
        <w:ind w:left="-1080"/>
        <w:contextualSpacing/>
        <w:rPr>
          <w:rFonts w:ascii="Times New Roman" w:eastAsiaTheme="minorEastAsia" w:hAnsi="Times New Roman" w:cs="Times New Roman"/>
          <w:sz w:val="18"/>
          <w:szCs w:val="18"/>
        </w:rPr>
      </w:pPr>
      <w:r w:rsidRPr="004C5BD5">
        <w:rPr>
          <w:rFonts w:ascii="Times New Roman" w:eastAsiaTheme="minorEastAsia" w:hAnsi="Times New Roman" w:cs="Times New Roman"/>
          <w:b/>
          <w:sz w:val="18"/>
          <w:szCs w:val="18"/>
        </w:rPr>
        <w:t>Abbreviations</w:t>
      </w:r>
      <w:r w:rsidRPr="004C5BD5">
        <w:rPr>
          <w:rFonts w:ascii="Times New Roman" w:eastAsiaTheme="minorEastAsia" w:hAnsi="Times New Roman" w:cs="Times New Roman"/>
          <w:sz w:val="18"/>
          <w:szCs w:val="18"/>
        </w:rPr>
        <w:t>: CR = complete response; mb= megabase; MSI = microsatellite instability; N/A = not available; NSCLC = non-small cell lung cancer; OS = overall survival; PD = progressive disease; PR = partial response; SD = stable disease; TMB = tumor mutational burden; TTF = time to treatment fail</w:t>
      </w:r>
    </w:p>
    <w:p w:rsidR="004C5BD5" w:rsidRPr="004C5BD5" w:rsidRDefault="004C5BD5" w:rsidP="004C5BD5">
      <w:pPr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</w:rPr>
        <w:sectPr w:rsidR="004C5BD5" w:rsidRPr="004C5BD5" w:rsidSect="00F4606D">
          <w:pgSz w:w="15840" w:h="12240" w:orient="landscape"/>
          <w:pgMar w:top="360" w:right="1440" w:bottom="720" w:left="1440" w:header="720" w:footer="720" w:gutter="0"/>
          <w:cols w:space="720"/>
          <w:docGrid w:linePitch="360"/>
        </w:sectPr>
      </w:pPr>
      <w:r w:rsidRPr="004C5BD5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</w:rPr>
        <w:br w:type="page"/>
      </w:r>
    </w:p>
    <w:p w:rsidR="004C5BD5" w:rsidRPr="004C5BD5" w:rsidRDefault="004C5BD5" w:rsidP="006325C5">
      <w:pPr>
        <w:spacing w:after="0" w:line="240" w:lineRule="auto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b/>
          <w:sz w:val="24"/>
          <w:szCs w:val="24"/>
        </w:rPr>
        <w:lastRenderedPageBreak/>
        <w:t>Supplemental Table 2</w:t>
      </w:r>
      <w:r w:rsidRPr="004C5BD5">
        <w:rPr>
          <w:rFonts w:ascii="Times New Roman" w:eastAsiaTheme="minorEastAsia" w:hAnsi="Times New Roman" w:cs="Times New Roman"/>
          <w:sz w:val="24"/>
          <w:szCs w:val="24"/>
        </w:rPr>
        <w:t>:</w:t>
      </w:r>
      <w:r w:rsidR="006325C5">
        <w:rPr>
          <w:rFonts w:ascii="Times New Roman" w:eastAsiaTheme="minorEastAsia" w:hAnsi="Times New Roman" w:cs="Times New Roman"/>
          <w:sz w:val="24"/>
          <w:szCs w:val="24"/>
        </w:rPr>
        <w:t xml:space="preserve"> Total alterations seen </w:t>
      </w:r>
      <w:r w:rsidR="004509D1">
        <w:rPr>
          <w:rFonts w:ascii="Times New Roman" w:eastAsiaTheme="minorEastAsia" w:hAnsi="Times New Roman" w:cs="Times New Roman"/>
          <w:sz w:val="24"/>
          <w:szCs w:val="24"/>
        </w:rPr>
        <w:t xml:space="preserve">in </w:t>
      </w:r>
      <w:r w:rsidR="006325C5">
        <w:rPr>
          <w:rFonts w:ascii="Times New Roman" w:eastAsiaTheme="minorEastAsia" w:hAnsi="Times New Roman" w:cs="Times New Roman"/>
          <w:sz w:val="24"/>
          <w:szCs w:val="24"/>
        </w:rPr>
        <w:t>all SCCs segregated by cutaneous vs. other SCC</w:t>
      </w:r>
    </w:p>
    <w:tbl>
      <w:tblPr>
        <w:tblStyle w:val="TableGrid"/>
        <w:tblW w:w="8010" w:type="dxa"/>
        <w:tblLook w:val="04A0" w:firstRow="1" w:lastRow="0" w:firstColumn="1" w:lastColumn="0" w:noHBand="0" w:noVBand="1"/>
      </w:tblPr>
      <w:tblGrid>
        <w:gridCol w:w="2070"/>
        <w:gridCol w:w="1800"/>
        <w:gridCol w:w="1800"/>
        <w:gridCol w:w="2340"/>
      </w:tblGrid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Alteration</w:t>
            </w:r>
          </w:p>
        </w:tc>
        <w:tc>
          <w:tcPr>
            <w:tcW w:w="1800" w:type="dxa"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Total (N)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Other SCC (N)</w:t>
            </w:r>
          </w:p>
        </w:tc>
        <w:tc>
          <w:tcPr>
            <w:tcW w:w="2340" w:type="dxa"/>
            <w:noWrap/>
            <w:hideMark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Cutaneous SCC (N)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Total alterations</w:t>
            </w:r>
          </w:p>
        </w:tc>
        <w:tc>
          <w:tcPr>
            <w:tcW w:w="1800" w:type="dxa"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298</w:t>
            </w:r>
          </w:p>
        </w:tc>
        <w:tc>
          <w:tcPr>
            <w:tcW w:w="1800" w:type="dxa"/>
            <w:noWrap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</w:t>
            </w:r>
          </w:p>
        </w:tc>
        <w:tc>
          <w:tcPr>
            <w:tcW w:w="2340" w:type="dxa"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TP53</w:t>
            </w:r>
          </w:p>
        </w:tc>
        <w:tc>
          <w:tcPr>
            <w:tcW w:w="1800" w:type="dxa"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37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</w:t>
            </w:r>
          </w:p>
        </w:tc>
        <w:tc>
          <w:tcPr>
            <w:tcW w:w="2340" w:type="dxa"/>
            <w:hideMark/>
          </w:tcPr>
          <w:p w:rsidR="004C5BD5" w:rsidRPr="004C5BD5" w:rsidRDefault="004C5BD5" w:rsidP="006325C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CDKN2A/B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FAT1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TERT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PIK3CA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BCORL1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CD274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LRP1B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MLL3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NOTCH1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NOTCH2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PDCD1LG2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SOX2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ARID2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ASXL1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BCL2L2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BCOR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BRCA2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CTNNB1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CYLD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EP300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JAK2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MLL2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MYC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RB1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SMARCA4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SOX9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SPTA1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STK11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VHL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AKT1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APC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ARID1A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BRAF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C17orf39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CDK6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CDK8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CHD2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CREBBP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DNMT3A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EGFR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ERBB2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FBXW7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FGFR2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FGFR3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HRAS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IDH2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KDM6A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KEAP1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MAGI2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MCL1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MLH1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MPL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MUTYH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MYB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NF1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NFE2L2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PARK2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PIK3R2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PMS2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PRKCI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PTCH1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PTEN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RNF43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ROS1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RUNX1T1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SETD2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SMAD4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SRC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STAG2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STAT4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SUFU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WT1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ABL2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ATM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ATR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ATRX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BLM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BRCA1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BRD4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CCND1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CDC73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CDK12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CHEK2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CSF1R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CTCF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EPHA3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FGF19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FGF3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FGF4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FGFR1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FLT3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FOXP1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GRM3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MSH2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MSH6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NF2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PBRM1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PDGFRA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PREX2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RAC1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SFS3B1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SLIT2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SPEN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TAF1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TET2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TSC1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4C5BD5" w:rsidRPr="004C5BD5" w:rsidTr="00000687">
        <w:trPr>
          <w:trHeight w:val="300"/>
        </w:trPr>
        <w:tc>
          <w:tcPr>
            <w:tcW w:w="207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TSC2</w:t>
            </w:r>
          </w:p>
        </w:tc>
        <w:tc>
          <w:tcPr>
            <w:tcW w:w="1800" w:type="dxa"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800" w:type="dxa"/>
            <w:noWrap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  <w:tc>
          <w:tcPr>
            <w:tcW w:w="2340" w:type="dxa"/>
            <w:hideMark/>
          </w:tcPr>
          <w:p w:rsidR="004C5BD5" w:rsidRPr="004C5BD5" w:rsidRDefault="004C5BD5" w:rsidP="004C5BD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C5B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</w:tr>
    </w:tbl>
    <w:p w:rsidR="004C5BD5" w:rsidRPr="004C5BD5" w:rsidRDefault="004C5BD5" w:rsidP="004C5BD5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sz w:val="24"/>
          <w:szCs w:val="24"/>
        </w:rPr>
        <w:t>Abbreviations: SCC = squamous cell carcinoma</w:t>
      </w: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b/>
          <w:sz w:val="24"/>
          <w:szCs w:val="24"/>
        </w:rPr>
        <w:br w:type="page"/>
      </w:r>
    </w:p>
    <w:p w:rsidR="004C5BD5" w:rsidRPr="004C5BD5" w:rsidRDefault="004C5BD5" w:rsidP="004C5BD5">
      <w:pPr>
        <w:spacing w:after="0" w:line="240" w:lineRule="auto"/>
        <w:ind w:left="-1170" w:right="-1170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</w:rPr>
        <w:sectPr w:rsidR="004C5BD5" w:rsidRPr="004C5BD5" w:rsidSect="00F21D93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4C5BD5" w:rsidRPr="004C5BD5" w:rsidRDefault="004C5BD5" w:rsidP="004C5BD5">
      <w:pPr>
        <w:spacing w:after="0" w:line="240" w:lineRule="auto"/>
        <w:ind w:left="-1080" w:right="-1170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</w:rPr>
        <w:lastRenderedPageBreak/>
        <w:t>Supplemental Table 3</w:t>
      </w:r>
      <w:r w:rsidRPr="004C5BD5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: Univariate and multivariate analysis of factors affecting outcome for patients with squamous cell carcinoma treated with PD-1/PD-L1 blockade.  TMB stratified as low, intermediate or high.  (See </w:t>
      </w:r>
      <w:r w:rsidRPr="004C5BD5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</w:rPr>
        <w:t>Table 2</w:t>
      </w:r>
      <w:r w:rsidRPr="004C5BD5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for TMB stratified as &lt;12 versus </w:t>
      </w:r>
      <w:r w:rsidRPr="004C5BD5">
        <w:rPr>
          <w:rFonts w:ascii="Times New Roman" w:eastAsiaTheme="minorEastAsia" w:hAnsi="Times New Roman" w:cs="Times New Roman"/>
          <w:color w:val="000000" w:themeColor="text1"/>
          <w:sz w:val="24"/>
          <w:szCs w:val="24"/>
          <w:u w:val="single"/>
        </w:rPr>
        <w:t>&gt;</w:t>
      </w:r>
      <w:r w:rsidRPr="004C5BD5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12 mutations/megabase)</w:t>
      </w:r>
    </w:p>
    <w:tbl>
      <w:tblPr>
        <w:tblStyle w:val="TableGrid"/>
        <w:tblW w:w="14760" w:type="dxa"/>
        <w:tblInd w:w="-1062" w:type="dxa"/>
        <w:tblLayout w:type="fixed"/>
        <w:tblLook w:val="04A0" w:firstRow="1" w:lastRow="0" w:firstColumn="1" w:lastColumn="0" w:noHBand="0" w:noVBand="1"/>
      </w:tblPr>
      <w:tblGrid>
        <w:gridCol w:w="1677"/>
        <w:gridCol w:w="1383"/>
        <w:gridCol w:w="994"/>
        <w:gridCol w:w="1166"/>
        <w:gridCol w:w="1080"/>
        <w:gridCol w:w="990"/>
        <w:gridCol w:w="1350"/>
        <w:gridCol w:w="1170"/>
        <w:gridCol w:w="1260"/>
        <w:gridCol w:w="1080"/>
        <w:gridCol w:w="1260"/>
        <w:gridCol w:w="1350"/>
      </w:tblGrid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Variable</w:t>
            </w: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Group (N)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sz w:val="20"/>
                <w:szCs w:val="20"/>
              </w:rPr>
              <w:t>SD ≥ 6 months plus PR/CR</w:t>
            </w: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 xml:space="preserve"> 1</w:t>
            </w: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 xml:space="preserve"> N = 31 (%)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OR</w:t>
            </w: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 xml:space="preserve">2 </w:t>
            </w: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(95% CI)</w:t>
            </w: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P univariate*</w:t>
            </w: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Median TTF (mos)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HR</w:t>
            </w: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 xml:space="preserve">2 </w:t>
            </w: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(95% CI)</w:t>
            </w:r>
          </w:p>
        </w:tc>
        <w:tc>
          <w:tcPr>
            <w:tcW w:w="117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P univariate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P multivariate*</w:t>
            </w: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Median OS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HR</w:t>
            </w: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3</w:t>
            </w: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 xml:space="preserve"> (95% CI)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P univariate</w:t>
            </w: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Age (years)</w:t>
            </w: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&lt;60 (N = 18)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6 (33%)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0.6 [0.2-1.8]</w:t>
            </w:r>
          </w:p>
        </w:tc>
        <w:tc>
          <w:tcPr>
            <w:tcW w:w="108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0.5844</w:t>
            </w: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3.9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1.8 [0.9-3.4]</w:t>
            </w:r>
          </w:p>
        </w:tc>
        <w:tc>
          <w:tcPr>
            <w:tcW w:w="117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0.0848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11.4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1.6 [0.8-3.4]</w:t>
            </w:r>
          </w:p>
        </w:tc>
        <w:tc>
          <w:tcPr>
            <w:tcW w:w="135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0.1724</w:t>
            </w: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≥60 (N = 57)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25 (44%)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1.6 [0.5-5.0]</w:t>
            </w:r>
          </w:p>
        </w:tc>
        <w:tc>
          <w:tcPr>
            <w:tcW w:w="108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5.0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0.6 [0.3-1.2]</w:t>
            </w:r>
          </w:p>
        </w:tc>
        <w:tc>
          <w:tcPr>
            <w:tcW w:w="117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19.7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0.6 [0.3-1.3]</w:t>
            </w:r>
          </w:p>
        </w:tc>
        <w:tc>
          <w:tcPr>
            <w:tcW w:w="135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Sex</w:t>
            </w: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Male (N = 54)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21 (39%)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0.7 [0.3-1.8]</w:t>
            </w:r>
          </w:p>
        </w:tc>
        <w:tc>
          <w:tcPr>
            <w:tcW w:w="108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0.6032</w:t>
            </w: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4.8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1.0 [0.5-1.7]</w:t>
            </w:r>
          </w:p>
        </w:tc>
        <w:tc>
          <w:tcPr>
            <w:tcW w:w="117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0.9261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17.4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1.0 [0.5-2.0]</w:t>
            </w:r>
          </w:p>
        </w:tc>
        <w:tc>
          <w:tcPr>
            <w:tcW w:w="135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0.9157</w:t>
            </w: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Female (N = 21)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10 (48%)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1.4 [0.5-3.7]</w:t>
            </w:r>
          </w:p>
        </w:tc>
        <w:tc>
          <w:tcPr>
            <w:tcW w:w="108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4.8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1.0 [0.6-1.8]</w:t>
            </w:r>
          </w:p>
        </w:tc>
        <w:tc>
          <w:tcPr>
            <w:tcW w:w="117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17.4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1.0 [0.5-2.2]</w:t>
            </w:r>
          </w:p>
        </w:tc>
        <w:tc>
          <w:tcPr>
            <w:tcW w:w="135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Ethnicity</w:t>
            </w: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White (N = 61)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25 (41%)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0.9 [0.3-3.2]</w:t>
            </w:r>
          </w:p>
        </w:tc>
        <w:tc>
          <w:tcPr>
            <w:tcW w:w="108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&gt;0.9999</w:t>
            </w: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5.0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0.8 [0.4-1.5]</w:t>
            </w:r>
          </w:p>
        </w:tc>
        <w:tc>
          <w:tcPr>
            <w:tcW w:w="117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0.4328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17.4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1.0 [0.4-2.5]</w:t>
            </w:r>
          </w:p>
        </w:tc>
        <w:tc>
          <w:tcPr>
            <w:tcW w:w="135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0.9361</w:t>
            </w: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Other (N = 14)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6 (43%)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1.1 [0.3-3.2]</w:t>
            </w:r>
          </w:p>
        </w:tc>
        <w:tc>
          <w:tcPr>
            <w:tcW w:w="108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2.9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1.3 [0.6-2.6]</w:t>
            </w:r>
          </w:p>
        </w:tc>
        <w:tc>
          <w:tcPr>
            <w:tcW w:w="117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11.4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1.0 [0.4-2.3]</w:t>
            </w:r>
          </w:p>
        </w:tc>
        <w:tc>
          <w:tcPr>
            <w:tcW w:w="135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Disease status</w:t>
            </w: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Locally advanced (N = 23)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10 (43%)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1.1 [0.4-3.2]</w:t>
            </w:r>
          </w:p>
        </w:tc>
        <w:tc>
          <w:tcPr>
            <w:tcW w:w="108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0.8052</w:t>
            </w: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5.5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[0.9 [0.5-1.6]</w:t>
            </w:r>
          </w:p>
        </w:tc>
        <w:tc>
          <w:tcPr>
            <w:tcW w:w="117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0.8419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17.4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0.7 [0.3-1.4]</w:t>
            </w:r>
          </w:p>
        </w:tc>
        <w:tc>
          <w:tcPr>
            <w:tcW w:w="135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0.3422</w:t>
            </w: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Metastatic (N = 52)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21 (40%)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0.9 [0.3-2.2]</w:t>
            </w:r>
          </w:p>
        </w:tc>
        <w:tc>
          <w:tcPr>
            <w:tcW w:w="108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4.7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1.1 [0.6-1.8]</w:t>
            </w:r>
          </w:p>
        </w:tc>
        <w:tc>
          <w:tcPr>
            <w:tcW w:w="117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13.1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1.4 [0.7-2.9]</w:t>
            </w:r>
          </w:p>
        </w:tc>
        <w:tc>
          <w:tcPr>
            <w:tcW w:w="135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TMB</w:t>
            </w: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Low (N = 11)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3 (26%)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 [reference]</w:t>
            </w: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4.4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 [reference]</w:t>
            </w:r>
          </w:p>
        </w:tc>
        <w:tc>
          <w:tcPr>
            <w:tcW w:w="117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11.4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 [reference]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Intermediate (N = 18)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8 (44%)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2.1 [0.5-9.1]</w:t>
            </w: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0.4486</w:t>
            </w: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5.3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0.6 [0.2-1.4]</w:t>
            </w:r>
          </w:p>
        </w:tc>
        <w:tc>
          <w:tcPr>
            <w:tcW w:w="117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0.1518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21.0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0.6 [0.2-1.9]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0.8352</w:t>
            </w: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High (N = 12)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7 (58%)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3.7 [0.6-17.3]</w:t>
            </w: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0.2138</w:t>
            </w: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9.9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0.4 [0.1-1.0]</w:t>
            </w:r>
          </w:p>
        </w:tc>
        <w:tc>
          <w:tcPr>
            <w:tcW w:w="117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b/>
                <w:color w:val="000000" w:themeColor="text1"/>
                <w:sz w:val="20"/>
                <w:szCs w:val="20"/>
              </w:rPr>
              <w:t>0.0339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0.570</w:t>
            </w: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17.4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0.5 [0.1-1.6]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0.1650</w:t>
            </w: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Treatment</w:t>
            </w: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≤1 prior therapy (N = 46)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20 (44%)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1.3 [0.5-3.4]</w:t>
            </w:r>
          </w:p>
        </w:tc>
        <w:tc>
          <w:tcPr>
            <w:tcW w:w="108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0.8101</w:t>
            </w: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4.8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0.9 [0.5-1.6]</w:t>
            </w:r>
          </w:p>
        </w:tc>
        <w:tc>
          <w:tcPr>
            <w:tcW w:w="117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0.7385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19.7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0.8 [0.4-1.5]</w:t>
            </w:r>
          </w:p>
        </w:tc>
        <w:tc>
          <w:tcPr>
            <w:tcW w:w="135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0.4657</w:t>
            </w: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 or more prior therapies (N = 29)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11 (38%)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0.8 [0.3-2.0]</w:t>
            </w:r>
          </w:p>
        </w:tc>
        <w:tc>
          <w:tcPr>
            <w:tcW w:w="108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5.2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1.1 [0.6-1.9]</w:t>
            </w:r>
          </w:p>
        </w:tc>
        <w:tc>
          <w:tcPr>
            <w:tcW w:w="117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12.2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1.2 [0.7-2.5]</w:t>
            </w:r>
          </w:p>
        </w:tc>
        <w:tc>
          <w:tcPr>
            <w:tcW w:w="135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PD-1/PD-L1 blockade  monotherapy (N = 68)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29 (43%)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1.9 [0.3-9.8]</w:t>
            </w:r>
          </w:p>
        </w:tc>
        <w:tc>
          <w:tcPr>
            <w:tcW w:w="108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0.6926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sz w:val="20"/>
                <w:szCs w:val="20"/>
              </w:rPr>
            </w:pP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5.1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1.1 [0.4-2.6]</w:t>
            </w:r>
          </w:p>
        </w:tc>
        <w:tc>
          <w:tcPr>
            <w:tcW w:w="117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0.8822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17.4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0.7 [0.2-2.3]</w:t>
            </w:r>
          </w:p>
        </w:tc>
        <w:tc>
          <w:tcPr>
            <w:tcW w:w="135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0.5067</w:t>
            </w: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PD-1/PD-L1 blockade + other (N = 7)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 (29%)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0.5 [0.1-2.9]</w:t>
            </w:r>
          </w:p>
        </w:tc>
        <w:tc>
          <w:tcPr>
            <w:tcW w:w="108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4.3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0.9 [0.4-2.3]</w:t>
            </w:r>
          </w:p>
        </w:tc>
        <w:tc>
          <w:tcPr>
            <w:tcW w:w="117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8.9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1.4 [0.4-4.7</w:t>
            </w:r>
          </w:p>
        </w:tc>
        <w:tc>
          <w:tcPr>
            <w:tcW w:w="135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lastRenderedPageBreak/>
              <w:t>Histology</w:t>
            </w: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Cutaneous SCC (N = 15)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11 (73%)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5</w:t>
            </w:r>
            <w:r w:rsidRPr="004C5BD5">
              <w:rPr>
                <w:rFonts w:ascii="Times New Roman" w:eastAsiaTheme="minorEastAsia" w:hAnsi="Times New Roman" w:cs="Times New Roman"/>
                <w:sz w:val="20"/>
                <w:szCs w:val="20"/>
              </w:rPr>
              <w:t>.5 [1.6-16.9]</w:t>
            </w:r>
          </w:p>
        </w:tc>
        <w:tc>
          <w:tcPr>
            <w:tcW w:w="108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b/>
                <w:color w:val="000000" w:themeColor="text1"/>
                <w:sz w:val="20"/>
                <w:szCs w:val="20"/>
              </w:rPr>
              <w:t>0.008</w:t>
            </w:r>
          </w:p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Not reached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0.3 [0.2-0.5]</w:t>
            </w:r>
          </w:p>
        </w:tc>
        <w:tc>
          <w:tcPr>
            <w:tcW w:w="117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b/>
                <w:color w:val="000000" w:themeColor="text1"/>
                <w:sz w:val="20"/>
                <w:szCs w:val="20"/>
              </w:rPr>
              <w:t>0.0015</w:t>
            </w:r>
          </w:p>
        </w:tc>
        <w:tc>
          <w:tcPr>
            <w:tcW w:w="126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0.065</w:t>
            </w: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Not reached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0.5 [0.2-1.0]</w:t>
            </w:r>
          </w:p>
        </w:tc>
        <w:tc>
          <w:tcPr>
            <w:tcW w:w="1350" w:type="dxa"/>
            <w:vMerge w:val="restart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0.0593</w:t>
            </w:r>
          </w:p>
        </w:tc>
      </w:tr>
      <w:tr w:rsidR="004C5BD5" w:rsidRPr="004C5BD5" w:rsidTr="00000687">
        <w:tc>
          <w:tcPr>
            <w:tcW w:w="1677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383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 xml:space="preserve">Non cutaneous </w:t>
            </w:r>
            <w:r w:rsidR="006F6B73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 xml:space="preserve">SCC </w:t>
            </w: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(N = 60)</w:t>
            </w:r>
          </w:p>
        </w:tc>
        <w:tc>
          <w:tcPr>
            <w:tcW w:w="994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20 (33%)</w:t>
            </w:r>
          </w:p>
        </w:tc>
        <w:tc>
          <w:tcPr>
            <w:tcW w:w="1166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0.2 [0.1-0.6]</w:t>
            </w:r>
          </w:p>
        </w:tc>
        <w:tc>
          <w:tcPr>
            <w:tcW w:w="108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99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sz w:val="20"/>
                <w:szCs w:val="20"/>
              </w:rPr>
              <w:t xml:space="preserve">4.2 </w:t>
            </w:r>
          </w:p>
        </w:tc>
        <w:tc>
          <w:tcPr>
            <w:tcW w:w="135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3.5 [2.0-6.2]</w:t>
            </w:r>
          </w:p>
        </w:tc>
        <w:tc>
          <w:tcPr>
            <w:tcW w:w="117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b/>
                <w:color w:val="000000" w:themeColor="text1"/>
                <w:sz w:val="20"/>
                <w:szCs w:val="20"/>
              </w:rPr>
            </w:pPr>
          </w:p>
        </w:tc>
        <w:tc>
          <w:tcPr>
            <w:tcW w:w="126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8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12.5</w:t>
            </w:r>
          </w:p>
        </w:tc>
        <w:tc>
          <w:tcPr>
            <w:tcW w:w="1260" w:type="dxa"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  <w:r w:rsidRPr="004C5BD5"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  <w:t>2.1 [1.0-4.5]</w:t>
            </w:r>
          </w:p>
        </w:tc>
        <w:tc>
          <w:tcPr>
            <w:tcW w:w="1350" w:type="dxa"/>
            <w:vMerge/>
          </w:tcPr>
          <w:p w:rsidR="004C5BD5" w:rsidRPr="004C5BD5" w:rsidRDefault="004C5BD5" w:rsidP="004C5BD5">
            <w:pPr>
              <w:rPr>
                <w:rFonts w:ascii="Times New Roman" w:eastAsiaTheme="minorEastAsia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</w:tbl>
    <w:p w:rsidR="004C5BD5" w:rsidRPr="004C5BD5" w:rsidRDefault="004C5BD5" w:rsidP="004C5BD5">
      <w:pPr>
        <w:spacing w:after="0" w:line="240" w:lineRule="auto"/>
        <w:ind w:left="-1170" w:right="-1170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*</w:t>
      </w:r>
      <w:r w:rsidRPr="004C5BD5">
        <w:rPr>
          <w:rFonts w:ascii="Times New Roman" w:eastAsiaTheme="minorEastAsia" w:hAnsi="Times New Roman" w:cs="Times New Roman"/>
          <w:sz w:val="24"/>
          <w:szCs w:val="24"/>
        </w:rPr>
        <w:t>41 patients were included in the multivariate analysis (since only 41 patients had TMB performed). P values ≤ 0.10 were included in the multivariate analysis.</w:t>
      </w:r>
    </w:p>
    <w:p w:rsidR="004C5BD5" w:rsidRPr="004C5BD5" w:rsidRDefault="004C5BD5" w:rsidP="004C5BD5">
      <w:pPr>
        <w:spacing w:after="0" w:line="240" w:lineRule="auto"/>
        <w:ind w:left="-1170" w:right="-1170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1</w:t>
      </w:r>
      <w:r w:rsidRPr="004C5BD5">
        <w:rPr>
          <w:rFonts w:ascii="Times New Roman" w:eastAsiaTheme="minorEastAsia" w:hAnsi="Times New Roman" w:cs="Times New Roman"/>
          <w:sz w:val="24"/>
          <w:szCs w:val="24"/>
        </w:rPr>
        <w:t>Response included patients with stable disease ≥ 6 months, partial responders, and complete responders</w:t>
      </w:r>
    </w:p>
    <w:p w:rsidR="004C5BD5" w:rsidRPr="004C5BD5" w:rsidRDefault="004C5BD5" w:rsidP="004C5BD5">
      <w:pPr>
        <w:spacing w:after="0" w:line="240" w:lineRule="auto"/>
        <w:ind w:left="-1170" w:right="-1170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2</w:t>
      </w:r>
      <w:r w:rsidRPr="004C5BD5">
        <w:rPr>
          <w:rFonts w:ascii="Times New Roman" w:eastAsiaTheme="minorEastAsia" w:hAnsi="Times New Roman" w:cs="Times New Roman"/>
          <w:sz w:val="24"/>
          <w:szCs w:val="24"/>
        </w:rPr>
        <w:t>Calculated using Fischer’s exact test</w:t>
      </w:r>
    </w:p>
    <w:p w:rsidR="004C5BD5" w:rsidRPr="004C5BD5" w:rsidRDefault="004C5BD5" w:rsidP="004C5BD5">
      <w:pPr>
        <w:spacing w:after="0" w:line="240" w:lineRule="auto"/>
        <w:ind w:left="-1170" w:right="-1170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3</w:t>
      </w:r>
      <w:r w:rsidRPr="004C5BD5">
        <w:rPr>
          <w:rFonts w:ascii="Times New Roman" w:eastAsiaTheme="minorEastAsia" w:hAnsi="Times New Roman" w:cs="Times New Roman"/>
          <w:sz w:val="24"/>
          <w:szCs w:val="24"/>
        </w:rPr>
        <w:t>Calculated using long-rank (Mantel-Cox)</w:t>
      </w:r>
    </w:p>
    <w:p w:rsidR="004C5BD5" w:rsidRPr="004C5BD5" w:rsidRDefault="004C5BD5" w:rsidP="004C5BD5">
      <w:pPr>
        <w:spacing w:after="0" w:line="240" w:lineRule="auto"/>
        <w:ind w:left="-1170" w:right="-1170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sz w:val="24"/>
          <w:szCs w:val="24"/>
        </w:rPr>
        <w:t>Other therapy: chemotherapy (N = 1), targeted therapy (N = 1), and investigational agent (N = 5)</w:t>
      </w:r>
    </w:p>
    <w:p w:rsidR="004C5BD5" w:rsidRPr="004C5BD5" w:rsidRDefault="004C5BD5" w:rsidP="004C5BD5">
      <w:pPr>
        <w:spacing w:after="0" w:line="240" w:lineRule="auto"/>
        <w:ind w:left="-1170" w:right="-1170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b/>
          <w:sz w:val="24"/>
          <w:szCs w:val="24"/>
        </w:rPr>
        <w:t>Abbreviations</w:t>
      </w:r>
      <w:r w:rsidRPr="004C5BD5">
        <w:rPr>
          <w:rFonts w:ascii="Times New Roman" w:eastAsiaTheme="minorEastAsia" w:hAnsi="Times New Roman" w:cs="Times New Roman"/>
          <w:sz w:val="24"/>
          <w:szCs w:val="24"/>
        </w:rPr>
        <w:t xml:space="preserve">: HR = hazard ratio; mb = megabase; MSI = microsatellite instability; OR = odds ration; OS = overall survival; SCC = squamous cell carcinoma; TMB = tumor mutational burden; TTF= Time to treatment failure </w:t>
      </w:r>
      <w:r w:rsidRPr="004C5BD5">
        <w:rPr>
          <w:rFonts w:ascii="Times New Roman" w:eastAsiaTheme="minorEastAsia" w:hAnsi="Times New Roman" w:cs="Times New Roman"/>
          <w:sz w:val="24"/>
          <w:szCs w:val="24"/>
        </w:rPr>
        <w:br w:type="page"/>
      </w:r>
    </w:p>
    <w:p w:rsidR="004C5BD5" w:rsidRPr="004C5BD5" w:rsidRDefault="004C5BD5" w:rsidP="004C5BD5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</w:rPr>
        <w:sectPr w:rsidR="004C5BD5" w:rsidRPr="004C5BD5" w:rsidSect="00906837">
          <w:pgSz w:w="15840" w:h="12240" w:orient="landscape"/>
          <w:pgMar w:top="270" w:right="1440" w:bottom="1440" w:left="1440" w:header="720" w:footer="720" w:gutter="0"/>
          <w:cols w:space="720"/>
          <w:docGrid w:linePitch="360"/>
        </w:sectPr>
      </w:pPr>
    </w:p>
    <w:p w:rsidR="004C5BD5" w:rsidRPr="004C5BD5" w:rsidRDefault="004C5BD5" w:rsidP="004C5BD5">
      <w:pPr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b/>
          <w:sz w:val="24"/>
          <w:szCs w:val="24"/>
        </w:rPr>
        <w:t>Supplemental Figure 1:</w:t>
      </w:r>
      <w:r w:rsidRPr="004C5BD5">
        <w:rPr>
          <w:rFonts w:ascii="Times New Roman" w:eastAsiaTheme="minorEastAsia" w:hAnsi="Times New Roman" w:cs="Times New Roman"/>
          <w:sz w:val="24"/>
          <w:szCs w:val="24"/>
        </w:rPr>
        <w:t xml:space="preserve"> CONSORT Diagram (UCSD cohort)</w:t>
      </w: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C5BD5">
        <w:rPr>
          <w:rFonts w:eastAsiaTheme="minor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97B6AF8" wp14:editId="3EC3A315">
                <wp:simplePos x="0" y="0"/>
                <wp:positionH relativeFrom="column">
                  <wp:posOffset>3743325</wp:posOffset>
                </wp:positionH>
                <wp:positionV relativeFrom="paragraph">
                  <wp:posOffset>153035</wp:posOffset>
                </wp:positionV>
                <wp:extent cx="3039745" cy="476250"/>
                <wp:effectExtent l="19050" t="19050" r="27305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9745" cy="476250"/>
                        </a:xfrm>
                        <a:prstGeom prst="rect">
                          <a:avLst/>
                        </a:prstGeom>
                        <a:noFill/>
                        <a:ln w="28575" cmpd="sng">
                          <a:solidFill>
                            <a:sysClr val="windowText" lastClr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:rsidR="004C5BD5" w:rsidRDefault="004C5BD5" w:rsidP="004C5BD5">
                            <w:r>
                              <w:t xml:space="preserve">Not treated with immunotherapy </w:t>
                            </w:r>
                            <w:r w:rsidRPr="00C507F0">
                              <w:t>(N = 2</w:t>
                            </w:r>
                            <w:r>
                              <w:t>323)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97B6AF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94.75pt;margin-top:12.05pt;width:239.35pt;height:37.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" filled="f" strokecolor="windowText" strokeweight="2.25pt">
                <v:textbox>
                  <w:txbxContent>
                    <w:p w:rsidR="004C5BD5" w:rsidRDefault="004C5BD5" w:rsidP="004C5BD5">
                      <w:r>
                        <w:t xml:space="preserve">Not treated with immunotherapy </w:t>
                      </w:r>
                      <w:r w:rsidRPr="00C507F0">
                        <w:t>(N = 2</w:t>
                      </w:r>
                      <w:r>
                        <w:t>323)</w:t>
                      </w:r>
                    </w:p>
                  </w:txbxContent>
                </v:textbox>
              </v:shape>
            </w:pict>
          </mc:Fallback>
        </mc:AlternateContent>
      </w:r>
      <w:r w:rsidRPr="004C5BD5">
        <w:rPr>
          <w:rFonts w:ascii="Times New Roman" w:eastAsiaTheme="minorEastAsia" w:hAnsi="Times New Roman" w:cs="Times New Roman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2542130" wp14:editId="208A0FFF">
                <wp:simplePos x="0" y="0"/>
                <wp:positionH relativeFrom="column">
                  <wp:posOffset>-447675</wp:posOffset>
                </wp:positionH>
                <wp:positionV relativeFrom="paragraph">
                  <wp:posOffset>172085</wp:posOffset>
                </wp:positionV>
                <wp:extent cx="6973859" cy="8029575"/>
                <wp:effectExtent l="19050" t="19050" r="17780" b="28575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3859" cy="8029575"/>
                          <a:chOff x="0" y="-19050"/>
                          <a:chExt cx="6974470" cy="8029575"/>
                        </a:xfrm>
                      </wpg:grpSpPr>
                      <wpg:grpSp>
                        <wpg:cNvPr id="20" name="Group 20"/>
                        <wpg:cNvGrpSpPr/>
                        <wpg:grpSpPr>
                          <a:xfrm>
                            <a:off x="266483" y="-19050"/>
                            <a:ext cx="6707987" cy="5276850"/>
                            <a:chOff x="-200258" y="-19050"/>
                            <a:chExt cx="6708509" cy="5276851"/>
                          </a:xfrm>
                        </wpg:grpSpPr>
                        <wps:wsp>
                          <wps:cNvPr id="21" name="Text Box 21"/>
                          <wps:cNvSpPr txBox="1"/>
                          <wps:spPr>
                            <a:xfrm>
                              <a:off x="-200258" y="-19050"/>
                              <a:ext cx="2148560" cy="457834"/>
                            </a:xfrm>
                            <a:prstGeom prst="rect">
                              <a:avLst/>
                            </a:prstGeom>
                            <a:noFill/>
                            <a:ln w="28575" cmpd="sng">
                              <a:solidFill>
                                <a:sysClr val="windowText" lastClr="000000"/>
                              </a:solidFill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:rsidR="00A65F05" w:rsidRPr="00D37D62" w:rsidRDefault="004C5BD5" w:rsidP="00A65F05">
                                <w:pPr>
                                  <w:spacing w:after="0" w:line="240" w:lineRule="auto"/>
                                  <w:jc w:val="center"/>
                                  <w:rPr>
                                    <w:color w:val="FF0000"/>
                                  </w:rPr>
                                </w:pPr>
                                <w:r w:rsidRPr="00D37D62">
                                  <w:rPr>
                                    <w:color w:val="FF0000"/>
                                  </w:rPr>
                                  <w:t xml:space="preserve">Patients </w:t>
                                </w:r>
                                <w:r w:rsidR="00A65F05" w:rsidRPr="00D37D62">
                                  <w:rPr>
                                    <w:color w:val="FF0000"/>
                                  </w:rPr>
                                  <w:t xml:space="preserve">with any cancer histology </w:t>
                                </w:r>
                              </w:p>
                              <w:p w:rsidR="004C5BD5" w:rsidRPr="00D37D62" w:rsidRDefault="004C5BD5" w:rsidP="00A65F05">
                                <w:pPr>
                                  <w:spacing w:after="0" w:line="240" w:lineRule="auto"/>
                                  <w:jc w:val="center"/>
                                  <w:rPr>
                                    <w:color w:val="FF0000"/>
                                  </w:rPr>
                                </w:pPr>
                                <w:r w:rsidRPr="00D37D62">
                                  <w:rPr>
                                    <w:color w:val="FF0000"/>
                                  </w:rPr>
                                  <w:t>eligible for analysis (N = 2651)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Text Box 22"/>
                          <wps:cNvSpPr txBox="1"/>
                          <wps:spPr>
                            <a:xfrm>
                              <a:off x="539888" y="2580641"/>
                              <a:ext cx="4159937" cy="686434"/>
                            </a:xfrm>
                            <a:prstGeom prst="rect">
                              <a:avLst/>
                            </a:prstGeom>
                            <a:noFill/>
                            <a:ln w="28575" cmpd="sng">
                              <a:solidFill>
                                <a:sysClr val="windowText" lastClr="000000"/>
                              </a:solidFill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:rsidR="004C5BD5" w:rsidRDefault="004C5BD5" w:rsidP="00D37D62">
                                <w:pPr>
                                  <w:spacing w:after="0"/>
                                  <w:jc w:val="center"/>
                                </w:pPr>
                                <w:r>
                                  <w:t>Patients with squamous cell carcinomas treated with immunotherapy</w:t>
                                </w:r>
                              </w:p>
                              <w:p w:rsidR="004C5BD5" w:rsidRDefault="004C5BD5" w:rsidP="00D37D62">
                                <w:pPr>
                                  <w:spacing w:after="0"/>
                                  <w:jc w:val="center"/>
                                </w:pPr>
                                <w:r>
                                  <w:t>(N = 75)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" name="Text Box 23"/>
                          <wps:cNvSpPr txBox="1"/>
                          <wps:spPr>
                            <a:xfrm>
                              <a:off x="3467369" y="4038601"/>
                              <a:ext cx="3040882" cy="457834"/>
                            </a:xfrm>
                            <a:prstGeom prst="rect">
                              <a:avLst/>
                            </a:prstGeom>
                            <a:noFill/>
                            <a:ln w="28575" cmpd="sng">
                              <a:solidFill>
                                <a:sysClr val="windowText" lastClr="000000"/>
                              </a:solidFill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:rsidR="004C5BD5" w:rsidRDefault="004C5BD5" w:rsidP="00D37D62">
                                <w:pPr>
                                  <w:spacing w:after="0"/>
                                  <w:jc w:val="center"/>
                                </w:pPr>
                                <w:r>
                                  <w:t>Patients with cutaneous squamous cell carcinoma</w:t>
                                </w:r>
                              </w:p>
                              <w:p w:rsidR="004C5BD5" w:rsidRDefault="004C5BD5" w:rsidP="00D37D62">
                                <w:pPr>
                                  <w:spacing w:after="0"/>
                                  <w:jc w:val="center"/>
                                </w:pPr>
                                <w:r>
                                  <w:t xml:space="preserve">(N = 15)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Text Box 24"/>
                          <wps:cNvSpPr txBox="1"/>
                          <wps:spPr>
                            <a:xfrm>
                              <a:off x="3724757" y="1066800"/>
                              <a:ext cx="2472463" cy="476884"/>
                            </a:xfrm>
                            <a:prstGeom prst="rect">
                              <a:avLst/>
                            </a:prstGeom>
                            <a:noFill/>
                            <a:ln w="28575" cmpd="sng">
                              <a:solidFill>
                                <a:sysClr val="windowText" lastClr="000000"/>
                              </a:solidFill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:rsidR="004C5BD5" w:rsidRDefault="004C5BD5" w:rsidP="004C5BD5">
                                <w:r>
                                  <w:t>Non-squamous cell carcinoma (N = 253)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Straight Arrow Connector 25"/>
                          <wps:cNvCnPr/>
                          <wps:spPr>
                            <a:xfrm>
                              <a:off x="1028620" y="1534793"/>
                              <a:ext cx="0" cy="1035689"/>
                            </a:xfrm>
                            <a:prstGeom prst="straightConnector1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tailEnd type="arrow"/>
                            </a:ln>
                            <a:effectLst/>
                          </wps:spPr>
                          <wps:bodyPr/>
                        </wps:wsp>
                        <wps:wsp>
                          <wps:cNvPr id="27" name="Straight Arrow Connector 27"/>
                          <wps:cNvCnPr/>
                          <wps:spPr>
                            <a:xfrm>
                              <a:off x="4627996" y="3267076"/>
                              <a:ext cx="0" cy="771525"/>
                            </a:xfrm>
                            <a:prstGeom prst="straightConnector1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tailEnd type="arrow"/>
                            </a:ln>
                            <a:effectLst/>
                          </wps:spPr>
                          <wps:bodyPr/>
                        </wps:wsp>
                        <wps:wsp>
                          <wps:cNvPr id="31" name="Straight Arrow Connector 31"/>
                          <wps:cNvCnPr/>
                          <wps:spPr>
                            <a:xfrm>
                              <a:off x="1028569" y="3267076"/>
                              <a:ext cx="0" cy="771525"/>
                            </a:xfrm>
                            <a:prstGeom prst="straightConnector1">
                              <a:avLst/>
                            </a:prstGeom>
                            <a:noFill/>
                            <a:ln w="28575" cap="flat" cmpd="sng" algn="ctr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tailEnd type="arrow"/>
                            </a:ln>
                            <a:effectLst/>
                          </wps:spPr>
                          <wps:bodyPr/>
                        </wps:wsp>
                        <wps:wsp>
                          <wps:cNvPr id="33" name="Text Box 33"/>
                          <wps:cNvSpPr txBox="1"/>
                          <wps:spPr>
                            <a:xfrm>
                              <a:off x="390555" y="4933950"/>
                              <a:ext cx="1743131" cy="323851"/>
                            </a:xfrm>
                            <a:prstGeom prst="rect">
                              <a:avLst/>
                            </a:prstGeom>
                            <a:noFill/>
                            <a:ln w="28575" cmpd="sng">
                              <a:solidFill>
                                <a:sysClr val="windowText" lastClr="000000"/>
                              </a:solidFill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</a:ext>
                            </a:extLst>
                          </wps:spPr>
                          <wps:txbx>
                            <w:txbxContent>
                              <w:p w:rsidR="004C5BD5" w:rsidRDefault="004C5BD5" w:rsidP="004C5BD5">
                                <w:pPr>
                                  <w:jc w:val="center"/>
                                </w:pPr>
                                <w:r>
                                  <w:t>Head and neck (N = 35)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" name="Text Box 3"/>
                        <wps:cNvSpPr txBox="1"/>
                        <wps:spPr>
                          <a:xfrm>
                            <a:off x="0" y="4038600"/>
                            <a:ext cx="3304193" cy="457834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ysClr val="windowText" lastClr="000000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:rsidR="004C5BD5" w:rsidRDefault="004C5BD5" w:rsidP="00D37D62">
                              <w:pPr>
                                <w:spacing w:after="0"/>
                                <w:jc w:val="center"/>
                              </w:pPr>
                              <w:r>
                                <w:t>Patients with non-cutaneous squamous cell carcinoma</w:t>
                              </w:r>
                            </w:p>
                            <w:p w:rsidR="004C5BD5" w:rsidRDefault="004C5BD5" w:rsidP="00D37D62">
                              <w:pPr>
                                <w:spacing w:after="0"/>
                                <w:jc w:val="center"/>
                              </w:pPr>
                              <w:r>
                                <w:t xml:space="preserve">(N = 60)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857250" y="5410200"/>
                            <a:ext cx="1742440" cy="323850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ysClr val="windowText" lastClr="000000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:rsidR="004C5BD5" w:rsidRDefault="004C5BD5" w:rsidP="004C5BD5">
                              <w:pPr>
                                <w:jc w:val="center"/>
                              </w:pPr>
                              <w:r>
                                <w:t>NSCLC (N = 17)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Text Box 5"/>
                        <wps:cNvSpPr txBox="1"/>
                        <wps:spPr>
                          <a:xfrm>
                            <a:off x="857250" y="5838825"/>
                            <a:ext cx="1742440" cy="323850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ysClr val="windowText" lastClr="000000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:rsidR="004C5BD5" w:rsidRDefault="004C5BD5" w:rsidP="004C5BD5">
                              <w:pPr>
                                <w:jc w:val="center"/>
                              </w:pPr>
                              <w:r>
                                <w:t>Esophageal (N = 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857250" y="6267450"/>
                            <a:ext cx="1742440" cy="323850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ysClr val="windowText" lastClr="000000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:rsidR="004C5BD5" w:rsidRDefault="004C5BD5" w:rsidP="004C5BD5">
                              <w:pPr>
                                <w:jc w:val="center"/>
                              </w:pPr>
                              <w:r>
                                <w:t>Cervical (N = 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857250" y="6696075"/>
                            <a:ext cx="1742440" cy="323850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ysClr val="windowText" lastClr="000000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:rsidR="004C5BD5" w:rsidRDefault="004C5BD5" w:rsidP="004C5BD5">
                              <w:pPr>
                                <w:jc w:val="center"/>
                              </w:pPr>
                              <w:r>
                                <w:t>Anal (N = 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857250" y="7115175"/>
                            <a:ext cx="1742440" cy="323850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ysClr val="windowText" lastClr="000000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:rsidR="004C5BD5" w:rsidRDefault="004C5BD5" w:rsidP="004C5BD5">
                              <w:pPr>
                                <w:jc w:val="center"/>
                              </w:pPr>
                              <w:r>
                                <w:t>Rectal (N = 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857250" y="7543800"/>
                            <a:ext cx="1742440" cy="323850"/>
                          </a:xfrm>
                          <a:prstGeom prst="rect">
                            <a:avLst/>
                          </a:prstGeom>
                          <a:noFill/>
                          <a:ln w="28575" cmpd="sng">
                            <a:solidFill>
                              <a:sysClr val="windowText" lastClr="000000"/>
                            </a:solidFill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:rsidR="004C5BD5" w:rsidRDefault="004C5BD5" w:rsidP="004C5BD5">
                              <w:pPr>
                                <w:jc w:val="center"/>
                              </w:pPr>
                              <w:r>
                                <w:t>Urothelial (N = 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Left Brace 16"/>
                        <wps:cNvSpPr/>
                        <wps:spPr>
                          <a:xfrm>
                            <a:off x="266700" y="4857750"/>
                            <a:ext cx="533400" cy="3152775"/>
                          </a:xfrm>
                          <a:prstGeom prst="leftBrace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Straight Connector 17"/>
                        <wps:cNvCnPr/>
                        <wps:spPr>
                          <a:xfrm>
                            <a:off x="142875" y="4514850"/>
                            <a:ext cx="9525" cy="1932494"/>
                          </a:xfrm>
                          <a:prstGeom prst="line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542130" id="Group 13" o:spid="_x0000_s1027" style="position:absolute;left:0;text-align:left;margin-left:-35.25pt;margin-top:13.55pt;width:549.1pt;height:632.25pt;z-index:251659264;mso-width-relative:margin;mso-height-relative:margin" coordorigin=",-190" coordsize="69744,80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">
                <v:group id="Group 20" o:spid="_x0000_s1028" style="position:absolute;left:2664;top:-190;width:67080;height:52768" coordorigin="-2002,-190" coordsize="67085,527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1" o:spid="_x0000_s1029" type="#_x0000_t202" style="position:absolute;left:-2002;top:-190;width:21485;height:4577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d0Wr4A&#10;AADbAAAADwAAAGRycy9kb3ducmV2LnhtbESPwarCMBRE94L/EK7gTlNdiPQZRQR9rgStH3Bp7muC&#10;zU1pYtv390YQXA4zc4bZ7AZXi47aYD0rWMwzEMSl15YrBffiOFuDCBFZY+2ZFPxTgN12PNpgrn3P&#10;V+pusRIJwiFHBSbGJpcylIYchrlviJP351uHMcm2krrFPsFdLZdZtpIOLacFgw0dDJWP29MpsEWt&#10;+xObwtjKX9ad5UN8/io1nQz7HxCRhvgNf9pnrWC5gPeX9APk9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H3dFq+AAAA2wAAAA8AAAAAAAAAAAAAAAAAmAIAAGRycy9kb3ducmV2&#10;LnhtbFBLBQYAAAAABAAEAPUAAACDAwAAAAA=&#10;" filled="f" strokecolor="windowText" strokeweight="2.25pt">
                    <v:textbox>
                      <w:txbxContent>
                        <w:p w:rsidR="00A65F05" w:rsidRPr="00D37D62" w:rsidRDefault="004C5BD5" w:rsidP="00A65F05">
                          <w:pPr>
                            <w:spacing w:after="0" w:line="240" w:lineRule="auto"/>
                            <w:jc w:val="center"/>
                            <w:rPr>
                              <w:color w:val="FF0000"/>
                            </w:rPr>
                          </w:pPr>
                          <w:r w:rsidRPr="00D37D62">
                            <w:rPr>
                              <w:color w:val="FF0000"/>
                            </w:rPr>
                            <w:t xml:space="preserve">Patients </w:t>
                          </w:r>
                          <w:r w:rsidR="00A65F05" w:rsidRPr="00D37D62">
                            <w:rPr>
                              <w:color w:val="FF0000"/>
                            </w:rPr>
                            <w:t xml:space="preserve">with any cancer histology </w:t>
                          </w:r>
                        </w:p>
                        <w:p w:rsidR="004C5BD5" w:rsidRPr="00D37D62" w:rsidRDefault="004C5BD5" w:rsidP="00A65F05">
                          <w:pPr>
                            <w:spacing w:after="0" w:line="240" w:lineRule="auto"/>
                            <w:jc w:val="center"/>
                            <w:rPr>
                              <w:color w:val="FF0000"/>
                            </w:rPr>
                          </w:pPr>
                          <w:r w:rsidRPr="00D37D62">
                            <w:rPr>
                              <w:color w:val="FF0000"/>
                            </w:rPr>
                            <w:t>eligible for analysis (N = 2651)</w:t>
                          </w:r>
                        </w:p>
                      </w:txbxContent>
                    </v:textbox>
                  </v:shape>
                  <v:shape id="Text Box 22" o:spid="_x0000_s1030" type="#_x0000_t202" style="position:absolute;left:5398;top:25806;width:41600;height:6864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XqLb8A&#10;AADbAAAADwAAAGRycy9kb3ducmV2LnhtbESPQYvCMBSE78L+h/CEvdnUHkSqUURw3ZOg9Qc8mrdN&#10;2OalNLGt/36zIHgcZuYbZrufXCsG6oP1rGCZ5SCIa68tNwru1WmxBhEissbWMyl4UoD97mO2xVL7&#10;ka803GIjEoRDiQpMjF0pZagNOQyZ74iT9+N7hzHJvpG6xzHBXSuLPF9Jh5bTgsGOjobq39vDKbBV&#10;q8cvNpWxjb+sB8vH+Dgr9TmfDhsQkab4Dr/a31pBUcD/l/QD5O4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BJeotvwAAANsAAAAPAAAAAAAAAAAAAAAAAJgCAABkcnMvZG93bnJl&#10;di54bWxQSwUGAAAAAAQABAD1AAAAhAMAAAAA&#10;" filled="f" strokecolor="windowText" strokeweight="2.25pt">
                    <v:textbox>
                      <w:txbxContent>
                        <w:p w:rsidR="004C5BD5" w:rsidRDefault="004C5BD5" w:rsidP="00D37D62">
                          <w:pPr>
                            <w:spacing w:after="0"/>
                            <w:jc w:val="center"/>
                          </w:pPr>
                          <w:r>
                            <w:t>Patients with squamous cell carcinomas treated with immunotherapy</w:t>
                          </w:r>
                        </w:p>
                        <w:p w:rsidR="004C5BD5" w:rsidRDefault="004C5BD5" w:rsidP="00D37D62">
                          <w:pPr>
                            <w:spacing w:after="0"/>
                            <w:jc w:val="center"/>
                          </w:pPr>
                          <w:r>
                            <w:t>(N = 75)</w:t>
                          </w:r>
                        </w:p>
                      </w:txbxContent>
                    </v:textbox>
                  </v:shape>
                  <v:shape id="Text Box 23" o:spid="_x0000_s1031" type="#_x0000_t202" style="position:absolute;left:34673;top:40386;width:30409;height:4578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lPtsEA&#10;AADbAAAADwAAAGRycy9kb3ducmV2LnhtbESPzWrDMBCE74W8g9hAb40cF4pxo4QQSJpToXYfYLE2&#10;loi1Mpb807ePCoUeh5n5htkdFteJiYZgPSvYbjIQxI3XllsF3/X5pQARIrLGzjMp+KEAh/3qaYel&#10;9jN/0VTFViQIhxIVmBj7UsrQGHIYNr4nTt7NDw5jkkMr9YBzgrtO5ln2Jh1aTgsGezoZau7V6BTY&#10;utPzhU1tbOs/i8nyKY4fSj2vl+M7iEhL/A//ta9aQf4Kv1/SD5D7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5pT7bBAAAA2wAAAA8AAAAAAAAAAAAAAAAAmAIAAGRycy9kb3du&#10;cmV2LnhtbFBLBQYAAAAABAAEAPUAAACGAwAAAAA=&#10;" filled="f" strokecolor="windowText" strokeweight="2.25pt">
                    <v:textbox>
                      <w:txbxContent>
                        <w:p w:rsidR="004C5BD5" w:rsidRDefault="004C5BD5" w:rsidP="00D37D62">
                          <w:pPr>
                            <w:spacing w:after="0"/>
                            <w:jc w:val="center"/>
                          </w:pPr>
                          <w:r>
                            <w:t>Patients with cutaneous squamous cell carcinoma</w:t>
                          </w:r>
                        </w:p>
                        <w:p w:rsidR="004C5BD5" w:rsidRDefault="004C5BD5" w:rsidP="00D37D62">
                          <w:pPr>
                            <w:spacing w:after="0"/>
                            <w:jc w:val="center"/>
                          </w:pPr>
                          <w:r>
                            <w:t xml:space="preserve">(N = 15) </w:t>
                          </w:r>
                        </w:p>
                      </w:txbxContent>
                    </v:textbox>
                  </v:shape>
                  <v:shape id="Text Box 24" o:spid="_x0000_s1032" type="#_x0000_t202" style="position:absolute;left:37247;top:10668;width:24725;height:4768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DXwsEA&#10;AADbAAAADwAAAGRycy9kb3ducmV2LnhtbESPzWrDMBCE74W8g9hAb40cU4pxo4QQSJpToXYfYLE2&#10;loi1Mpb807ePCoUeh5n5htkdFteJiYZgPSvYbjIQxI3XllsF3/X5pQARIrLGzjMp+KEAh/3qaYel&#10;9jN/0VTFViQIhxIVmBj7UsrQGHIYNr4nTt7NDw5jkkMr9YBzgrtO5ln2Jh1aTgsGezoZau7V6BTY&#10;utPzhU1tbOs/i8nyKY4fSj2vl+M7iEhL/A//ta9aQf4Kv1/SD5D7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A18LBAAAA2wAAAA8AAAAAAAAAAAAAAAAAmAIAAGRycy9kb3du&#10;cmV2LnhtbFBLBQYAAAAABAAEAPUAAACGAwAAAAA=&#10;" filled="f" strokecolor="windowText" strokeweight="2.25pt">
                    <v:textbox>
                      <w:txbxContent>
                        <w:p w:rsidR="004C5BD5" w:rsidRDefault="004C5BD5" w:rsidP="004C5BD5">
                          <w:r>
                            <w:t>Non-squamous cell carcinoma (N = 253)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25" o:spid="_x0000_s1033" type="#_x0000_t32" style="position:absolute;left:10286;top:15347;width:0;height:1035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BIXcIAAADbAAAADwAAAGRycy9kb3ducmV2LnhtbESPwWrDMBBE74X+g9hCb43UQExwLYfQ&#10;JLgXH+I498Xa2ibWylhq7P59VSj0OMzMGybbLXYQd5p871jD60qBIG6c6bnVUF9OL1sQPiAbHByT&#10;hm/ysMsfHzJMjZv5TPcqtCJC2KeooQthTKX0TUcW/cqNxNH7dJPFEOXUSjPhHOF2kGulEmmx57jQ&#10;4UjvHTW36stqOBZUHJa+UZRIc1WbsixPddD6+WnZv4EItIT/8F/7w2hYb+D3S/wBMv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aBIXcIAAADbAAAADwAAAAAAAAAAAAAA&#10;AAChAgAAZHJzL2Rvd25yZXYueG1sUEsFBgAAAAAEAAQA+QAAAJADAAAAAA==&#10;" strokeweight="2.25pt">
                    <v:stroke endarrow="open" joinstyle="miter"/>
                  </v:shape>
                  <v:shape id="Straight Arrow Connector 27" o:spid="_x0000_s1034" type="#_x0000_t32" style="position:absolute;left:46279;top:32670;width:0;height:77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j5zscAAAADbAAAADwAAAGRycy9kb3ducmV2LnhtbESPS6vCMBSE94L/IRzBnSYKPqhGER94&#10;N1342h+aY1tsTkoTtfff31wQXA4z8w2zXLe2Ei9qfOlYw2ioQBBnzpSca7heDoM5CB+QDVaOScMv&#10;eVivup0lJsa9+USvc8hFhLBPUEMRQp1I6bOCLPqhq4mjd3eNxRBlk0vT4DvCbSXHSk2lxZLjQoE1&#10;bQvKHuen1bA/0nHXlpmiqTQ3NUnT9HANWvd77WYBIlAbvuFP+8doGM/g/0v8AXL1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Y+c7HAAAAA2wAAAA8AAAAAAAAAAAAAAAAA&#10;oQIAAGRycy9kb3ducmV2LnhtbFBLBQYAAAAABAAEAPkAAACOAwAAAAA=&#10;" strokeweight="2.25pt">
                    <v:stroke endarrow="open" joinstyle="miter"/>
                  </v:shape>
                  <v:shape id="Straight Arrow Connector 31" o:spid="_x0000_s1035" type="#_x0000_t32" style="position:absolute;left:10285;top:32670;width:0;height:77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0LYg8EAAADbAAAADwAAAGRycy9kb3ducmV2LnhtbESPQYvCMBSE74L/ITzBmyYqK0s1LaIr&#10;7qUHXb0/mmdbbF5Kk9Xuv98IgsdhZr5h1llvG3GnzteONcymCgRx4UzNpYbzz37yCcIHZIONY9Lw&#10;Rx6ydDhYY2Lcg490P4VSRAj7BDVUIbSJlL6oyKKfupY4elfXWQxRdqU0HT4i3DZyrtRSWqw5LlTY&#10;0rai4nb6tRq+DnTY9XWhaCnNRX3keb4/B63Ho36zAhGoD+/wq/1tNCxm8PwSf4BM/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zQtiDwQAAANsAAAAPAAAAAAAAAAAAAAAA&#10;AKECAABkcnMvZG93bnJldi54bWxQSwUGAAAAAAQABAD5AAAAjwMAAAAA&#10;" strokeweight="2.25pt">
                    <v:stroke endarrow="open" joinstyle="miter"/>
                  </v:shape>
                  <v:shape id="Text Box 33" o:spid="_x0000_s1036" type="#_x0000_t202" style="position:absolute;left:3905;top:49339;width:17431;height:3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FzhcUA&#10;AADbAAAADwAAAGRycy9kb3ducmV2LnhtbESPQWvCQBSE74L/YXlCb7qpoaFEVymi4KWHplY9PrOv&#10;SWj27ZLdmrS/vlsQPA4z8w2zXA+mFVfqfGNZweMsAUFcWt1wpeDwvps+g/ABWWNrmRT8kIf1ajxa&#10;Yq5tz290LUIlIoR9jgrqEFwupS9rMuhn1hFH79N2BkOUXSV1h32Em1bOkySTBhuOCzU62tRUfhXf&#10;RsFl537nr6ds/0HH3mXbc/oki5NSD5PhZQEi0BDu4Vt7rxWkKfx/iT9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MXOFxQAAANsAAAAPAAAAAAAAAAAAAAAAAJgCAABkcnMv&#10;ZG93bnJldi54bWxQSwUGAAAAAAQABAD1AAAAigMAAAAA&#10;" filled="f" strokecolor="windowText" strokeweight="2.25pt">
                    <v:textbox>
                      <w:txbxContent>
                        <w:p w:rsidR="004C5BD5" w:rsidRDefault="004C5BD5" w:rsidP="004C5BD5">
                          <w:pPr>
                            <w:jc w:val="center"/>
                          </w:pPr>
                          <w:r>
                            <w:t>Head and neck (N = 35)</w:t>
                          </w:r>
                        </w:p>
                      </w:txbxContent>
                    </v:textbox>
                  </v:shape>
                </v:group>
                <v:shape id="Text Box 3" o:spid="_x0000_s1037" type="#_x0000_t202" style="position:absolute;top:40386;width:33041;height:4578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tvGMAA&#10;AADaAAAADwAAAGRycy9kb3ducmV2LnhtbESPzWrDMBCE74W8g9hAb42cFkpwooQQSJtToXYeYLE2&#10;koi1Mpb807ePCoUeh5n5htkdZt+KkfroAitYrwoQxE3Qjo2Ca31+2YCICVljG5gU/FCEw37xtMNS&#10;h4m/aaySERnCsUQFNqWulDI2ljzGVeiIs3cLvceUZW+k7nHKcN/K16J4lx4d5wWLHZ0sNfdq8Apc&#10;3erpg21tnQlfm9HxKQ2fSj0v5+MWRKI5/Yf/2het4A1+r+QbIP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wtvGMAAAADaAAAADwAAAAAAAAAAAAAAAACYAgAAZHJzL2Rvd25y&#10;ZXYueG1sUEsFBgAAAAAEAAQA9QAAAIUDAAAAAA==&#10;" filled="f" strokecolor="windowText" strokeweight="2.25pt">
                  <v:textbox>
                    <w:txbxContent>
                      <w:p w:rsidR="004C5BD5" w:rsidRDefault="004C5BD5" w:rsidP="00D37D62">
                        <w:pPr>
                          <w:spacing w:after="0"/>
                          <w:jc w:val="center"/>
                        </w:pPr>
                        <w:r>
                          <w:t>Patients with non-cutaneous squamous cell carcinoma</w:t>
                        </w:r>
                      </w:p>
                      <w:p w:rsidR="004C5BD5" w:rsidRDefault="004C5BD5" w:rsidP="00D37D62">
                        <w:pPr>
                          <w:spacing w:after="0"/>
                          <w:jc w:val="center"/>
                        </w:pPr>
                        <w:r>
                          <w:t xml:space="preserve">(N = 60) </w:t>
                        </w:r>
                      </w:p>
                    </w:txbxContent>
                  </v:textbox>
                </v:shape>
                <v:shape id="Text Box 4" o:spid="_x0000_s1038" type="#_x0000_t202" style="position:absolute;left:8572;top:54102;width:17424;height:3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EXyMUA&#10;AADaAAAADwAAAGRycy9kb3ducmV2LnhtbESPT2vCQBTE74V+h+UVequbWhskukoRBS89GOuf4zP7&#10;TILZt0t2a6Kfvlso9DjMzG+Y6bw3jbhS62vLCl4HCQjiwuqaSwVf29XLGIQPyBoby6TgRh7ms8eH&#10;KWbadryhax5KESHsM1RQheAyKX1RkUE/sI44emfbGgxRtqXULXYRbho5TJJUGqw5LlToaFFRccm/&#10;jYLTyt2Hn4d0vaN959Ll8e1d5gelnp/6jwmIQH34D/+111rBCH6vxBsgZ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sRfIxQAAANoAAAAPAAAAAAAAAAAAAAAAAJgCAABkcnMv&#10;ZG93bnJldi54bWxQSwUGAAAAAAQABAD1AAAAigMAAAAA&#10;" filled="f" strokecolor="windowText" strokeweight="2.25pt">
                  <v:textbox>
                    <w:txbxContent>
                      <w:p w:rsidR="004C5BD5" w:rsidRDefault="004C5BD5" w:rsidP="004C5BD5">
                        <w:pPr>
                          <w:jc w:val="center"/>
                        </w:pPr>
                        <w:r>
                          <w:t>NSCLC (N = 17)</w:t>
                        </w:r>
                      </w:p>
                    </w:txbxContent>
                  </v:textbox>
                </v:shape>
                <v:shape id="Text Box 5" o:spid="_x0000_s1039" type="#_x0000_t202" style="position:absolute;left:8572;top:58388;width:17424;height:3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2yU8QA&#10;AADaAAAADwAAAGRycy9kb3ducmV2LnhtbESPT2vCQBTE74LfYXlCb3VTi0Giq5RSwUsPTf13fGaf&#10;STD7dsluTeqndwsFj8PM/IZZrHrTiCu1vras4GWcgCAurK65VLD9Xj/PQPiArLGxTAp+ycNqORws&#10;MNO24y+65qEUEcI+QwVVCC6T0hcVGfRj64ijd7atwRBlW0rdYhfhppGTJEmlwZrjQoWO3isqLvmP&#10;UXBau9vk85BudrTvXPpxfJ3K/KDU06h/m4MI1IdH+L+90Qqm8Hcl3gC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9slPEAAAA2gAAAA8AAAAAAAAAAAAAAAAAmAIAAGRycy9k&#10;b3ducmV2LnhtbFBLBQYAAAAABAAEAPUAAACJAwAAAAA=&#10;" filled="f" strokecolor="windowText" strokeweight="2.25pt">
                  <v:textbox>
                    <w:txbxContent>
                      <w:p w:rsidR="004C5BD5" w:rsidRDefault="004C5BD5" w:rsidP="004C5BD5">
                        <w:pPr>
                          <w:jc w:val="center"/>
                        </w:pPr>
                        <w:r>
                          <w:t>Esophageal (N = 3)</w:t>
                        </w:r>
                      </w:p>
                    </w:txbxContent>
                  </v:textbox>
                </v:shape>
                <v:shape id="Text Box 10" o:spid="_x0000_s1040" type="#_x0000_t202" style="position:absolute;left:8572;top:62674;width:17424;height:3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axksYA&#10;AADbAAAADwAAAGRycy9kb3ducmV2LnhtbESPQU/DMAyF70j8h8hIu7F0Q6tQWTZNiEm77EAZjKNp&#10;TFvROFET1rJfPx8mcbP1nt/7vFyPrlMn6mPr2cBsmoEirrxtuTZweNveP4KKCdli55kM/FGE9er2&#10;ZomF9QO/0qlMtZIQjgUaaFIKhdaxashhnPpALNq37x0mWfta2x4HCXednmdZrh22LA0NBnpuqPop&#10;f52Br204z/fHfPdOH0PIXz4fFro8GjO5GzdPoBKN6d98vd5ZwRd6+UUG0K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1axksYAAADbAAAADwAAAAAAAAAAAAAAAACYAgAAZHJz&#10;L2Rvd25yZXYueG1sUEsFBgAAAAAEAAQA9QAAAIsDAAAAAA==&#10;" filled="f" strokecolor="windowText" strokeweight="2.25pt">
                  <v:textbox>
                    <w:txbxContent>
                      <w:p w:rsidR="004C5BD5" w:rsidRDefault="004C5BD5" w:rsidP="004C5BD5">
                        <w:pPr>
                          <w:jc w:val="center"/>
                        </w:pPr>
                        <w:r>
                          <w:t>Cervical (N = 2)</w:t>
                        </w:r>
                      </w:p>
                    </w:txbxContent>
                  </v:textbox>
                </v:shape>
                <v:shape id="Text Box 11" o:spid="_x0000_s1041" type="#_x0000_t202" style="position:absolute;left:8572;top:66960;width:17424;height:3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oUCcIA&#10;AADbAAAADwAAAGRycy9kb3ducmV2LnhtbERPTWvCQBC9C/6HZYTedKPFUKKriFTw0oPR1h7H7DQJ&#10;zc4u2a1J++u7guBtHu9zluveNOJKra8tK5hOEhDEhdU1lwpOx934BYQPyBoby6TglzysV8PBEjNt&#10;Oz7QNQ+liCHsM1RQheAyKX1RkUE/sY44cl+2NRgibEupW+xiuGnkLElSabDm2FCho21FxXf+YxRc&#10;du5v9nZO9+/00bn09fN5LvOzUk+jfrMAEagPD/Hdvddx/hRuv8QD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GhQJwgAAANsAAAAPAAAAAAAAAAAAAAAAAJgCAABkcnMvZG93&#10;bnJldi54bWxQSwUGAAAAAAQABAD1AAAAhwMAAAAA&#10;" filled="f" strokecolor="windowText" strokeweight="2.25pt">
                  <v:textbox>
                    <w:txbxContent>
                      <w:p w:rsidR="004C5BD5" w:rsidRDefault="004C5BD5" w:rsidP="004C5BD5">
                        <w:pPr>
                          <w:jc w:val="center"/>
                        </w:pPr>
                        <w:r>
                          <w:t>Anal (N = 1)</w:t>
                        </w:r>
                      </w:p>
                    </w:txbxContent>
                  </v:textbox>
                </v:shape>
                <v:shape id="Text Box 12" o:spid="_x0000_s1042" type="#_x0000_t202" style="position:absolute;left:8572;top:71151;width:17424;height:3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iKfsMA&#10;AADbAAAADwAAAGRycy9kb3ducmV2LnhtbERPTWvCQBC9F/oflhF6040pDZK6SikKXnpobLXHMTsm&#10;odnZJbua1F/vCkJv83ifM18OphVn6nxjWcF0koAgLq1uuFLwtV2PZyB8QNbYWiYFf+RhuXh8mGOu&#10;bc+fdC5CJWII+xwV1CG4XEpf1mTQT6wjjtzRdgZDhF0ldYd9DDetTJMkkwYbjg01OnqvqfwtTkbB&#10;Ye0u6cc+23zTrnfZ6uf5RRZ7pZ5Gw9sriEBD+Bff3Rsd56dw+yUeIB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iKfsMAAADbAAAADwAAAAAAAAAAAAAAAACYAgAAZHJzL2Rv&#10;d25yZXYueG1sUEsFBgAAAAAEAAQA9QAAAIgDAAAAAA==&#10;" filled="f" strokecolor="windowText" strokeweight="2.25pt">
                  <v:textbox>
                    <w:txbxContent>
                      <w:p w:rsidR="004C5BD5" w:rsidRDefault="004C5BD5" w:rsidP="004C5BD5">
                        <w:pPr>
                          <w:jc w:val="center"/>
                        </w:pPr>
                        <w:r>
                          <w:t>Rectal (N = 1)</w:t>
                        </w:r>
                      </w:p>
                    </w:txbxContent>
                  </v:textbox>
                </v:shape>
                <v:shape id="Text Box 14" o:spid="_x0000_s1043" type="#_x0000_t202" style="position:absolute;left:8572;top:75438;width:17424;height:323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23kcMA&#10;AADbAAAADwAAAGRycy9kb3ducmV2LnhtbERPS2vCQBC+F/oflin0Vje1Nkh0lSIKXnow1sdxzI5J&#10;MDu7ZLcm+uu7hUJv8/E9ZzrvTSOu1PrasoLXQQKCuLC65lLB13b1MgbhA7LGxjIpuJGH+ezxYYqZ&#10;th1v6JqHUsQQ9hkqqEJwmZS+qMigH1hHHLmzbQ2GCNtS6ha7GG4aOUySVBqsOTZU6GhRUXHJv42C&#10;08rdh5+HdL2jfefS5fHtXeYHpZ6f+o8JiEB9+Bf/udc6zh/B7y/xAD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23kcMAAADbAAAADwAAAAAAAAAAAAAAAACYAgAAZHJzL2Rv&#10;d25yZXYueG1sUEsFBgAAAAAEAAQA9QAAAIgDAAAAAA==&#10;" filled="f" strokecolor="windowText" strokeweight="2.25pt">
                  <v:textbox>
                    <w:txbxContent>
                      <w:p w:rsidR="004C5BD5" w:rsidRDefault="004C5BD5" w:rsidP="004C5BD5">
                        <w:pPr>
                          <w:jc w:val="center"/>
                        </w:pPr>
                        <w:r>
                          <w:t>Urothelial (N = 1)</w:t>
                        </w:r>
                      </w:p>
                    </w:txbxContent>
                  </v:textbox>
                </v:shape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Left Brace 16" o:spid="_x0000_s1044" type="#_x0000_t87" style="position:absolute;left:2667;top:48577;width:5334;height:315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U3ncEA&#10;AADbAAAADwAAAGRycy9kb3ducmV2LnhtbERPTWsCMRC9F/ofwhS81ayVLmU1StEKUkWpiufpZrq7&#10;dDMJSdT13xuh0Ns83ueMp51pxZl8aCwrGPQzEMSl1Q1XCg77xfMbiBCRNbaWScGVAkwnjw9jLLS9&#10;8Bedd7ESKYRDgQrqGF0hZShrMhj61hEn7sd6gzFBX0nt8ZLCTStfsiyXBhtODTU6mtVU/u5ORoHO&#10;S/z+WG2Py/V88PnqNivthl6p3lP3PgIRqYv/4j/3Uqf5Odx/SQfIy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VN53BAAAA2wAAAA8AAAAAAAAAAAAAAAAAmAIAAGRycy9kb3du&#10;cmV2LnhtbFBLBQYAAAAABAAEAPUAAACGAwAAAAA=&#10;" adj="305" strokecolor="windowText" strokeweight="2.25pt">
                  <v:stroke joinstyle="miter"/>
                </v:shape>
                <v:line id="Straight Connector 17" o:spid="_x0000_s1045" style="position:absolute;visibility:visible;mso-wrap-style:square" from="1428,45148" to="1524,644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hVclr0AAADbAAAADwAAAGRycy9kb3ducmV2LnhtbERPvQrCMBDeBd8hnOCmqQ4q1SgqCA6C&#10;aMX5aM622FxKE2316Y0guN3H93uLVWtK8aTaFZYVjIYRCOLU6oIzBZdkN5iBcB5ZY2mZFLzIwWrZ&#10;7Sww1rbhEz3PPhMhhF2MCnLvq1hKl+Zk0A1tRRy4m60N+gDrTOoamxBuSjmOook0WHBoyLGibU7p&#10;/fwwCvaHx1uOr0WTJOVkV703Ojm+tFL9Xrueg/DU+r/4597rMH8K31/CAXL5AQ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IVXJa9AAAA2wAAAA8AAAAAAAAAAAAAAAAAoQIA&#10;AGRycy9kb3ducmV2LnhtbFBLBQYAAAAABAAEAPkAAACLAwAAAAA=&#10;" strokecolor="windowText" strokeweight="2.25pt">
                  <v:stroke joinstyle="miter"/>
                </v:line>
              </v:group>
            </w:pict>
          </mc:Fallback>
        </mc:AlternateContent>
      </w: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A65F0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F267F3" wp14:editId="398AB1BD">
                <wp:simplePos x="0" y="0"/>
                <wp:positionH relativeFrom="column">
                  <wp:posOffset>1966889</wp:posOffset>
                </wp:positionH>
                <wp:positionV relativeFrom="paragraph">
                  <wp:posOffset>40005</wp:posOffset>
                </wp:positionV>
                <wp:extent cx="1779905" cy="47625"/>
                <wp:effectExtent l="19050" t="95250" r="0" b="66675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79905" cy="476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FBD52" id="Straight Arrow Connector 9" o:spid="_x0000_s1026" type="#_x0000_t32" style="position:absolute;margin-left:154.85pt;margin-top:3.15pt;width:140.15pt;height:3.7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" strokecolor="windowText" strokeweight="2.25pt">
                <v:stroke endarrow="block" joinstyle="miter"/>
              </v:shape>
            </w:pict>
          </mc:Fallback>
        </mc:AlternateContent>
      </w: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61CF5CE" wp14:editId="400EA8D1">
                <wp:simplePos x="0" y="0"/>
                <wp:positionH relativeFrom="column">
                  <wp:posOffset>1047409</wp:posOffset>
                </wp:positionH>
                <wp:positionV relativeFrom="paragraph">
                  <wp:posOffset>103505</wp:posOffset>
                </wp:positionV>
                <wp:extent cx="0" cy="628650"/>
                <wp:effectExtent l="95250" t="0" r="57150" b="38100"/>
                <wp:wrapNone/>
                <wp:docPr id="36" name="Straight Arrow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2865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E3A0471" id="Straight Arrow Connector 36" o:spid="_x0000_s1026" type="#_x0000_t32" style="position:absolute;margin-left:82.45pt;margin-top:8.15pt;width:0;height:49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" strokecolor="windowText" strokeweight="2.25pt">
                <v:stroke endarrow="block" joinstyle="miter"/>
              </v:shape>
            </w:pict>
          </mc:Fallback>
        </mc:AlternateContent>
      </w: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C5BD5">
        <w:rPr>
          <w:rFonts w:eastAsiaTheme="minor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D6F309F" wp14:editId="7DA8FD4E">
                <wp:simplePos x="0" y="0"/>
                <wp:positionH relativeFrom="column">
                  <wp:posOffset>-180975</wp:posOffset>
                </wp:positionH>
                <wp:positionV relativeFrom="paragraph">
                  <wp:posOffset>215900</wp:posOffset>
                </wp:positionV>
                <wp:extent cx="3219450" cy="457200"/>
                <wp:effectExtent l="19050" t="19050" r="19050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457200"/>
                        </a:xfrm>
                        <a:prstGeom prst="rect">
                          <a:avLst/>
                        </a:prstGeom>
                        <a:noFill/>
                        <a:ln w="28575" cmpd="sng">
                          <a:solidFill>
                            <a:sysClr val="windowText" lastClr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:rsidR="004C5BD5" w:rsidRDefault="004C5BD5" w:rsidP="004C5BD5">
                            <w:pPr>
                              <w:jc w:val="center"/>
                            </w:pPr>
                            <w:r>
                              <w:t>Patients treated with immunotherapy (N = 328)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6F309F" id="Text Box 6" o:spid="_x0000_s1046" type="#_x0000_t202" style="position:absolute;left:0;text-align:left;margin-left:-14.25pt;margin-top:17pt;width:253.5pt;height:36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" filled="f" strokecolor="windowText" strokeweight="2.25pt">
                <v:textbox>
                  <w:txbxContent>
                    <w:p w:rsidR="004C5BD5" w:rsidRDefault="004C5BD5" w:rsidP="004C5BD5">
                      <w:pPr>
                        <w:jc w:val="center"/>
                      </w:pPr>
                      <w:r>
                        <w:t>Patients treated with immunotherapy (N = 328)</w:t>
                      </w:r>
                    </w:p>
                  </w:txbxContent>
                </v:textbox>
              </v:shape>
            </w:pict>
          </mc:Fallback>
        </mc:AlternateContent>
      </w: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0A865B" wp14:editId="49D135FD">
                <wp:simplePos x="0" y="0"/>
                <wp:positionH relativeFrom="column">
                  <wp:posOffset>3039110</wp:posOffset>
                </wp:positionH>
                <wp:positionV relativeFrom="paragraph">
                  <wp:posOffset>93980</wp:posOffset>
                </wp:positionV>
                <wp:extent cx="708025" cy="0"/>
                <wp:effectExtent l="0" t="95250" r="0" b="95250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8025" cy="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A0D46" id="Straight Arrow Connector 38" o:spid="_x0000_s1026" type="#_x0000_t32" style="position:absolute;margin-left:239.3pt;margin-top:7.4pt;width:55.75pt;height: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" strokecolor="windowText" strokeweight="2.25pt">
                <v:stroke endarrow="block" joinstyle="miter"/>
              </v:shape>
            </w:pict>
          </mc:Fallback>
        </mc:AlternateContent>
      </w: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b/>
          <w:sz w:val="24"/>
          <w:szCs w:val="24"/>
        </w:rPr>
      </w:pP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sz w:val="20"/>
          <w:szCs w:val="20"/>
        </w:rPr>
        <w:sectPr w:rsidR="004C5BD5" w:rsidRPr="004C5BD5" w:rsidSect="008968F4">
          <w:pgSz w:w="12240" w:h="15840"/>
          <w:pgMar w:top="0" w:right="1440" w:bottom="450" w:left="1440" w:header="720" w:footer="720" w:gutter="0"/>
          <w:cols w:space="720"/>
          <w:docGrid w:linePitch="360"/>
        </w:sectPr>
      </w:pPr>
      <w:r w:rsidRPr="004C5BD5">
        <w:rPr>
          <w:rFonts w:ascii="Times New Roman" w:eastAsiaTheme="minorEastAsia" w:hAnsi="Times New Roman" w:cs="Times New Roman"/>
          <w:sz w:val="20"/>
          <w:szCs w:val="20"/>
        </w:rPr>
        <w:t>.</w:t>
      </w:r>
      <w:r w:rsidRPr="004C5BD5">
        <w:rPr>
          <w:rFonts w:ascii="Times New Roman" w:eastAsiaTheme="minorEastAsia" w:hAnsi="Times New Roman" w:cs="Times New Roman"/>
          <w:color w:val="000000" w:themeColor="text1"/>
          <w:sz w:val="20"/>
          <w:szCs w:val="20"/>
        </w:rPr>
        <w:br w:type="page"/>
      </w:r>
    </w:p>
    <w:p w:rsidR="004C5BD5" w:rsidRPr="004C5BD5" w:rsidRDefault="004C5BD5" w:rsidP="004C5BD5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eastAsiaTheme="minorEastAsia"/>
          <w:noProof/>
          <w:sz w:val="24"/>
          <w:szCs w:val="24"/>
        </w:rPr>
        <w:lastRenderedPageBreak/>
        <w:drawing>
          <wp:inline distT="0" distB="0" distL="0" distR="0" wp14:anchorId="7A10F815" wp14:editId="780A4146">
            <wp:extent cx="9715500" cy="3333750"/>
            <wp:effectExtent l="0" t="0" r="0" b="0"/>
            <wp:docPr id="8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4C5BD5" w:rsidRPr="004C5BD5" w:rsidRDefault="004C5BD5" w:rsidP="004C5BD5">
      <w:pPr>
        <w:spacing w:after="0" w:line="240" w:lineRule="auto"/>
        <w:rPr>
          <w:rFonts w:ascii="Times New Roman" w:eastAsiaTheme="minorEastAsia" w:hAnsi="Times New Roman" w:cs="Times New Roman"/>
          <w:b/>
          <w:color w:val="000000" w:themeColor="text1"/>
          <w:sz w:val="20"/>
          <w:szCs w:val="20"/>
        </w:rPr>
      </w:pPr>
      <w:r w:rsidRPr="004C5BD5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4C5BD5">
        <w:rPr>
          <w:rFonts w:ascii="Times New Roman" w:eastAsiaTheme="minorEastAsia" w:hAnsi="Times New Roman" w:cs="Times New Roman"/>
          <w:b/>
          <w:color w:val="000000" w:themeColor="text1"/>
          <w:sz w:val="20"/>
          <w:szCs w:val="20"/>
        </w:rPr>
        <w:t xml:space="preserve">Supplemental Figure 2:  Molecular alterations in </w:t>
      </w:r>
      <w:r w:rsidR="00F81B18">
        <w:rPr>
          <w:rFonts w:ascii="Times New Roman" w:eastAsiaTheme="minorEastAsia" w:hAnsi="Times New Roman" w:cs="Times New Roman"/>
          <w:b/>
          <w:color w:val="000000" w:themeColor="text1"/>
          <w:sz w:val="20"/>
          <w:szCs w:val="20"/>
        </w:rPr>
        <w:t>12</w:t>
      </w:r>
      <w:r w:rsidRPr="004C5BD5">
        <w:rPr>
          <w:rFonts w:ascii="Times New Roman" w:eastAsiaTheme="minorEastAsia" w:hAnsi="Times New Roman" w:cs="Times New Roman"/>
          <w:b/>
          <w:color w:val="000000" w:themeColor="text1"/>
          <w:sz w:val="20"/>
          <w:szCs w:val="20"/>
        </w:rPr>
        <w:t xml:space="preserve"> patients with available data (cutaneous SCC)</w:t>
      </w:r>
    </w:p>
    <w:p w:rsidR="004C5BD5" w:rsidRPr="004C5BD5" w:rsidRDefault="004C5BD5" w:rsidP="004C5BD5">
      <w:pPr>
        <w:spacing w:after="0" w:line="240" w:lineRule="auto"/>
        <w:rPr>
          <w:rFonts w:ascii="Times New Roman" w:eastAsiaTheme="minorEastAsia" w:hAnsi="Times New Roman" w:cs="Times New Roman"/>
          <w:color w:val="000000" w:themeColor="text1"/>
          <w:sz w:val="20"/>
          <w:szCs w:val="20"/>
        </w:rPr>
      </w:pPr>
      <w:r w:rsidRPr="004C5BD5">
        <w:rPr>
          <w:rFonts w:ascii="Times New Roman" w:eastAsiaTheme="minorEastAsia" w:hAnsi="Times New Roman" w:cs="Times New Roman"/>
          <w:b/>
          <w:color w:val="000000" w:themeColor="text1"/>
          <w:sz w:val="20"/>
          <w:szCs w:val="20"/>
        </w:rPr>
        <w:t>Top panel</w:t>
      </w:r>
      <w:r w:rsidRPr="004C5BD5">
        <w:rPr>
          <w:rFonts w:ascii="Times New Roman" w:eastAsiaTheme="minorEastAsia" w:hAnsi="Times New Roman" w:cs="Times New Roman"/>
          <w:color w:val="000000" w:themeColor="text1"/>
          <w:sz w:val="20"/>
          <w:szCs w:val="20"/>
        </w:rPr>
        <w:t>: Genomic alterations identified in 12 patients with locally advanced/metastatic cutaneous squamous cell carcinoma.</w:t>
      </w:r>
    </w:p>
    <w:p w:rsidR="004C5BD5" w:rsidRPr="004C5BD5" w:rsidRDefault="004C5BD5" w:rsidP="004C5BD5">
      <w:pPr>
        <w:spacing w:after="0" w:line="240" w:lineRule="auto"/>
        <w:ind w:left="1890"/>
        <w:rPr>
          <w:rFonts w:ascii="Times New Roman" w:eastAsiaTheme="minorEastAsia" w:hAnsi="Times New Roman" w:cs="Times New Roman"/>
          <w:sz w:val="24"/>
          <w:szCs w:val="24"/>
        </w:rPr>
        <w:sectPr w:rsidR="004C5BD5" w:rsidRPr="004C5BD5" w:rsidSect="00A6149E">
          <w:pgSz w:w="15840" w:h="12240" w:orient="landscape"/>
          <w:pgMar w:top="180" w:right="446" w:bottom="990" w:left="173" w:header="720" w:footer="720" w:gutter="0"/>
          <w:cols w:space="720"/>
          <w:docGrid w:linePitch="360"/>
        </w:sectPr>
      </w:pPr>
    </w:p>
    <w:p w:rsidR="004C5BD5" w:rsidRPr="004C5BD5" w:rsidRDefault="004C5BD5" w:rsidP="004C5BD5">
      <w:pPr>
        <w:spacing w:after="0" w:line="240" w:lineRule="auto"/>
        <w:ind w:left="-540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73D8BDA" wp14:editId="7F2AE9A8">
            <wp:extent cx="7649549" cy="4114800"/>
            <wp:effectExtent l="0" t="0" r="889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76293" cy="4129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BD5" w:rsidRPr="004C5BD5" w:rsidRDefault="004C5BD5" w:rsidP="004C5BD5">
      <w:pPr>
        <w:spacing w:after="0" w:line="240" w:lineRule="auto"/>
        <w:ind w:left="-540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b/>
          <w:noProof/>
          <w:sz w:val="24"/>
          <w:szCs w:val="24"/>
        </w:rPr>
        <w:drawing>
          <wp:inline distT="0" distB="0" distL="0" distR="0" wp14:anchorId="2C52CC77" wp14:editId="7F7AC393">
            <wp:extent cx="7044267" cy="396240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53816" cy="3967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BD5" w:rsidRPr="004C5BD5" w:rsidRDefault="004C5BD5" w:rsidP="004C5BD5">
      <w:pPr>
        <w:spacing w:after="0" w:line="240" w:lineRule="auto"/>
        <w:ind w:left="-270"/>
        <w:rPr>
          <w:rFonts w:ascii="Times New Roman" w:eastAsiaTheme="minorEastAsia" w:hAnsi="Times New Roman" w:cs="Times New Roman"/>
        </w:rPr>
      </w:pPr>
      <w:r w:rsidRPr="004C5BD5">
        <w:rPr>
          <w:rFonts w:ascii="Times New Roman" w:eastAsiaTheme="minorEastAsia" w:hAnsi="Times New Roman" w:cs="Times New Roman"/>
          <w:b/>
        </w:rPr>
        <w:t>Supplemental Figure 3</w:t>
      </w:r>
      <w:r w:rsidRPr="004C5BD5">
        <w:rPr>
          <w:rFonts w:ascii="Times New Roman" w:eastAsiaTheme="minorEastAsia" w:hAnsi="Times New Roman" w:cs="Times New Roman"/>
        </w:rPr>
        <w:t>:</w:t>
      </w:r>
    </w:p>
    <w:p w:rsidR="004C5BD5" w:rsidRPr="004C5BD5" w:rsidRDefault="004C5BD5" w:rsidP="004C5BD5">
      <w:pPr>
        <w:spacing w:after="0" w:line="240" w:lineRule="auto"/>
        <w:ind w:left="-270"/>
        <w:rPr>
          <w:rFonts w:ascii="Times New Roman" w:eastAsiaTheme="minorEastAsia" w:hAnsi="Times New Roman" w:cs="Times New Roman"/>
        </w:rPr>
      </w:pPr>
      <w:r w:rsidRPr="004C5BD5">
        <w:rPr>
          <w:rFonts w:ascii="Times New Roman" w:eastAsiaTheme="minorEastAsia" w:hAnsi="Times New Roman" w:cs="Times New Roman"/>
          <w:u w:val="single"/>
        </w:rPr>
        <w:t>Top panel:</w:t>
      </w:r>
      <w:r w:rsidRPr="004C5BD5">
        <w:rPr>
          <w:rFonts w:ascii="Times New Roman" w:eastAsiaTheme="minorEastAsia" w:hAnsi="Times New Roman" w:cs="Times New Roman"/>
        </w:rPr>
        <w:t xml:space="preserve"> TTF for patients (N = 15) with cutaneous SCC treated with PD-1 blockade.  Arrows indicate ongoing response. Patient #15 died after receiving one dose of PD-1 blockade.</w:t>
      </w:r>
    </w:p>
    <w:p w:rsidR="004C5BD5" w:rsidRPr="004C5BD5" w:rsidRDefault="004C5BD5" w:rsidP="004C5BD5">
      <w:pPr>
        <w:spacing w:after="0" w:line="240" w:lineRule="auto"/>
        <w:ind w:left="-270"/>
        <w:rPr>
          <w:rFonts w:ascii="Times New Roman" w:eastAsiaTheme="minorEastAsia" w:hAnsi="Times New Roman" w:cs="Times New Roman"/>
        </w:rPr>
      </w:pPr>
      <w:r w:rsidRPr="004C5BD5">
        <w:rPr>
          <w:rFonts w:ascii="Times New Roman" w:eastAsiaTheme="minorEastAsia" w:hAnsi="Times New Roman" w:cs="Times New Roman"/>
          <w:u w:val="single"/>
        </w:rPr>
        <w:t>Bottom panel:</w:t>
      </w:r>
      <w:r w:rsidRPr="004C5BD5">
        <w:rPr>
          <w:rFonts w:ascii="Times New Roman" w:eastAsiaTheme="minorEastAsia" w:hAnsi="Times New Roman" w:cs="Times New Roman"/>
        </w:rPr>
        <w:t xml:space="preserve"> TTF for patients with SCC (N = 41 patients with available TMB) treated with PD-1 blockade categorized by TMB level.  Arrows indicate ongoing response.  Patient # 67 had </w:t>
      </w:r>
      <w:r w:rsidRPr="004C5BD5">
        <w:rPr>
          <w:rFonts w:ascii="Times New Roman" w:eastAsiaTheme="minorEastAsia" w:hAnsi="Times New Roman" w:cs="Times New Roman"/>
          <w:i/>
        </w:rPr>
        <w:t>PD-L1</w:t>
      </w:r>
      <w:r w:rsidRPr="004C5BD5">
        <w:rPr>
          <w:rFonts w:ascii="Times New Roman" w:eastAsiaTheme="minorEastAsia" w:hAnsi="Times New Roman" w:cs="Times New Roman"/>
        </w:rPr>
        <w:t xml:space="preserve"> amplification in addition to high TMB </w:t>
      </w:r>
      <w:r w:rsidRPr="004C5BD5">
        <w:rPr>
          <w:rFonts w:ascii="Times New Roman" w:eastAsiaTheme="minorEastAsia" w:hAnsi="Times New Roman" w:cs="Times New Roman"/>
        </w:rPr>
        <w:fldChar w:fldCharType="begin"/>
      </w:r>
      <w:r w:rsidRPr="004C5BD5">
        <w:rPr>
          <w:rFonts w:ascii="Times New Roman" w:eastAsiaTheme="minorEastAsia" w:hAnsi="Times New Roman" w:cs="Times New Roman"/>
        </w:rPr>
        <w:instrText xml:space="preserve"> ADDIN ZOTERO_ITEM CSL_CITATION {"citationID":"ul7k2I2i","properties":{"formattedCitation":"(22)","plainCitation":"(22)","noteIndex":0},"citationItems":[{"id":70,"uris":["http://zotero.org/users/local/TRP0KFZQ/items/A8Z8R8WH"],"uri":["http://zotero.org/users/local/TRP0KFZQ/items/A8Z8R8WH"],"itemData":{"id":70,"type":"article-journal","title":"Prevalence of PDL1 Amplification and Preliminary Response to Immune Checkpoint Blockade in Solid Tumors","container-title":"JAMA Oncology","source":"jamanetwork.com","abstract":"&lt;h3&gt;Importance&lt;/h3&gt;&lt;p&gt;Copy number alterations in programmed cell death ligand 1 (&lt;i&gt;PDL1&lt;/i&gt;or&lt;i&gt;CD274&lt;/i&gt;), programmed cell death 1 ligand 2 (&lt;i&gt;PDCD1LG2&lt;/i&gt;or&lt;i&gt;PDL2&lt;/i&gt;), and Janus kinase 2 (&lt;i&gt;JAK2&lt;/i&gt;) genes (chromosome 9p24.1) characterize Hodgkin lymphoma, resulting in high response rates to programmed cell death 1 (PD-1)/programmed cell death ligand 1 (PD-L1) blockade. The prevalence and utility of&lt;i&gt;PDL1&lt;/i&gt;amplification as a response biomarker to PD-1/PD-L1 blockade are unknown in other tumors.&lt;/p&gt;&lt;h3&gt;Objectives&lt;/h3&gt;&lt;p&gt;To examine the prevalence of&lt;i&gt;PDL1&lt;/i&gt;amplification and its utility as a response biomarker to PD-1/PD-L1 blockade in solid tumors.&lt;/p&gt;&lt;h3&gt;Design, Setting, and Participants&lt;/h3&gt;&lt;p&gt;This retrospective study (October 1, 2012, to October 1, 2017) used a deidentified tumor database from a commercial company and annotated clinical records from a subset of patients treated at a university tertiary referral center. The study analyzed 118 187 tumors from the deidentified database, including a clinically annotated subgroup of 2039 malignant tumors.&lt;/p&gt;&lt;h3&gt;Interventions&lt;/h3&gt;&lt;p&gt;Comprehensive genomic profiling was performed on all samples to determine&lt;i&gt;PDL1&lt;/i&gt;amplification, microsatellite instability, and tumor mutational burden (TMB). A subset of patients was treated with PD-1/PD-L1 blockade.&lt;/p&gt;&lt;h3&gt;Main Outcomes and Measures&lt;/h3&gt;&lt;p&gt;The prevalence of&lt;i&gt;PDL1&lt;/i&gt;amplification was determined among 118 187 patient samples that underwent next-generation sequencing. Solid tumors treated with checkpoint blockade were evaluated for response and progression-free survival (PFS).&lt;/p&gt;&lt;h3&gt;Results&lt;/h3&gt;&lt;p&gt;Of the 118 187 deidentified tumor samples,&lt;i&gt;PDL1&lt;/i&gt;amplifications were identified in 843 (0.7%), including more than 100 types of solid tumors. Most&lt;i&gt;PDL1&lt;/i&gt;-amplified tumors (84.8%) had a low to intermediate TMB.&lt;i&gt;PDL1&lt;/i&gt;amplification did not always correlate with high-positive PD-L1 expression by immunohistochemical analysis. Six of 9 patients (66.7%) from 1 center with&lt;i&gt;PDL1&lt;/i&gt;-amplified solid tumors had objective responses after checkpoint blockade administration. The median PFS among all treated patients was 15.2 months. Responders included 1 patient with glioblastoma (PFS, ≥5.2 months), 2 patients with head and neck squamous cell cancer (PFS, ≥9 and 15.2 months), 2 patients with metastatic basal cell cancer (PFS, 3.8 and ≥24.1 months), and 1 patient with urothelial cancer (PFS, ≥17.8 months).&lt;/p&gt;&lt;h3&gt;Conclusions and Relevance&lt;/h3&gt;&lt;p&gt;The results of this study suggest that&lt;i&gt;PDL1&lt;/i&gt;amplification occurs in a small subset of malignant tumors. Additional large-scale, prospective studies of&lt;i&gt;PDL1&lt;/i&gt;-amplified cancers are warranted to confirm the responses to checkpoint blockade described herein, even in the absence of microsatellite instability, high PD-L1 expression, and a high TMB.&lt;/p&gt;","URL":"https://jamanetwork.com/journals/jamaoncology/fullarticle/2684636","DOI":"10.1001/jamaoncol.2018.1701","journalAbbreviation":"JAMA Oncol","language":"en","author":[{"family":"Goodman","given":"Aaron M."},{"family":"Piccioni","given":"David"},{"family":"Kato","given":"Shumei"},{"family":"Boichard","given":"Amélie"},{"family":"Wang","given":"Huan-You"},{"family":"Frampton","given":"Garrett"},{"family":"Lippman","given":"Scott M."},{"family":"Connelly","given":"Caitlin"},{"family":"Fabrizio","given":"David"},{"family":"Miller","given":"Vincent"},{"family":"Sicklick","given":"Jason K."},{"family":"Kurzrock","given":"Razelle"}],"issued":{"date-parts":[["2018",6,14]]},"accessed":{"date-parts":[["2018",6,18]]}}}],"schema":"https://github.com/citation-style-language/schema/raw/master/csl-citation.json"} </w:instrText>
      </w:r>
      <w:r w:rsidRPr="004C5BD5">
        <w:rPr>
          <w:rFonts w:ascii="Times New Roman" w:eastAsiaTheme="minorEastAsia" w:hAnsi="Times New Roman" w:cs="Times New Roman"/>
        </w:rPr>
        <w:fldChar w:fldCharType="separate"/>
      </w:r>
      <w:r w:rsidRPr="004C5BD5">
        <w:rPr>
          <w:rFonts w:ascii="Times New Roman" w:eastAsiaTheme="minorEastAsia" w:hAnsi="Times New Roman" w:cs="Times New Roman"/>
        </w:rPr>
        <w:t>(22)</w:t>
      </w:r>
      <w:r w:rsidRPr="004C5BD5">
        <w:rPr>
          <w:rFonts w:ascii="Times New Roman" w:eastAsiaTheme="minorEastAsia" w:hAnsi="Times New Roman" w:cs="Times New Roman"/>
        </w:rPr>
        <w:fldChar w:fldCharType="end"/>
      </w:r>
      <w:r w:rsidRPr="004C5BD5">
        <w:rPr>
          <w:rFonts w:ascii="Times New Roman" w:eastAsiaTheme="minorEastAsia" w:hAnsi="Times New Roman" w:cs="Times New Roman"/>
        </w:rPr>
        <w:t>.</w:t>
      </w:r>
    </w:p>
    <w:p w:rsidR="004C5BD5" w:rsidRPr="004C5BD5" w:rsidRDefault="004C5BD5" w:rsidP="004C5BD5">
      <w:pPr>
        <w:spacing w:after="0" w:line="240" w:lineRule="auto"/>
        <w:ind w:left="-270"/>
        <w:rPr>
          <w:rFonts w:ascii="Times New Roman" w:eastAsiaTheme="minorEastAsia" w:hAnsi="Times New Roman" w:cs="Times New Roman"/>
        </w:rPr>
        <w:sectPr w:rsidR="004C5BD5" w:rsidRPr="004C5BD5" w:rsidSect="00A6149E">
          <w:pgSz w:w="12240" w:h="15840"/>
          <w:pgMar w:top="173" w:right="187" w:bottom="446" w:left="994" w:header="720" w:footer="720" w:gutter="0"/>
          <w:cols w:space="720"/>
          <w:docGrid w:linePitch="360"/>
        </w:sectPr>
      </w:pPr>
      <w:r w:rsidRPr="004C5BD5">
        <w:rPr>
          <w:rFonts w:ascii="Times New Roman" w:eastAsiaTheme="minorEastAsia" w:hAnsi="Times New Roman" w:cs="Times New Roman"/>
          <w:b/>
        </w:rPr>
        <w:t>Abbreviation</w:t>
      </w:r>
      <w:r w:rsidRPr="004C5BD5">
        <w:rPr>
          <w:rFonts w:ascii="Times New Roman" w:eastAsiaTheme="minorEastAsia" w:hAnsi="Times New Roman" w:cs="Times New Roman"/>
        </w:rPr>
        <w:t>s: TMB = tumor mutational burden; TTF = time to treatment failure</w:t>
      </w:r>
    </w:p>
    <w:p w:rsidR="004C5BD5" w:rsidRPr="004C5BD5" w:rsidRDefault="004C5BD5" w:rsidP="004C5BD5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4C5BD5" w:rsidRPr="004C5BD5" w:rsidRDefault="004C5BD5" w:rsidP="004C5BD5">
      <w:pPr>
        <w:spacing w:line="240" w:lineRule="auto"/>
        <w:ind w:left="-810"/>
        <w:contextualSpacing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noProof/>
          <w:sz w:val="24"/>
          <w:szCs w:val="24"/>
        </w:rPr>
        <w:drawing>
          <wp:inline distT="0" distB="0" distL="0" distR="0" wp14:anchorId="23ADD025" wp14:editId="5E16EB17">
            <wp:extent cx="9097645" cy="5867400"/>
            <wp:effectExtent l="0" t="0" r="825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12022" b="6666"/>
                    <a:stretch/>
                  </pic:blipFill>
                  <pic:spPr bwMode="auto">
                    <a:xfrm>
                      <a:off x="0" y="0"/>
                      <a:ext cx="9124405" cy="5884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4C5BD5" w:rsidRPr="004C5BD5" w:rsidRDefault="004C5BD5" w:rsidP="004C5BD5">
      <w:pPr>
        <w:tabs>
          <w:tab w:val="left" w:pos="90"/>
        </w:tabs>
        <w:spacing w:line="240" w:lineRule="auto"/>
        <w:ind w:left="-360"/>
        <w:contextualSpacing/>
        <w:rPr>
          <w:rFonts w:ascii="Times New Roman" w:eastAsiaTheme="minorEastAsia" w:hAnsi="Times New Roman" w:cs="Times New Roman"/>
          <w:sz w:val="20"/>
          <w:szCs w:val="20"/>
        </w:rPr>
      </w:pPr>
      <w:r w:rsidRPr="004C5BD5">
        <w:rPr>
          <w:rFonts w:ascii="Times New Roman" w:eastAsiaTheme="minorEastAsia" w:hAnsi="Times New Roman" w:cs="Times New Roman"/>
          <w:b/>
          <w:sz w:val="20"/>
          <w:szCs w:val="20"/>
        </w:rPr>
        <w:t>Supplemental Figure 4</w:t>
      </w:r>
      <w:r w:rsidRPr="004C5BD5">
        <w:rPr>
          <w:rFonts w:ascii="Times New Roman" w:eastAsiaTheme="minorEastAsia" w:hAnsi="Times New Roman" w:cs="Times New Roman"/>
          <w:sz w:val="20"/>
          <w:szCs w:val="20"/>
        </w:rPr>
        <w:t>: 64 year old male with metastatic cutaneous squamous cell carcinoma.  Panels A and D are pre-treatment computerized tomographic scans of the chest demonstrating right hilar and subcarinal lymphadenopathy.  Panels B and E, and C and F were taken approximately 3 and 7 months after starting pembrolizumab and demonstrate resolution of previous intrathoracic lymphadenopathy.</w:t>
      </w:r>
    </w:p>
    <w:p w:rsidR="004C5BD5" w:rsidRPr="004C5BD5" w:rsidRDefault="004C5BD5" w:rsidP="004C5BD5">
      <w:pPr>
        <w:rPr>
          <w:rFonts w:ascii="Times New Roman" w:eastAsiaTheme="minorEastAsia" w:hAnsi="Times New Roman" w:cs="Times New Roman"/>
          <w:sz w:val="24"/>
          <w:szCs w:val="24"/>
        </w:rPr>
        <w:sectPr w:rsidR="004C5BD5" w:rsidRPr="004C5BD5" w:rsidSect="00292715">
          <w:pgSz w:w="15840" w:h="12240" w:orient="landscape"/>
          <w:pgMar w:top="360" w:right="1440" w:bottom="540" w:left="1440" w:header="720" w:footer="720" w:gutter="0"/>
          <w:cols w:space="720"/>
          <w:docGrid w:linePitch="360"/>
        </w:sectPr>
      </w:pPr>
      <w:r w:rsidRPr="004C5BD5">
        <w:rPr>
          <w:rFonts w:ascii="Times New Roman" w:eastAsiaTheme="minorEastAsia" w:hAnsi="Times New Roman" w:cs="Times New Roman"/>
          <w:sz w:val="24"/>
          <w:szCs w:val="24"/>
        </w:rPr>
        <w:br w:type="page"/>
      </w:r>
    </w:p>
    <w:p w:rsidR="004C5BD5" w:rsidRPr="004C5BD5" w:rsidRDefault="004C5BD5" w:rsidP="004C5BD5">
      <w:pPr>
        <w:spacing w:after="0" w:line="240" w:lineRule="auto"/>
        <w:ind w:left="-990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045AE6B" wp14:editId="7C410946">
            <wp:extent cx="6793992" cy="5045067"/>
            <wp:effectExtent l="0" t="0" r="6985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4700" r="9549"/>
                    <a:stretch/>
                  </pic:blipFill>
                  <pic:spPr bwMode="auto">
                    <a:xfrm>
                      <a:off x="0" y="0"/>
                      <a:ext cx="6829140" cy="5071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rto="http://schemas.microsoft.com/office/word/2006/arto"/>
                      </a:ext>
                    </a:extLst>
                  </pic:spPr>
                </pic:pic>
              </a:graphicData>
            </a:graphic>
          </wp:inline>
        </w:drawing>
      </w:r>
    </w:p>
    <w:p w:rsidR="004C5BD5" w:rsidRPr="004C5BD5" w:rsidRDefault="004C5BD5" w:rsidP="004C5BD5">
      <w:pPr>
        <w:spacing w:after="0" w:line="240" w:lineRule="auto"/>
        <w:ind w:left="-720"/>
        <w:rPr>
          <w:rFonts w:ascii="Times New Roman" w:eastAsiaTheme="minorEastAsia" w:hAnsi="Times New Roman" w:cs="Times New Roman"/>
          <w:color w:val="FF0000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b/>
          <w:sz w:val="24"/>
          <w:szCs w:val="24"/>
        </w:rPr>
        <w:t>Supplemental Figure 5</w:t>
      </w:r>
      <w:r w:rsidRPr="004C5BD5">
        <w:rPr>
          <w:rFonts w:ascii="Times New Roman" w:eastAsiaTheme="minorEastAsia" w:hAnsi="Times New Roman" w:cs="Times New Roman"/>
          <w:sz w:val="24"/>
          <w:szCs w:val="24"/>
        </w:rPr>
        <w:t xml:space="preserve">: Median TMB in mutations per megabase </w:t>
      </w:r>
      <w:r w:rsidRPr="004C5BD5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of cutaneous SCC (N = 12) vs. other SCC (N = 29) was 63 (range 12-347) versus 6 (range 1-25) mutations megabase.(p</w:t>
      </w:r>
      <w:r w:rsidRPr="004C5BD5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</w:rPr>
        <w:t xml:space="preserve"> &lt;0.0001)</w:t>
      </w:r>
      <w:r w:rsidRPr="004C5BD5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 (UCSD cohort) </w:t>
      </w:r>
    </w:p>
    <w:p w:rsidR="004C5BD5" w:rsidRPr="004C5BD5" w:rsidRDefault="004C5BD5" w:rsidP="004C5BD5">
      <w:pPr>
        <w:spacing w:after="0" w:line="240" w:lineRule="auto"/>
        <w:ind w:left="-720"/>
        <w:rPr>
          <w:rFonts w:ascii="Times New Roman" w:eastAsiaTheme="minorEastAsia" w:hAnsi="Times New Roman" w:cs="Times New Roman"/>
          <w:sz w:val="24"/>
          <w:szCs w:val="24"/>
        </w:rPr>
      </w:pPr>
      <w:r w:rsidRPr="004C5BD5">
        <w:rPr>
          <w:rFonts w:ascii="Times New Roman" w:eastAsiaTheme="minorEastAsia" w:hAnsi="Times New Roman" w:cs="Times New Roman"/>
          <w:sz w:val="24"/>
          <w:szCs w:val="24"/>
        </w:rPr>
        <w:t>Red brackets represent 95% CI.</w:t>
      </w:r>
    </w:p>
    <w:p w:rsidR="004C5BD5" w:rsidRPr="004C5BD5" w:rsidRDefault="004C5BD5" w:rsidP="004C5BD5">
      <w:pPr>
        <w:spacing w:after="0" w:line="240" w:lineRule="auto"/>
        <w:ind w:left="-720"/>
        <w:rPr>
          <w:rFonts w:ascii="Times New Roman" w:eastAsiaTheme="minorEastAsia" w:hAnsi="Times New Roman" w:cs="Times New Roman"/>
          <w:sz w:val="24"/>
          <w:szCs w:val="24"/>
        </w:rPr>
        <w:sectPr w:rsidR="004C5BD5" w:rsidRPr="004C5BD5" w:rsidSect="00D13443">
          <w:pgSz w:w="12240" w:h="15840"/>
          <w:pgMar w:top="270" w:right="274" w:bottom="270" w:left="1440" w:header="720" w:footer="720" w:gutter="0"/>
          <w:cols w:space="720"/>
          <w:docGrid w:linePitch="360"/>
        </w:sectPr>
      </w:pPr>
      <w:r w:rsidRPr="004C5BD5">
        <w:rPr>
          <w:rFonts w:ascii="Times New Roman" w:eastAsiaTheme="minorEastAsia" w:hAnsi="Times New Roman" w:cs="Times New Roman"/>
          <w:b/>
          <w:sz w:val="24"/>
          <w:szCs w:val="24"/>
        </w:rPr>
        <w:t>Abbreviations:</w:t>
      </w:r>
      <w:r w:rsidRPr="004C5BD5">
        <w:rPr>
          <w:rFonts w:ascii="Times New Roman" w:eastAsiaTheme="minorEastAsia" w:hAnsi="Times New Roman" w:cs="Times New Roman"/>
          <w:sz w:val="24"/>
          <w:szCs w:val="24"/>
        </w:rPr>
        <w:t xml:space="preserve"> mg = megabase; SCC = squamous cell carcinoma; TMB = tumor mutational burden</w:t>
      </w:r>
    </w:p>
    <w:p w:rsidR="004C5BD5" w:rsidRPr="004C5BD5" w:rsidRDefault="004C5BD5" w:rsidP="004C5BD5">
      <w:pPr>
        <w:spacing w:after="0" w:line="24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7D7862" w:rsidRDefault="007D7862"/>
    <w:sectPr w:rsidR="007D7862" w:rsidSect="008754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A92020"/>
    <w:multiLevelType w:val="hybridMultilevel"/>
    <w:tmpl w:val="65561D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6978B7"/>
    <w:multiLevelType w:val="multilevel"/>
    <w:tmpl w:val="9A8A3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6913C53"/>
    <w:multiLevelType w:val="hybridMultilevel"/>
    <w:tmpl w:val="0136AD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64C1630"/>
    <w:multiLevelType w:val="hybridMultilevel"/>
    <w:tmpl w:val="03D692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AC82BF2"/>
    <w:multiLevelType w:val="multilevel"/>
    <w:tmpl w:val="27DEE9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5BD5"/>
    <w:rsid w:val="000A7D3A"/>
    <w:rsid w:val="004509D1"/>
    <w:rsid w:val="004C5BD5"/>
    <w:rsid w:val="006325C5"/>
    <w:rsid w:val="006F6B73"/>
    <w:rsid w:val="007D7862"/>
    <w:rsid w:val="00932497"/>
    <w:rsid w:val="00A65F05"/>
    <w:rsid w:val="00D37D62"/>
    <w:rsid w:val="00D54DEC"/>
    <w:rsid w:val="00F81B18"/>
    <w:rsid w:val="00FB1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C27F243-A47C-4A79-80F3-330D802A09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numbering" w:customStyle="1" w:styleId="NoList1">
    <w:name w:val="No List1"/>
    <w:next w:val="NoList"/>
    <w:uiPriority w:val="99"/>
    <w:semiHidden/>
    <w:unhideWhenUsed/>
    <w:rsid w:val="004C5BD5"/>
  </w:style>
  <w:style w:type="table" w:styleId="TableGrid">
    <w:name w:val="Table Grid"/>
    <w:basedOn w:val="TableNormal"/>
    <w:uiPriority w:val="39"/>
    <w:rsid w:val="004C5BD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C5BD5"/>
    <w:pPr>
      <w:spacing w:after="0" w:line="240" w:lineRule="auto"/>
    </w:pPr>
    <w:rPr>
      <w:rFonts w:ascii="Lucida Grande" w:eastAsiaTheme="minorEastAsia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5BD5"/>
    <w:rPr>
      <w:rFonts w:ascii="Lucida Grande" w:eastAsiaTheme="minorEastAsia" w:hAnsi="Lucida Grande"/>
      <w:sz w:val="18"/>
      <w:szCs w:val="18"/>
    </w:rPr>
  </w:style>
  <w:style w:type="paragraph" w:customStyle="1" w:styleId="EndNoteBibliographyTitle">
    <w:name w:val="EndNote Bibliography Title"/>
    <w:basedOn w:val="Normal"/>
    <w:rsid w:val="004C5BD5"/>
    <w:pPr>
      <w:spacing w:after="0" w:line="240" w:lineRule="auto"/>
      <w:jc w:val="center"/>
    </w:pPr>
    <w:rPr>
      <w:rFonts w:ascii="Calibri" w:eastAsiaTheme="minorEastAsia" w:hAnsi="Calibri"/>
      <w:sz w:val="24"/>
      <w:szCs w:val="24"/>
    </w:rPr>
  </w:style>
  <w:style w:type="paragraph" w:customStyle="1" w:styleId="EndNoteBibliography">
    <w:name w:val="EndNote Bibliography"/>
    <w:basedOn w:val="Normal"/>
    <w:rsid w:val="004C5BD5"/>
    <w:pPr>
      <w:spacing w:after="0" w:line="240" w:lineRule="auto"/>
    </w:pPr>
    <w:rPr>
      <w:rFonts w:ascii="Calibri" w:eastAsiaTheme="minorEastAsia" w:hAnsi="Calibri"/>
      <w:sz w:val="24"/>
      <w:szCs w:val="24"/>
    </w:rPr>
  </w:style>
  <w:style w:type="numbering" w:customStyle="1" w:styleId="NoList11">
    <w:name w:val="No List11"/>
    <w:next w:val="NoList"/>
    <w:uiPriority w:val="99"/>
    <w:semiHidden/>
    <w:unhideWhenUsed/>
    <w:rsid w:val="004C5BD5"/>
  </w:style>
  <w:style w:type="numbering" w:customStyle="1" w:styleId="NoList2">
    <w:name w:val="No List2"/>
    <w:next w:val="NoList"/>
    <w:uiPriority w:val="99"/>
    <w:semiHidden/>
    <w:unhideWhenUsed/>
    <w:rsid w:val="004C5BD5"/>
  </w:style>
  <w:style w:type="character" w:styleId="Hyperlink">
    <w:name w:val="Hyperlink"/>
    <w:basedOn w:val="DefaultParagraphFont"/>
    <w:uiPriority w:val="99"/>
    <w:unhideWhenUsed/>
    <w:rsid w:val="004C5BD5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C5B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C5BD5"/>
    <w:rPr>
      <w:b/>
      <w:bCs/>
    </w:rPr>
  </w:style>
  <w:style w:type="character" w:styleId="Emphasis">
    <w:name w:val="Emphasis"/>
    <w:basedOn w:val="DefaultParagraphFont"/>
    <w:uiPriority w:val="20"/>
    <w:qFormat/>
    <w:rsid w:val="004C5BD5"/>
    <w:rPr>
      <w:i/>
      <w:iCs/>
    </w:rPr>
  </w:style>
  <w:style w:type="paragraph" w:styleId="ListParagraph">
    <w:name w:val="List Paragraph"/>
    <w:basedOn w:val="Normal"/>
    <w:uiPriority w:val="34"/>
    <w:qFormat/>
    <w:rsid w:val="004C5BD5"/>
    <w:pPr>
      <w:spacing w:after="0" w:line="240" w:lineRule="auto"/>
      <w:ind w:left="720"/>
    </w:pPr>
    <w:rPr>
      <w:rFonts w:ascii="Calibri" w:hAnsi="Calibri" w:cs="Times New Roman"/>
    </w:rPr>
  </w:style>
  <w:style w:type="paragraph" w:styleId="PlainText">
    <w:name w:val="Plain Text"/>
    <w:basedOn w:val="Normal"/>
    <w:link w:val="PlainTextChar"/>
    <w:uiPriority w:val="99"/>
    <w:unhideWhenUsed/>
    <w:rsid w:val="004C5BD5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4C5BD5"/>
    <w:rPr>
      <w:rFonts w:ascii="Calibri" w:hAnsi="Calibri"/>
      <w:szCs w:val="21"/>
    </w:rPr>
  </w:style>
  <w:style w:type="paragraph" w:customStyle="1" w:styleId="title1">
    <w:name w:val="title1"/>
    <w:basedOn w:val="Normal"/>
    <w:rsid w:val="004C5BD5"/>
    <w:pPr>
      <w:spacing w:after="0" w:line="240" w:lineRule="auto"/>
    </w:pPr>
    <w:rPr>
      <w:rFonts w:ascii="Times New Roman" w:eastAsia="Times New Roman" w:hAnsi="Times New Roman" w:cs="Times New Roman"/>
      <w:sz w:val="27"/>
      <w:szCs w:val="27"/>
    </w:rPr>
  </w:style>
  <w:style w:type="paragraph" w:customStyle="1" w:styleId="desc2">
    <w:name w:val="desc2"/>
    <w:basedOn w:val="Normal"/>
    <w:rsid w:val="004C5BD5"/>
    <w:pPr>
      <w:spacing w:after="0" w:line="240" w:lineRule="auto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details1">
    <w:name w:val="details1"/>
    <w:basedOn w:val="Normal"/>
    <w:rsid w:val="004C5BD5"/>
    <w:pPr>
      <w:spacing w:after="0" w:line="240" w:lineRule="auto"/>
    </w:pPr>
    <w:rPr>
      <w:rFonts w:ascii="Times New Roman" w:eastAsia="Times New Roman" w:hAnsi="Times New Roman" w:cs="Times New Roman"/>
    </w:rPr>
  </w:style>
  <w:style w:type="character" w:customStyle="1" w:styleId="jrnl">
    <w:name w:val="jrnl"/>
    <w:basedOn w:val="DefaultParagraphFont"/>
    <w:rsid w:val="004C5BD5"/>
  </w:style>
  <w:style w:type="paragraph" w:styleId="Header">
    <w:name w:val="header"/>
    <w:basedOn w:val="Normal"/>
    <w:link w:val="HeaderChar"/>
    <w:uiPriority w:val="99"/>
    <w:unhideWhenUsed/>
    <w:rsid w:val="004C5BD5"/>
    <w:pPr>
      <w:tabs>
        <w:tab w:val="center" w:pos="4680"/>
        <w:tab w:val="right" w:pos="9360"/>
      </w:tabs>
      <w:spacing w:after="0" w:line="240" w:lineRule="auto"/>
    </w:pPr>
    <w:rPr>
      <w:rFonts w:eastAsiaTheme="minorEastAsia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4C5BD5"/>
    <w:rPr>
      <w:rFonts w:eastAsiaTheme="minorEastAsia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4C5BD5"/>
    <w:pPr>
      <w:tabs>
        <w:tab w:val="center" w:pos="4680"/>
        <w:tab w:val="right" w:pos="9360"/>
      </w:tabs>
      <w:spacing w:after="0" w:line="240" w:lineRule="auto"/>
    </w:pPr>
    <w:rPr>
      <w:rFonts w:eastAsiaTheme="minorEastAsia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4C5BD5"/>
    <w:rPr>
      <w:rFonts w:eastAsiaTheme="minorEastAsia"/>
      <w:sz w:val="24"/>
      <w:szCs w:val="24"/>
    </w:rPr>
  </w:style>
  <w:style w:type="paragraph" w:styleId="Bibliography">
    <w:name w:val="Bibliography"/>
    <w:basedOn w:val="Normal"/>
    <w:next w:val="Normal"/>
    <w:uiPriority w:val="37"/>
    <w:unhideWhenUsed/>
    <w:rsid w:val="004C5BD5"/>
    <w:pPr>
      <w:tabs>
        <w:tab w:val="left" w:pos="504"/>
      </w:tabs>
      <w:spacing w:after="240" w:line="240" w:lineRule="auto"/>
      <w:ind w:left="504" w:hanging="504"/>
    </w:pPr>
    <w:rPr>
      <w:rFonts w:eastAsiaTheme="minorEastAsi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chart" Target="charts/chart1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accent1">
                  <a:lumMod val="75000"/>
                </a:schemeClr>
              </a:solidFill>
            </a:ln>
            <a:effectLst/>
          </c:spPr>
          <c:invertIfNegative val="0"/>
          <c:cat>
            <c:strRef>
              <c:f>'Genomics SCC'!$C$2:$C$142</c:f>
              <c:strCache>
                <c:ptCount val="62"/>
                <c:pt idx="0">
                  <c:v>TP53</c:v>
                </c:pt>
                <c:pt idx="1">
                  <c:v>NOTCH1</c:v>
                </c:pt>
                <c:pt idx="2">
                  <c:v>CDKN2A</c:v>
                </c:pt>
                <c:pt idx="3">
                  <c:v>LRP1B</c:v>
                </c:pt>
                <c:pt idx="4">
                  <c:v>FAT1</c:v>
                </c:pt>
                <c:pt idx="5">
                  <c:v>TERT</c:v>
                </c:pt>
                <c:pt idx="6">
                  <c:v>NOTCH2</c:v>
                </c:pt>
                <c:pt idx="7">
                  <c:v>ARID2</c:v>
                </c:pt>
                <c:pt idx="8">
                  <c:v>CREBBP</c:v>
                </c:pt>
                <c:pt idx="9">
                  <c:v>ASXL1</c:v>
                </c:pt>
                <c:pt idx="10">
                  <c:v>MLL2</c:v>
                </c:pt>
                <c:pt idx="11">
                  <c:v>PBRM1</c:v>
                </c:pt>
                <c:pt idx="12">
                  <c:v>RB1</c:v>
                </c:pt>
                <c:pt idx="13">
                  <c:v>SLIT2</c:v>
                </c:pt>
                <c:pt idx="14">
                  <c:v>ARID1A</c:v>
                </c:pt>
                <c:pt idx="15">
                  <c:v>ATM</c:v>
                </c:pt>
                <c:pt idx="16">
                  <c:v>CHD2</c:v>
                </c:pt>
                <c:pt idx="17">
                  <c:v>GRM3</c:v>
                </c:pt>
                <c:pt idx="18">
                  <c:v>SETD2</c:v>
                </c:pt>
                <c:pt idx="19">
                  <c:v>SPTA1</c:v>
                </c:pt>
                <c:pt idx="20">
                  <c:v>ABL2</c:v>
                </c:pt>
                <c:pt idx="21">
                  <c:v>ATR</c:v>
                </c:pt>
                <c:pt idx="22">
                  <c:v>ATRX</c:v>
                </c:pt>
                <c:pt idx="23">
                  <c:v>BLM</c:v>
                </c:pt>
                <c:pt idx="24">
                  <c:v>BRCA1</c:v>
                </c:pt>
                <c:pt idx="25">
                  <c:v>BRD4</c:v>
                </c:pt>
                <c:pt idx="26">
                  <c:v>CCND1</c:v>
                </c:pt>
                <c:pt idx="27">
                  <c:v>CDC73</c:v>
                </c:pt>
                <c:pt idx="28">
                  <c:v>CDK12</c:v>
                </c:pt>
                <c:pt idx="29">
                  <c:v>CDK6</c:v>
                </c:pt>
                <c:pt idx="30">
                  <c:v>CHEK2</c:v>
                </c:pt>
                <c:pt idx="31">
                  <c:v>CSF1R</c:v>
                </c:pt>
                <c:pt idx="32">
                  <c:v>CTCF</c:v>
                </c:pt>
                <c:pt idx="33">
                  <c:v>CTNNB1</c:v>
                </c:pt>
                <c:pt idx="34">
                  <c:v>DNMT3A</c:v>
                </c:pt>
                <c:pt idx="35">
                  <c:v>EGFR</c:v>
                </c:pt>
                <c:pt idx="36">
                  <c:v>EP300</c:v>
                </c:pt>
                <c:pt idx="37">
                  <c:v>EPHA3</c:v>
                </c:pt>
                <c:pt idx="38">
                  <c:v>ERBB2</c:v>
                </c:pt>
                <c:pt idx="39">
                  <c:v>FGF19</c:v>
                </c:pt>
                <c:pt idx="40">
                  <c:v>FGF3</c:v>
                </c:pt>
                <c:pt idx="41">
                  <c:v>FGF4</c:v>
                </c:pt>
                <c:pt idx="42">
                  <c:v>FGFR1</c:v>
                </c:pt>
                <c:pt idx="43">
                  <c:v>FLT3</c:v>
                </c:pt>
                <c:pt idx="44">
                  <c:v>FOXP1</c:v>
                </c:pt>
                <c:pt idx="45">
                  <c:v>KDM6A</c:v>
                </c:pt>
                <c:pt idx="46">
                  <c:v>MAGI2</c:v>
                </c:pt>
                <c:pt idx="47">
                  <c:v>MLH1</c:v>
                </c:pt>
                <c:pt idx="48">
                  <c:v>MSH2</c:v>
                </c:pt>
                <c:pt idx="49">
                  <c:v>MSH6</c:v>
                </c:pt>
                <c:pt idx="50">
                  <c:v>NF2</c:v>
                </c:pt>
                <c:pt idx="51">
                  <c:v>PDGFRA</c:v>
                </c:pt>
                <c:pt idx="52">
                  <c:v>PREX2</c:v>
                </c:pt>
                <c:pt idx="53">
                  <c:v>RAC1</c:v>
                </c:pt>
                <c:pt idx="54">
                  <c:v>SFS3B1</c:v>
                </c:pt>
                <c:pt idx="55">
                  <c:v>SMAD4</c:v>
                </c:pt>
                <c:pt idx="56">
                  <c:v>SPEN</c:v>
                </c:pt>
                <c:pt idx="57">
                  <c:v>STAT4</c:v>
                </c:pt>
                <c:pt idx="58">
                  <c:v>TAF1</c:v>
                </c:pt>
                <c:pt idx="59">
                  <c:v>TET2</c:v>
                </c:pt>
                <c:pt idx="60">
                  <c:v>TSC1</c:v>
                </c:pt>
                <c:pt idx="61">
                  <c:v>TSC2</c:v>
                </c:pt>
              </c:strCache>
            </c:strRef>
          </c:cat>
          <c:val>
            <c:numRef>
              <c:f>'Genomics SCC'!$D$2:$D$142</c:f>
              <c:numCache>
                <c:formatCode>General</c:formatCode>
                <c:ptCount val="62"/>
                <c:pt idx="0">
                  <c:v>18</c:v>
                </c:pt>
                <c:pt idx="1">
                  <c:v>12</c:v>
                </c:pt>
                <c:pt idx="2">
                  <c:v>9</c:v>
                </c:pt>
                <c:pt idx="3">
                  <c:v>8</c:v>
                </c:pt>
                <c:pt idx="4">
                  <c:v>6</c:v>
                </c:pt>
                <c:pt idx="5">
                  <c:v>6</c:v>
                </c:pt>
                <c:pt idx="6">
                  <c:v>5</c:v>
                </c:pt>
                <c:pt idx="7">
                  <c:v>4</c:v>
                </c:pt>
                <c:pt idx="8">
                  <c:v>4</c:v>
                </c:pt>
                <c:pt idx="9">
                  <c:v>3</c:v>
                </c:pt>
                <c:pt idx="10">
                  <c:v>3</c:v>
                </c:pt>
                <c:pt idx="11">
                  <c:v>3</c:v>
                </c:pt>
                <c:pt idx="12">
                  <c:v>3</c:v>
                </c:pt>
                <c:pt idx="13">
                  <c:v>3</c:v>
                </c:pt>
                <c:pt idx="14">
                  <c:v>2</c:v>
                </c:pt>
                <c:pt idx="15">
                  <c:v>2</c:v>
                </c:pt>
                <c:pt idx="16">
                  <c:v>2</c:v>
                </c:pt>
                <c:pt idx="17">
                  <c:v>2</c:v>
                </c:pt>
                <c:pt idx="18">
                  <c:v>2</c:v>
                </c:pt>
                <c:pt idx="19">
                  <c:v>2</c:v>
                </c:pt>
                <c:pt idx="20">
                  <c:v>1</c:v>
                </c:pt>
                <c:pt idx="21">
                  <c:v>1</c:v>
                </c:pt>
                <c:pt idx="22">
                  <c:v>1</c:v>
                </c:pt>
                <c:pt idx="23">
                  <c:v>1</c:v>
                </c:pt>
                <c:pt idx="24">
                  <c:v>1</c:v>
                </c:pt>
                <c:pt idx="25">
                  <c:v>1</c:v>
                </c:pt>
                <c:pt idx="26">
                  <c:v>1</c:v>
                </c:pt>
                <c:pt idx="27">
                  <c:v>1</c:v>
                </c:pt>
                <c:pt idx="28">
                  <c:v>1</c:v>
                </c:pt>
                <c:pt idx="29">
                  <c:v>1</c:v>
                </c:pt>
                <c:pt idx="30">
                  <c:v>1</c:v>
                </c:pt>
                <c:pt idx="31">
                  <c:v>1</c:v>
                </c:pt>
                <c:pt idx="32">
                  <c:v>1</c:v>
                </c:pt>
                <c:pt idx="33">
                  <c:v>1</c:v>
                </c:pt>
                <c:pt idx="34">
                  <c:v>1</c:v>
                </c:pt>
                <c:pt idx="35">
                  <c:v>1</c:v>
                </c:pt>
                <c:pt idx="36">
                  <c:v>1</c:v>
                </c:pt>
                <c:pt idx="37">
                  <c:v>1</c:v>
                </c:pt>
                <c:pt idx="38">
                  <c:v>1</c:v>
                </c:pt>
                <c:pt idx="39">
                  <c:v>1</c:v>
                </c:pt>
                <c:pt idx="40">
                  <c:v>1</c:v>
                </c:pt>
                <c:pt idx="41">
                  <c:v>1</c:v>
                </c:pt>
                <c:pt idx="42">
                  <c:v>1</c:v>
                </c:pt>
                <c:pt idx="43">
                  <c:v>1</c:v>
                </c:pt>
                <c:pt idx="44">
                  <c:v>1</c:v>
                </c:pt>
                <c:pt idx="45">
                  <c:v>1</c:v>
                </c:pt>
                <c:pt idx="46">
                  <c:v>1</c:v>
                </c:pt>
                <c:pt idx="47">
                  <c:v>1</c:v>
                </c:pt>
                <c:pt idx="48">
                  <c:v>1</c:v>
                </c:pt>
                <c:pt idx="49">
                  <c:v>1</c:v>
                </c:pt>
                <c:pt idx="50">
                  <c:v>1</c:v>
                </c:pt>
                <c:pt idx="51">
                  <c:v>1</c:v>
                </c:pt>
                <c:pt idx="52">
                  <c:v>1</c:v>
                </c:pt>
                <c:pt idx="53">
                  <c:v>1</c:v>
                </c:pt>
                <c:pt idx="54">
                  <c:v>1</c:v>
                </c:pt>
                <c:pt idx="55">
                  <c:v>1</c:v>
                </c:pt>
                <c:pt idx="56">
                  <c:v>1</c:v>
                </c:pt>
                <c:pt idx="57">
                  <c:v>1</c:v>
                </c:pt>
                <c:pt idx="58">
                  <c:v>1</c:v>
                </c:pt>
                <c:pt idx="59">
                  <c:v>1</c:v>
                </c:pt>
                <c:pt idx="60">
                  <c:v>1</c:v>
                </c:pt>
                <c:pt idx="61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304697368"/>
        <c:axId val="304698544"/>
      </c:barChart>
      <c:catAx>
        <c:axId val="3046973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Alteration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04698544"/>
        <c:crosses val="autoZero"/>
        <c:auto val="1"/>
        <c:lblAlgn val="ctr"/>
        <c:lblOffset val="100"/>
        <c:noMultiLvlLbl val="0"/>
      </c:catAx>
      <c:valAx>
        <c:axId val="304698544"/>
        <c:scaling>
          <c:orientation val="minMax"/>
        </c:scaling>
        <c:delete val="0"/>
        <c:axPos val="l"/>
        <c:majorGridlines>
          <c:spPr>
            <a:ln w="31750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b="1"/>
                  <a:t>Number of occurences</a:t>
                </a:r>
              </a:p>
            </c:rich>
          </c:tx>
          <c:layout>
            <c:manualLayout>
              <c:xMode val="edge"/>
              <c:yMode val="edge"/>
              <c:x val="1.33942161339422E-2"/>
              <c:y val="0.300237745511169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046973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3191</Words>
  <Characters>18194</Characters>
  <Application>Microsoft Office Word</Application>
  <DocSecurity>0</DocSecurity>
  <Lines>151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UCSD Medical Center</Company>
  <LinksUpToDate>false</LinksUpToDate>
  <CharactersWithSpaces>21343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Goodman, Aaron</dc:creator>
  <cp:keywords/>
  <dc:description/>
  <cp:lastModifiedBy>Goodman, Aaron</cp:lastModifiedBy>
  <cp:revision>3</cp:revision>
  <dcterms:created xsi:type="dcterms:W3CDTF">2019-02-13T03:18:00Z</dcterms:created>
  <dcterms:modified xsi:type="dcterms:W3CDTF">2019-02-13T03:18:00Z</dcterms:modified>
</cp:coreProperties>
</file>