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5A20" w14:textId="57DBE38B" w:rsidR="007648EA" w:rsidRPr="008E7290" w:rsidRDefault="021EEE94" w:rsidP="001B6C57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021EEE94">
        <w:rPr>
          <w:rFonts w:eastAsiaTheme="minorEastAsia"/>
          <w:b/>
          <w:bCs/>
          <w:sz w:val="24"/>
          <w:szCs w:val="24"/>
        </w:rPr>
        <w:t xml:space="preserve">Supplemental Figure captions: </w:t>
      </w:r>
    </w:p>
    <w:p w14:paraId="0799978D" w14:textId="00189E66" w:rsidR="003D1C3A" w:rsidRPr="003D1C3A" w:rsidRDefault="021EEE94" w:rsidP="001B6C57">
      <w:pPr>
        <w:spacing w:line="360" w:lineRule="auto"/>
        <w:jc w:val="both"/>
        <w:rPr>
          <w:rFonts w:eastAsiaTheme="minorEastAsia"/>
          <w:b/>
          <w:bCs/>
          <w:sz w:val="24"/>
          <w:szCs w:val="24"/>
        </w:rPr>
      </w:pPr>
      <w:r w:rsidRPr="021EEE94">
        <w:rPr>
          <w:rFonts w:eastAsiaTheme="minorEastAsia"/>
          <w:b/>
          <w:bCs/>
          <w:sz w:val="24"/>
          <w:szCs w:val="24"/>
        </w:rPr>
        <w:t>Figure S1. Characterization of anti-PVRIG COM701 binding to PVRIG</w:t>
      </w:r>
    </w:p>
    <w:p w14:paraId="764AD4BE" w14:textId="4E236DA3" w:rsidR="00E23D01" w:rsidRPr="0061082C" w:rsidRDefault="021EEE94" w:rsidP="0061082C">
      <w:pPr>
        <w:pStyle w:val="ListParagraph"/>
        <w:spacing w:line="360" w:lineRule="auto"/>
        <w:ind w:left="0"/>
        <w:jc w:val="both"/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</w:pPr>
      <w:r w:rsidRPr="021EEE94">
        <w:rPr>
          <w:rFonts w:eastAsiaTheme="minorEastAsia"/>
          <w:sz w:val="24"/>
          <w:szCs w:val="24"/>
        </w:rPr>
        <w:t xml:space="preserve">A) Binding of anti-PVRIG (COM701) or IgG isotype control to PVRIG expressing HEK293 cells or parental HEK293 cells is shown.  B) 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high density anti-human polyclonal antibody capture surface was prepared over all horizontal spots and </w:t>
      </w:r>
      <w:proofErr w:type="spellStart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interspots</w:t>
      </w:r>
      <w:proofErr w:type="spellEnd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a GLC </w:t>
      </w:r>
      <w:proofErr w:type="spellStart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ProteOn</w:t>
      </w:r>
      <w:proofErr w:type="spellEnd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chip (Bio Rad) using standard amine coupling.  For each cycle, COM701 antibody was captured for 3 minutes at a concentration of 0.5µg/mL and six concentrations of his-tagged monomeric human PVRIG extracellular domain at a range of 482 </w:t>
      </w:r>
      <w:proofErr w:type="spellStart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  <w:proofErr w:type="spellEnd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117 </w:t>
      </w:r>
      <w:proofErr w:type="spellStart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nM</w:t>
      </w:r>
      <w:proofErr w:type="spellEnd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a 3-fold dilution series were simultaneously injected over the captured COM701 antibody for one minute, followed by 15 minutes of dissociation at a flow rate of 100µL/min.  All </w:t>
      </w:r>
      <w:proofErr w:type="spellStart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sensorgram</w:t>
      </w:r>
      <w:proofErr w:type="spellEnd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data were zeroed, aligned, and double-referenced using Scrubber P43 software (</w:t>
      </w:r>
      <w:proofErr w:type="spellStart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BioLogic</w:t>
      </w:r>
      <w:proofErr w:type="spellEnd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Ltd).  Each replicate data set was globally fit with a simple bimolecular kinetic model that included a term for mass transport using Scrubber P43 to estimate the association rate constant, k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  <w:vertAlign w:val="subscript"/>
        </w:rPr>
        <w:t>a,</w:t>
      </w:r>
      <w:r w:rsidR="00E23D01">
        <w:rPr>
          <w:rFonts w:cstheme="minorHAnsi"/>
          <w:color w:val="000000" w:themeColor="text1"/>
          <w:sz w:val="24"/>
          <w:szCs w:val="24"/>
          <w:shd w:val="clear" w:color="auto" w:fill="FFFFFF"/>
          <w:vertAlign w:val="subscript"/>
        </w:rPr>
        <w:t xml:space="preserve"> 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and the dissociation rate constant, </w:t>
      </w:r>
      <w:proofErr w:type="spellStart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k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  <w:vertAlign w:val="subscript"/>
        </w:rPr>
        <w:t>d</w:t>
      </w:r>
      <w:proofErr w:type="spellEnd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.  The equilibrium dissociation constant K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  <w:vertAlign w:val="subscript"/>
        </w:rPr>
        <w:t>D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was calculated with the ratio </w:t>
      </w:r>
      <w:proofErr w:type="spellStart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k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  <w:vertAlign w:val="subscript"/>
        </w:rPr>
        <w:t>d</w:t>
      </w:r>
      <w:proofErr w:type="spellEnd"/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>/k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  <w:vertAlign w:val="subscript"/>
        </w:rPr>
        <w:t>a</w:t>
      </w:r>
      <w:r w:rsidR="00E23D01" w:rsidRPr="003E53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The average and the 95% confidence interval were calculated for each binding constant from the three replicate measurements.  </w:t>
      </w:r>
      <w:bookmarkStart w:id="0" w:name="_GoBack"/>
      <w:bookmarkEnd w:id="0"/>
    </w:p>
    <w:p w14:paraId="341B1D05" w14:textId="759B9D69" w:rsidR="00E23D01" w:rsidRPr="0061082C" w:rsidRDefault="00E23D01" w:rsidP="0061082C">
      <w:pPr>
        <w:spacing w:line="36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14:paraId="4B4B2619" w14:textId="4389172D" w:rsidR="006253D6" w:rsidRDefault="00AD2C6C" w:rsidP="00B55978">
      <w:pPr>
        <w:spacing w:before="240" w:line="360" w:lineRule="auto"/>
        <w:jc w:val="both"/>
        <w:rPr>
          <w:rFonts w:eastAsiaTheme="minorEastAsia"/>
          <w:b/>
          <w:bCs/>
          <w:sz w:val="24"/>
          <w:szCs w:val="24"/>
        </w:rPr>
      </w:pPr>
      <w:r w:rsidRPr="021EEE94">
        <w:rPr>
          <w:rFonts w:eastAsiaTheme="minorEastAsia"/>
          <w:b/>
          <w:bCs/>
          <w:sz w:val="24"/>
          <w:szCs w:val="24"/>
        </w:rPr>
        <w:t xml:space="preserve">Figure S2: </w:t>
      </w:r>
      <w:r w:rsidR="00350938">
        <w:rPr>
          <w:rFonts w:eastAsiaTheme="minorEastAsia"/>
          <w:b/>
          <w:bCs/>
          <w:sz w:val="24"/>
          <w:szCs w:val="24"/>
        </w:rPr>
        <w:t xml:space="preserve">Receptor expression kinetics and </w:t>
      </w:r>
      <w:r w:rsidR="00350938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the ef</w:t>
      </w:r>
      <w:r w:rsidR="00350938" w:rsidRPr="021EEE94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fect of CD96, </w:t>
      </w:r>
      <w:r w:rsidR="00350938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DNAM, </w:t>
      </w:r>
      <w:r w:rsidR="00350938" w:rsidRPr="021EEE94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TIGIT, and PVRIG bl</w:t>
      </w:r>
      <w:r w:rsidR="00430F80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ockade on </w:t>
      </w:r>
      <w:r w:rsidR="00350938" w:rsidRPr="021EEE94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pp65 reactive CD8</w:t>
      </w:r>
      <w:r w:rsidR="00430F80" w:rsidRPr="00430F80">
        <w:rPr>
          <w:rFonts w:eastAsiaTheme="minorEastAsia"/>
          <w:b/>
          <w:bCs/>
          <w:color w:val="000000" w:themeColor="text1"/>
          <w:kern w:val="24"/>
          <w:sz w:val="24"/>
          <w:szCs w:val="24"/>
          <w:vertAlign w:val="superscript"/>
        </w:rPr>
        <w:t>+</w:t>
      </w:r>
      <w:r w:rsidR="00350938" w:rsidRPr="00430F80">
        <w:rPr>
          <w:rFonts w:eastAsiaTheme="minorEastAsia"/>
          <w:b/>
          <w:bCs/>
          <w:color w:val="000000" w:themeColor="text1"/>
          <w:kern w:val="24"/>
          <w:sz w:val="24"/>
          <w:szCs w:val="24"/>
          <w:vertAlign w:val="superscript"/>
        </w:rPr>
        <w:t xml:space="preserve"> </w:t>
      </w:r>
      <w:r w:rsidR="00350938" w:rsidRPr="021EEE94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T cells in co-culture with cancer cell lines.</w:t>
      </w:r>
    </w:p>
    <w:p w14:paraId="6AF2DE25" w14:textId="4031DA49" w:rsidR="00B55978" w:rsidRPr="003F4A33" w:rsidRDefault="00B55978" w:rsidP="00B55978">
      <w:pPr>
        <w:spacing w:line="360" w:lineRule="auto"/>
        <w:jc w:val="both"/>
        <w:rPr>
          <w:rFonts w:eastAsiaTheme="minorEastAsia"/>
          <w:b/>
          <w:bCs/>
          <w:sz w:val="24"/>
          <w:szCs w:val="24"/>
        </w:rPr>
      </w:pPr>
      <w:r w:rsidRPr="003F4A33">
        <w:rPr>
          <w:rFonts w:eastAsiaTheme="minorEastAsia"/>
          <w:sz w:val="24"/>
          <w:szCs w:val="24"/>
        </w:rPr>
        <w:t xml:space="preserve">PBMCs were activated with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Pr="003F4A33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 xml:space="preserve">(495 – 503)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 xml:space="preserve">peptide, IL-2, and IL-7 for 11 days.  </w:t>
      </w:r>
      <w:r w:rsidRPr="003F4A33">
        <w:rPr>
          <w:rFonts w:eastAsiaTheme="minorEastAsia"/>
          <w:sz w:val="24"/>
          <w:szCs w:val="24"/>
        </w:rPr>
        <w:t xml:space="preserve">A) Co-expression of PVRIG with TIGIT or PD-1 on day 11 activated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Pr="003F4A33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 xml:space="preserve">(495 – 503)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>specific CD8</w:t>
      </w:r>
      <w:r w:rsidRPr="003F4A33">
        <w:rPr>
          <w:rFonts w:eastAsiaTheme="minorEastAsia"/>
          <w:color w:val="000000" w:themeColor="text1"/>
          <w:kern w:val="24"/>
          <w:sz w:val="24"/>
          <w:szCs w:val="24"/>
          <w:vertAlign w:val="superscript"/>
        </w:rPr>
        <w:t>+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3F4A33">
        <w:rPr>
          <w:rFonts w:eastAsiaTheme="minorEastAsia"/>
          <w:sz w:val="24"/>
          <w:szCs w:val="24"/>
        </w:rPr>
        <w:t>T cells from a representative donor is shown. B) Expression of PVRIG,</w:t>
      </w:r>
      <w:r w:rsidRPr="003F4A33">
        <w:rPr>
          <w:rFonts w:eastAsiaTheme="minorEastAsia"/>
          <w:sz w:val="24"/>
          <w:szCs w:val="24"/>
          <w:vertAlign w:val="superscript"/>
        </w:rPr>
        <w:t xml:space="preserve"> </w:t>
      </w:r>
      <w:r w:rsidRPr="003F4A33">
        <w:rPr>
          <w:rFonts w:eastAsiaTheme="minorEastAsia"/>
          <w:sz w:val="24"/>
          <w:szCs w:val="24"/>
        </w:rPr>
        <w:t xml:space="preserve">TIGIT, PD-1, CD96, and DNAM-1 on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Pr="003F4A33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 xml:space="preserve">(495 – 503)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 xml:space="preserve">specific </w:t>
      </w:r>
      <w:r w:rsidRPr="003F4A33">
        <w:rPr>
          <w:rFonts w:eastAsiaTheme="minorEastAsia"/>
          <w:sz w:val="24"/>
          <w:szCs w:val="24"/>
        </w:rPr>
        <w:t>CD8</w:t>
      </w:r>
      <w:r w:rsidRPr="003F4A33">
        <w:rPr>
          <w:rFonts w:eastAsiaTheme="minorEastAsia"/>
          <w:sz w:val="24"/>
          <w:szCs w:val="24"/>
          <w:vertAlign w:val="superscript"/>
        </w:rPr>
        <w:t>+</w:t>
      </w:r>
      <w:r w:rsidRPr="003F4A33">
        <w:rPr>
          <w:rFonts w:eastAsiaTheme="minorEastAsia"/>
          <w:sz w:val="24"/>
          <w:szCs w:val="24"/>
        </w:rPr>
        <w:t xml:space="preserve"> T at day 0, day 3, day 5, day 7 and day 11 of activation is shown.  Additionally, co-expression kinetics of PVRIG with TIGIT or PD-1 is depicted.  Data shown are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 xml:space="preserve">average </w:t>
      </w:r>
      <w:r w:rsidRPr="0061082C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>+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 xml:space="preserve"> SEM of 3 donors.</w:t>
      </w:r>
      <w:r w:rsidRPr="021EEE94">
        <w:rPr>
          <w:rFonts w:eastAsiaTheme="minorEastAsia"/>
          <w:sz w:val="24"/>
          <w:szCs w:val="24"/>
        </w:rPr>
        <w:t xml:space="preserve"> </w:t>
      </w:r>
      <w:bookmarkStart w:id="1" w:name="OLE_LINK5"/>
      <w:r w:rsidR="00350938">
        <w:rPr>
          <w:rFonts w:eastAsiaTheme="minorEastAsia"/>
          <w:sz w:val="24"/>
          <w:szCs w:val="24"/>
        </w:rPr>
        <w:t xml:space="preserve">C) </w:t>
      </w:r>
      <w:bookmarkEnd w:id="1"/>
      <w:r w:rsidR="00322369">
        <w:rPr>
          <w:rFonts w:eastAsiaTheme="minorEastAsia"/>
          <w:sz w:val="24"/>
          <w:szCs w:val="24"/>
        </w:rPr>
        <w:t xml:space="preserve">Day 11 activated 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322369">
        <w:rPr>
          <w:rFonts w:eastAsiaTheme="minorEastAsia"/>
          <w:color w:val="000000" w:themeColor="text1"/>
          <w:kern w:val="24"/>
          <w:sz w:val="24"/>
          <w:szCs w:val="24"/>
        </w:rPr>
        <w:t>specific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 CD8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  <w:vertAlign w:val="superscript"/>
        </w:rPr>
        <w:t>+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 T cells were co-cultured with 0.03 </w:t>
      </w:r>
      <w:r w:rsidR="00350938" w:rsidRPr="021EEE94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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>g/ml pp65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 xml:space="preserve">(495 – 503) 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peptide loaded Mel-624 </w:t>
      </w:r>
      <w:r w:rsidR="00350938">
        <w:rPr>
          <w:rFonts w:eastAsiaTheme="minorEastAsia"/>
          <w:color w:val="000000" w:themeColor="text1"/>
          <w:kern w:val="24"/>
          <w:sz w:val="24"/>
          <w:szCs w:val="24"/>
        </w:rPr>
        <w:t xml:space="preserve">and Panc.05.04 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cells for 18hr in the presence of 10 </w:t>
      </w:r>
      <w:r w:rsidR="00350938" w:rsidRPr="021EEE94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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g/ml </w:t>
      </w:r>
      <w:r w:rsidR="00322369">
        <w:rPr>
          <w:rFonts w:eastAsiaTheme="minorEastAsia"/>
          <w:color w:val="000000" w:themeColor="text1"/>
          <w:kern w:val="24"/>
          <w:sz w:val="24"/>
          <w:szCs w:val="24"/>
        </w:rPr>
        <w:t xml:space="preserve">of the indicated antibodies. </w:t>
      </w:r>
      <w:r w:rsidR="00350938">
        <w:rPr>
          <w:rFonts w:eastAsiaTheme="minorEastAsia"/>
          <w:color w:val="000000" w:themeColor="text1"/>
          <w:kern w:val="24"/>
          <w:sz w:val="24"/>
          <w:szCs w:val="24"/>
        </w:rPr>
        <w:t>D)</w:t>
      </w:r>
      <w:r w:rsidR="004220A0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4220A0">
        <w:rPr>
          <w:rFonts w:eastAsiaTheme="minorEastAsia"/>
          <w:sz w:val="24"/>
          <w:szCs w:val="24"/>
        </w:rPr>
        <w:t>E</w:t>
      </w:r>
      <w:r w:rsidR="004220A0" w:rsidRPr="004220A0">
        <w:rPr>
          <w:rFonts w:eastAsiaTheme="minorEastAsia"/>
          <w:sz w:val="24"/>
          <w:szCs w:val="24"/>
        </w:rPr>
        <w:t xml:space="preserve">xpression of PVRIG on activated 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 xml:space="preserve">(495 – 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lastRenderedPageBreak/>
        <w:t xml:space="preserve">503) </w:t>
      </w:r>
      <w:r w:rsidR="004220A0" w:rsidRPr="004220A0">
        <w:rPr>
          <w:rFonts w:eastAsiaTheme="minorEastAsia"/>
          <w:sz w:val="24"/>
          <w:szCs w:val="24"/>
        </w:rPr>
        <w:t>specific CD8</w:t>
      </w:r>
      <w:r w:rsidR="004220A0" w:rsidRPr="004220A0">
        <w:rPr>
          <w:rFonts w:eastAsiaTheme="minorEastAsia"/>
          <w:sz w:val="24"/>
          <w:szCs w:val="24"/>
          <w:vertAlign w:val="superscript"/>
        </w:rPr>
        <w:t>+</w:t>
      </w:r>
      <w:r w:rsidR="004220A0" w:rsidRPr="004220A0">
        <w:rPr>
          <w:rFonts w:eastAsiaTheme="minorEastAsia"/>
          <w:sz w:val="24"/>
          <w:szCs w:val="24"/>
        </w:rPr>
        <w:t xml:space="preserve"> T cells from 10 donors is shown. 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</w:rPr>
        <w:t xml:space="preserve"> reactive T cells from 3 donors of varying PVRIG expression</w:t>
      </w:r>
      <w:r w:rsidR="004220A0">
        <w:rPr>
          <w:rFonts w:eastAsiaTheme="minorEastAsia"/>
          <w:color w:val="000000" w:themeColor="text1"/>
          <w:kern w:val="24"/>
          <w:sz w:val="24"/>
          <w:szCs w:val="24"/>
        </w:rPr>
        <w:t xml:space="preserve"> (high, medium and low)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</w:rPr>
        <w:t xml:space="preserve"> were co-cultured with 0.03 </w:t>
      </w:r>
      <w:r w:rsidR="004220A0" w:rsidRPr="004220A0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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</w:rPr>
        <w:t>g/ml pp65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</w:t>
      </w:r>
      <w:r w:rsidR="004220A0" w:rsidRPr="021EEE94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03)</w:t>
      </w:r>
      <w:r w:rsidR="00DC4FC6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4220A0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peptide </w:t>
      </w:r>
      <w:r w:rsidR="00322369">
        <w:rPr>
          <w:rFonts w:eastAsiaTheme="minorEastAsia"/>
          <w:color w:val="000000" w:themeColor="text1"/>
          <w:kern w:val="24"/>
          <w:sz w:val="24"/>
          <w:szCs w:val="24"/>
        </w:rPr>
        <w:t xml:space="preserve">loaded Panc.05.04 </w:t>
      </w:r>
      <w:r w:rsidR="004220A0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cells for 18hr in the presence of 10 </w:t>
      </w:r>
      <w:r w:rsidR="004220A0" w:rsidRPr="021EEE94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</w:t>
      </w:r>
      <w:r w:rsidR="004220A0" w:rsidRPr="021EEE94">
        <w:rPr>
          <w:rFonts w:eastAsiaTheme="minorEastAsia"/>
          <w:color w:val="000000" w:themeColor="text1"/>
          <w:kern w:val="24"/>
          <w:sz w:val="24"/>
          <w:szCs w:val="24"/>
        </w:rPr>
        <w:t>g/ml anti-PVRIG</w:t>
      </w:r>
      <w:r w:rsidR="004220A0">
        <w:rPr>
          <w:rFonts w:eastAsiaTheme="minorEastAsia"/>
          <w:color w:val="000000" w:themeColor="text1"/>
          <w:kern w:val="24"/>
          <w:sz w:val="24"/>
          <w:szCs w:val="24"/>
        </w:rPr>
        <w:t xml:space="preserve"> or isotype.</w:t>
      </w:r>
      <w:r w:rsidR="004220A0" w:rsidRPr="004220A0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350938">
        <w:rPr>
          <w:rFonts w:eastAsiaTheme="minorEastAsia"/>
          <w:color w:val="000000" w:themeColor="text1"/>
          <w:kern w:val="24"/>
          <w:sz w:val="24"/>
          <w:szCs w:val="24"/>
        </w:rPr>
        <w:t>E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>) pp65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 reactive T cells were co-cultured with 0.03 </w:t>
      </w:r>
      <w:r w:rsidR="00350938" w:rsidRPr="021EEE94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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>g/ml pp65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="00DC4FC6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322369">
        <w:rPr>
          <w:rFonts w:eastAsiaTheme="minorEastAsia"/>
          <w:color w:val="000000" w:themeColor="text1"/>
          <w:kern w:val="24"/>
          <w:sz w:val="24"/>
          <w:szCs w:val="24"/>
        </w:rPr>
        <w:t xml:space="preserve">peptide loaded Panc.05.04 </w:t>
      </w:r>
      <w:r w:rsidR="00350938" w:rsidRPr="021EEE94">
        <w:rPr>
          <w:rFonts w:eastAsiaTheme="minorEastAsia"/>
          <w:color w:val="000000" w:themeColor="text1"/>
          <w:kern w:val="24"/>
          <w:sz w:val="24"/>
          <w:szCs w:val="24"/>
        </w:rPr>
        <w:t xml:space="preserve">cells for 18hr in </w:t>
      </w:r>
      <w:r w:rsidR="00350938" w:rsidRPr="00EF24D7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 presence of 10 </w:t>
      </w:r>
      <w:r w:rsidR="00EF24D7">
        <w:rPr>
          <w:rFonts w:eastAsia="Symbol" w:cstheme="minorHAnsi"/>
          <w:color w:val="000000" w:themeColor="text1"/>
          <w:kern w:val="24"/>
          <w:sz w:val="24"/>
          <w:szCs w:val="24"/>
        </w:rPr>
        <w:t>µ</w:t>
      </w:r>
      <w:r w:rsidR="00350938" w:rsidRPr="00EF24D7">
        <w:rPr>
          <w:rFonts w:eastAsiaTheme="minorEastAsia" w:cstheme="minorHAnsi"/>
          <w:color w:val="000000" w:themeColor="text1"/>
          <w:kern w:val="24"/>
          <w:sz w:val="24"/>
          <w:szCs w:val="24"/>
        </w:rPr>
        <w:t>g/ml anti-PVRIG, anti-TIGIT, anti-PVRIG and a</w:t>
      </w:r>
      <w:r w:rsidR="00DC4FC6" w:rsidRPr="00EF24D7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nti-TIGIT, or isotype control. </w:t>
      </w:r>
      <w:r w:rsidR="00DC4FC6" w:rsidRPr="0061082C">
        <w:rPr>
          <w:rFonts w:eastAsiaTheme="minorEastAsia" w:cstheme="minorHAnsi"/>
          <w:color w:val="000000" w:themeColor="text1"/>
          <w:kern w:val="24"/>
          <w:sz w:val="24"/>
          <w:szCs w:val="24"/>
        </w:rPr>
        <w:t>F)</w:t>
      </w:r>
      <w:r w:rsidRPr="00B55978">
        <w:rPr>
          <w:rFonts w:eastAsiaTheme="minorEastAsia" w:cstheme="minorHAnsi"/>
          <w:sz w:val="24"/>
          <w:szCs w:val="24"/>
        </w:rPr>
        <w:t xml:space="preserve"> </w:t>
      </w:r>
      <w:r w:rsidRPr="003F4A33">
        <w:rPr>
          <w:rFonts w:eastAsiaTheme="minorEastAsia" w:cstheme="minorHAnsi"/>
          <w:sz w:val="24"/>
          <w:szCs w:val="24"/>
        </w:rPr>
        <w:t xml:space="preserve">Expression of DNAM-1 (filled) relative to IgG (line) on activated </w:t>
      </w:r>
      <w:r w:rsidRPr="003F4A33">
        <w:rPr>
          <w:rFonts w:eastAsiaTheme="minorEastAsia" w:cstheme="minorHAnsi"/>
          <w:color w:val="000000" w:themeColor="text1"/>
          <w:kern w:val="24"/>
          <w:sz w:val="24"/>
          <w:szCs w:val="24"/>
        </w:rPr>
        <w:t>pp65</w:t>
      </w:r>
      <w:r w:rsidRPr="003F4A33">
        <w:rPr>
          <w:rFonts w:eastAsiaTheme="minorEastAsia" w:cstheme="minorHAnsi"/>
          <w:color w:val="000000" w:themeColor="text1"/>
          <w:kern w:val="24"/>
          <w:sz w:val="24"/>
          <w:szCs w:val="24"/>
          <w:vertAlign w:val="subscript"/>
        </w:rPr>
        <w:t xml:space="preserve">(495 – 503) </w:t>
      </w:r>
      <w:r w:rsidRPr="003F4A33">
        <w:rPr>
          <w:rFonts w:eastAsiaTheme="minorEastAsia" w:cstheme="minorHAnsi"/>
          <w:sz w:val="24"/>
          <w:szCs w:val="24"/>
        </w:rPr>
        <w:t>specific CD8</w:t>
      </w:r>
      <w:r w:rsidRPr="003F4A33">
        <w:rPr>
          <w:rFonts w:eastAsiaTheme="minorEastAsia" w:cstheme="minorHAnsi"/>
          <w:sz w:val="24"/>
          <w:szCs w:val="24"/>
          <w:vertAlign w:val="superscript"/>
        </w:rPr>
        <w:t>+</w:t>
      </w:r>
      <w:r w:rsidRPr="003F4A33">
        <w:rPr>
          <w:rFonts w:eastAsiaTheme="minorEastAsia" w:cstheme="minorHAnsi"/>
          <w:sz w:val="24"/>
          <w:szCs w:val="24"/>
        </w:rPr>
        <w:t xml:space="preserve"> T cells is shown.  G, H) </w:t>
      </w:r>
      <w:r w:rsidRPr="003F4A33">
        <w:rPr>
          <w:rFonts w:eastAsiaTheme="minorEastAsia" w:cstheme="minorHAnsi"/>
          <w:color w:val="000000" w:themeColor="text1"/>
          <w:kern w:val="24"/>
          <w:sz w:val="24"/>
          <w:szCs w:val="24"/>
        </w:rPr>
        <w:t>pp65</w:t>
      </w:r>
      <w:r w:rsidRPr="003F4A33">
        <w:rPr>
          <w:rFonts w:eastAsiaTheme="minorEastAsia" w:cstheme="minorHAnsi"/>
          <w:color w:val="000000" w:themeColor="text1"/>
          <w:kern w:val="24"/>
          <w:sz w:val="24"/>
          <w:szCs w:val="24"/>
          <w:vertAlign w:val="subscript"/>
        </w:rPr>
        <w:t>(495 – 503)</w:t>
      </w:r>
      <w:r w:rsidRPr="003F4A3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reactive T cells were co-cultured with 0.03 </w:t>
      </w:r>
      <w:r w:rsidRPr="003F4A33">
        <w:rPr>
          <w:rFonts w:eastAsia="Symbol" w:cstheme="minorHAnsi"/>
          <w:color w:val="000000" w:themeColor="text1"/>
          <w:kern w:val="24"/>
          <w:sz w:val="24"/>
          <w:szCs w:val="24"/>
        </w:rPr>
        <w:t>µ</w:t>
      </w:r>
      <w:r w:rsidRPr="003F4A33">
        <w:rPr>
          <w:rFonts w:eastAsiaTheme="minorEastAsia" w:cstheme="minorHAnsi"/>
          <w:color w:val="000000" w:themeColor="text1"/>
          <w:kern w:val="24"/>
          <w:sz w:val="24"/>
          <w:szCs w:val="24"/>
        </w:rPr>
        <w:t>g/ml pp65</w:t>
      </w:r>
      <w:r w:rsidRPr="003F4A33">
        <w:rPr>
          <w:rFonts w:eastAsiaTheme="minorEastAsia" w:cstheme="minorHAnsi"/>
          <w:color w:val="000000" w:themeColor="text1"/>
          <w:kern w:val="24"/>
          <w:sz w:val="24"/>
          <w:szCs w:val="24"/>
          <w:vertAlign w:val="subscript"/>
        </w:rPr>
        <w:t>(495 – 503)</w:t>
      </w:r>
      <w:r w:rsidRPr="003F4A3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peptide loaded Panc.05.04 cells for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 xml:space="preserve"> 18hr in the presence of 10 </w:t>
      </w:r>
      <w:r w:rsidRPr="003F4A33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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>g/ml anti-PVRIG, anti-DNAM-1, anti-PVRIG and anti-DNAM-1 in combination, or isotype control.</w:t>
      </w:r>
      <w:r w:rsidRPr="003F4A33">
        <w:rPr>
          <w:rFonts w:eastAsiaTheme="minorEastAsia"/>
        </w:rPr>
        <w:t xml:space="preserve"> </w:t>
      </w:r>
      <w:r w:rsidR="00FC7556">
        <w:rPr>
          <w:rFonts w:eastAsiaTheme="minorEastAsia"/>
        </w:rPr>
        <w:t xml:space="preserve">I) 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</w:rPr>
        <w:t xml:space="preserve">10 </w:t>
      </w:r>
      <w:r w:rsidR="00FC7556" w:rsidRPr="003F4A33">
        <w:rPr>
          <w:rFonts w:ascii="Symbol" w:eastAsiaTheme="minorEastAsia" w:hAnsi="Symbol"/>
          <w:bCs/>
          <w:color w:val="000000" w:themeColor="text1"/>
          <w:sz w:val="24"/>
          <w:szCs w:val="24"/>
        </w:rPr>
        <w:t>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</w:rPr>
        <w:t xml:space="preserve">g/ml anti-CD3 (OKT3) and 10 </w:t>
      </w:r>
      <w:r w:rsidR="00FC7556" w:rsidRPr="003F4A33">
        <w:rPr>
          <w:rFonts w:ascii="Symbol" w:eastAsiaTheme="minorEastAsia" w:hAnsi="Symbol"/>
          <w:bCs/>
          <w:color w:val="000000" w:themeColor="text1"/>
          <w:sz w:val="24"/>
          <w:szCs w:val="24"/>
        </w:rPr>
        <w:t>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</w:rPr>
        <w:t>g/ml of anti-PVRIG was coated overnight at 4</w:t>
      </w:r>
      <w:r w:rsidR="00FC7556" w:rsidRPr="003F4A33">
        <w:rPr>
          <w:rFonts w:eastAsiaTheme="minorEastAsia" w:cstheme="minorHAnsi"/>
          <w:bCs/>
          <w:color w:val="000000" w:themeColor="text1"/>
          <w:sz w:val="24"/>
          <w:szCs w:val="24"/>
        </w:rPr>
        <w:t>°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</w:rPr>
        <w:t>C on non-tissue culture treated flat bottom plates. 100,000 resting CFSE labeled CD3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  <w:vertAlign w:val="superscript"/>
        </w:rPr>
        <w:t>+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</w:rPr>
        <w:t xml:space="preserve"> T cells were added to each well and incubated for 3 days. After 3 days co-culture, CD4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  <w:vertAlign w:val="superscript"/>
        </w:rPr>
        <w:t>+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</w:rPr>
        <w:t xml:space="preserve"> and CD8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  <w:vertAlign w:val="superscript"/>
        </w:rPr>
        <w:t>+</w:t>
      </w:r>
      <w:r w:rsidR="00FC7556" w:rsidRPr="003F4A33">
        <w:rPr>
          <w:rFonts w:eastAsiaTheme="minorEastAsia"/>
          <w:bCs/>
          <w:color w:val="000000" w:themeColor="text1"/>
          <w:sz w:val="24"/>
          <w:szCs w:val="24"/>
        </w:rPr>
        <w:t xml:space="preserve"> </w:t>
      </w:r>
      <w:r w:rsidR="00FC7556" w:rsidRPr="003F4A33">
        <w:rPr>
          <w:rFonts w:eastAsiaTheme="minorEastAsia"/>
          <w:sz w:val="24"/>
          <w:szCs w:val="24"/>
        </w:rPr>
        <w:t xml:space="preserve">T cells were gated and % </w:t>
      </w:r>
      <w:proofErr w:type="spellStart"/>
      <w:r w:rsidR="00FC7556" w:rsidRPr="003F4A33">
        <w:rPr>
          <w:rFonts w:eastAsiaTheme="minorEastAsia"/>
          <w:sz w:val="24"/>
          <w:szCs w:val="24"/>
        </w:rPr>
        <w:t>CFSE</w:t>
      </w:r>
      <w:r w:rsidR="00FC7556" w:rsidRPr="003F4A33">
        <w:rPr>
          <w:rFonts w:eastAsiaTheme="minorEastAsia"/>
          <w:sz w:val="24"/>
          <w:szCs w:val="24"/>
          <w:vertAlign w:val="superscript"/>
        </w:rPr>
        <w:t>lo</w:t>
      </w:r>
      <w:proofErr w:type="spellEnd"/>
      <w:r w:rsidR="00FC7556" w:rsidRPr="003F4A33">
        <w:rPr>
          <w:rFonts w:eastAsiaTheme="minorEastAsia"/>
          <w:sz w:val="24"/>
          <w:szCs w:val="24"/>
        </w:rPr>
        <w:t xml:space="preserve"> proliferated cells were determined. </w:t>
      </w:r>
      <w:r w:rsidR="00FC7556">
        <w:rPr>
          <w:rFonts w:eastAsiaTheme="minorEastAsia"/>
          <w:sz w:val="24"/>
          <w:szCs w:val="24"/>
        </w:rPr>
        <w:t xml:space="preserve"> </w:t>
      </w:r>
      <w:r w:rsidRPr="003F4A33">
        <w:rPr>
          <w:rFonts w:eastAsiaTheme="minorEastAsia"/>
        </w:rPr>
        <w:t xml:space="preserve">For C, D, E, G, H,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>bar graphs show the average + standard deviation for cytokine levels.</w:t>
      </w:r>
    </w:p>
    <w:p w14:paraId="5B2C4E04" w14:textId="1DEEBDC5" w:rsidR="006253D6" w:rsidRPr="00B55978" w:rsidRDefault="006253D6" w:rsidP="004220A0">
      <w:pPr>
        <w:spacing w:line="360" w:lineRule="auto"/>
        <w:jc w:val="both"/>
        <w:rPr>
          <w:rFonts w:eastAsiaTheme="minorEastAsia"/>
          <w:b/>
          <w:bCs/>
          <w:sz w:val="24"/>
          <w:szCs w:val="24"/>
        </w:rPr>
      </w:pPr>
    </w:p>
    <w:p w14:paraId="21A8CE43" w14:textId="69C3C65F" w:rsidR="00D9757D" w:rsidRDefault="00350938" w:rsidP="00D9757D">
      <w:pPr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21EEE94">
        <w:rPr>
          <w:rFonts w:eastAsiaTheme="minorEastAsia"/>
          <w:b/>
          <w:bCs/>
          <w:sz w:val="24"/>
          <w:szCs w:val="24"/>
        </w:rPr>
        <w:t xml:space="preserve">Figure S3: </w:t>
      </w:r>
    </w:p>
    <w:p w14:paraId="03616201" w14:textId="544A18D3" w:rsidR="00FC7556" w:rsidRPr="00E40453" w:rsidRDefault="00B55978" w:rsidP="00FC7556">
      <w:pPr>
        <w:pStyle w:val="ListParagraph"/>
        <w:spacing w:line="360" w:lineRule="auto"/>
        <w:ind w:left="0"/>
        <w:jc w:val="both"/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</w:pPr>
      <w:r w:rsidRPr="003F4A33">
        <w:rPr>
          <w:rFonts w:eastAsiaTheme="minorEastAsia"/>
          <w:bCs/>
          <w:color w:val="000000" w:themeColor="text1"/>
          <w:sz w:val="24"/>
          <w:szCs w:val="24"/>
        </w:rPr>
        <w:t xml:space="preserve">A) </w:t>
      </w:r>
      <w:r w:rsidR="00FC7556" w:rsidRPr="021EEE94">
        <w:rPr>
          <w:rFonts w:eastAsiaTheme="minorEastAsia"/>
          <w:sz w:val="24"/>
          <w:szCs w:val="24"/>
        </w:rPr>
        <w:t xml:space="preserve">Surface plasmon resonance </w:t>
      </w:r>
      <w:r w:rsidR="00FC7556">
        <w:rPr>
          <w:rFonts w:eastAsiaTheme="minorEastAsia"/>
          <w:sz w:val="24"/>
          <w:szCs w:val="24"/>
        </w:rPr>
        <w:t>measurement</w:t>
      </w:r>
      <w:r w:rsidR="00FC7556" w:rsidRPr="021EEE94">
        <w:rPr>
          <w:rFonts w:eastAsiaTheme="minorEastAsia"/>
          <w:sz w:val="24"/>
          <w:szCs w:val="24"/>
        </w:rPr>
        <w:t xml:space="preserve"> of human </w:t>
      </w:r>
      <w:r w:rsidR="00FC7556">
        <w:rPr>
          <w:rFonts w:eastAsiaTheme="minorEastAsia"/>
          <w:sz w:val="24"/>
          <w:szCs w:val="24"/>
        </w:rPr>
        <w:t>PVRL2 binding to TIGIT</w:t>
      </w:r>
      <w:r w:rsidR="00FC7556" w:rsidRPr="021EEE94">
        <w:rPr>
          <w:rFonts w:eastAsiaTheme="minorEastAsia"/>
          <w:sz w:val="24"/>
          <w:szCs w:val="24"/>
        </w:rPr>
        <w:t xml:space="preserve"> captured to the biosensor chip surface is shown.  </w:t>
      </w:r>
      <w:r w:rsidR="00FC7556">
        <w:rPr>
          <w:rFonts w:eastAsiaTheme="minorEastAsia"/>
          <w:sz w:val="24"/>
          <w:szCs w:val="24"/>
        </w:rPr>
        <w:t xml:space="preserve"> </w:t>
      </w:r>
      <w:r w:rsidRPr="003F4A33">
        <w:rPr>
          <w:rFonts w:eastAsiaTheme="minorEastAsia"/>
          <w:sz w:val="24"/>
          <w:szCs w:val="24"/>
        </w:rPr>
        <w:t xml:space="preserve">B)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Pr="003F4A33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Pr="003F4A33">
        <w:rPr>
          <w:color w:val="000000" w:themeColor="text1"/>
          <w:kern w:val="24"/>
        </w:rPr>
        <w:t xml:space="preserve"> </w:t>
      </w:r>
      <w:r w:rsidRPr="003F4A33">
        <w:rPr>
          <w:color w:val="000000" w:themeColor="text1"/>
          <w:kern w:val="24"/>
          <w:sz w:val="24"/>
          <w:szCs w:val="24"/>
        </w:rPr>
        <w:t xml:space="preserve">specific T cells from 2 donors were co-cultured with </w:t>
      </w:r>
      <w:r w:rsidRPr="003F4A33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Pr="003F4A33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Pr="003F4A33">
        <w:rPr>
          <w:color w:val="000000" w:themeColor="text1"/>
          <w:kern w:val="24"/>
        </w:rPr>
        <w:t xml:space="preserve"> </w:t>
      </w:r>
      <w:r w:rsidRPr="003F4A33">
        <w:rPr>
          <w:color w:val="000000" w:themeColor="text1"/>
          <w:kern w:val="24"/>
          <w:sz w:val="24"/>
          <w:szCs w:val="24"/>
        </w:rPr>
        <w:t>peptide loaded Mel-624 cells for 18 hours in the presence of 10 µg/ml anti-PVRIG, anti-TIGIT, anti-PVR, anti-PVRL2 or isotype control either alone or in combination. Levels of IFN-</w:t>
      </w:r>
      <w:r w:rsidRPr="003F4A33">
        <w:rPr>
          <w:rFonts w:ascii="Symbol" w:hAnsi="Symbol"/>
          <w:color w:val="000000" w:themeColor="text1"/>
          <w:kern w:val="24"/>
          <w:sz w:val="24"/>
          <w:szCs w:val="24"/>
        </w:rPr>
        <w:t></w:t>
      </w:r>
      <w:r w:rsidRPr="003F4A33">
        <w:rPr>
          <w:color w:val="000000" w:themeColor="text1"/>
          <w:kern w:val="24"/>
          <w:sz w:val="24"/>
          <w:szCs w:val="24"/>
        </w:rPr>
        <w:t xml:space="preserve"> were assessed and average </w:t>
      </w:r>
      <w:r w:rsidRPr="0061082C">
        <w:rPr>
          <w:color w:val="000000" w:themeColor="text1"/>
          <w:kern w:val="24"/>
          <w:sz w:val="24"/>
          <w:szCs w:val="24"/>
          <w:u w:val="single"/>
        </w:rPr>
        <w:t>+</w:t>
      </w:r>
      <w:r w:rsidRPr="003F4A33">
        <w:rPr>
          <w:color w:val="000000" w:themeColor="text1"/>
          <w:kern w:val="24"/>
          <w:sz w:val="24"/>
          <w:szCs w:val="24"/>
        </w:rPr>
        <w:t xml:space="preserve"> </w:t>
      </w:r>
      <w:r w:rsidR="00186A09">
        <w:rPr>
          <w:color w:val="000000" w:themeColor="text1"/>
          <w:kern w:val="24"/>
          <w:sz w:val="24"/>
          <w:szCs w:val="24"/>
        </w:rPr>
        <w:t xml:space="preserve">SD </w:t>
      </w:r>
      <w:r w:rsidRPr="003F4A33">
        <w:rPr>
          <w:color w:val="000000" w:themeColor="text1"/>
          <w:kern w:val="24"/>
          <w:sz w:val="24"/>
          <w:szCs w:val="24"/>
        </w:rPr>
        <w:t xml:space="preserve">for each donor shown.  </w:t>
      </w:r>
      <w:r w:rsidR="00BE1AE7">
        <w:rPr>
          <w:color w:val="000000" w:themeColor="text1"/>
          <w:kern w:val="24"/>
          <w:sz w:val="24"/>
          <w:szCs w:val="24"/>
        </w:rPr>
        <w:t>C</w:t>
      </w:r>
      <w:r w:rsidR="005D532C">
        <w:rPr>
          <w:color w:val="000000" w:themeColor="text1"/>
          <w:kern w:val="24"/>
          <w:sz w:val="24"/>
          <w:szCs w:val="24"/>
        </w:rPr>
        <w:t xml:space="preserve">) </w:t>
      </w:r>
      <w:r w:rsidR="00D9757D" w:rsidRPr="00711770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="00D9757D" w:rsidRPr="00711770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="00D9757D" w:rsidRPr="00711770">
        <w:rPr>
          <w:color w:val="000000" w:themeColor="text1"/>
          <w:kern w:val="24"/>
        </w:rPr>
        <w:t xml:space="preserve"> </w:t>
      </w:r>
      <w:r w:rsidR="00D9757D" w:rsidRPr="00711770">
        <w:rPr>
          <w:color w:val="000000" w:themeColor="text1"/>
          <w:kern w:val="24"/>
          <w:sz w:val="24"/>
          <w:szCs w:val="24"/>
        </w:rPr>
        <w:t xml:space="preserve">specific T cells from 2 donors were co-cultured with </w:t>
      </w:r>
      <w:r w:rsidR="00D9757D" w:rsidRPr="00711770">
        <w:rPr>
          <w:rFonts w:eastAsiaTheme="minorEastAsia"/>
          <w:color w:val="000000" w:themeColor="text1"/>
          <w:kern w:val="24"/>
          <w:sz w:val="24"/>
          <w:szCs w:val="24"/>
        </w:rPr>
        <w:t>pp65</w:t>
      </w:r>
      <w:r w:rsidR="00D9757D" w:rsidRPr="00711770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="00D9757D" w:rsidRPr="00711770">
        <w:rPr>
          <w:color w:val="000000" w:themeColor="text1"/>
          <w:kern w:val="24"/>
        </w:rPr>
        <w:t xml:space="preserve"> </w:t>
      </w:r>
      <w:r w:rsidR="00D9757D" w:rsidRPr="00711770">
        <w:rPr>
          <w:color w:val="000000" w:themeColor="text1"/>
          <w:kern w:val="24"/>
          <w:sz w:val="24"/>
          <w:szCs w:val="24"/>
        </w:rPr>
        <w:t>peptide loaded Panc.05.04 cells for 18 hours in the presence of 10 µg/ml anti-PVRIG, anti-TIGIT, anti-PD-1 or isotype control either in dual or triple combination.  After 18hr, conditioned media were assayed for IFN-</w:t>
      </w:r>
      <w:r w:rsidR="00D9757D" w:rsidRPr="00711770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</w:t>
      </w:r>
      <w:r w:rsidR="00D9757D" w:rsidRPr="00711770">
        <w:rPr>
          <w:color w:val="000000" w:themeColor="text1"/>
          <w:kern w:val="24"/>
          <w:sz w:val="24"/>
          <w:szCs w:val="24"/>
        </w:rPr>
        <w:t xml:space="preserve"> secretion. </w:t>
      </w:r>
      <w:r w:rsidR="00D9757D" w:rsidRPr="00711770">
        <w:rPr>
          <w:rFonts w:eastAsiaTheme="minorEastAsia"/>
          <w:sz w:val="24"/>
          <w:szCs w:val="24"/>
        </w:rPr>
        <w:t xml:space="preserve"> </w:t>
      </w:r>
      <w:r w:rsidR="00BE1AE7">
        <w:rPr>
          <w:rFonts w:eastAsiaTheme="minorEastAsia"/>
          <w:color w:val="000000" w:themeColor="text1"/>
          <w:kern w:val="24"/>
          <w:sz w:val="24"/>
          <w:szCs w:val="24"/>
        </w:rPr>
        <w:t>D-G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</w:rPr>
        <w:t>) pp65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</w:rPr>
        <w:t xml:space="preserve"> reactive T cells were co-cultured with 0.03 </w:t>
      </w:r>
      <w:r w:rsidR="00350938" w:rsidRPr="00711770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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</w:rPr>
        <w:t>g/ml pp65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  <w:vertAlign w:val="subscript"/>
        </w:rPr>
        <w:t>(495 – 503)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</w:rPr>
        <w:t xml:space="preserve"> peptide loaded Panc05.04 cells for 18hr in the presence of 10 </w:t>
      </w:r>
      <w:r w:rsidR="00350938" w:rsidRPr="00711770">
        <w:rPr>
          <w:rFonts w:ascii="Symbol" w:eastAsia="Symbol" w:hAnsi="Symbol" w:cs="Symbol"/>
          <w:color w:val="000000" w:themeColor="text1"/>
          <w:kern w:val="24"/>
          <w:sz w:val="24"/>
          <w:szCs w:val="24"/>
        </w:rPr>
        <w:t>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</w:rPr>
        <w:t xml:space="preserve">g/ml </w:t>
      </w:r>
      <w:r w:rsidR="00322369">
        <w:rPr>
          <w:rFonts w:eastAsiaTheme="minorEastAsia"/>
          <w:color w:val="000000" w:themeColor="text1"/>
          <w:kern w:val="24"/>
          <w:sz w:val="24"/>
          <w:szCs w:val="24"/>
        </w:rPr>
        <w:t>of the indicated antibody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</w:rPr>
        <w:t>.  After co-culture, non-adherent cells were removed and stained for TIM</w:t>
      </w:r>
      <w:r w:rsidR="009E557A">
        <w:rPr>
          <w:rFonts w:eastAsiaTheme="minorEastAsia"/>
          <w:color w:val="000000" w:themeColor="text1"/>
          <w:kern w:val="24"/>
          <w:sz w:val="24"/>
          <w:szCs w:val="24"/>
        </w:rPr>
        <w:t>3</w:t>
      </w:r>
      <w:r w:rsidR="00BE1AE7">
        <w:rPr>
          <w:rFonts w:eastAsiaTheme="minorEastAsia"/>
          <w:color w:val="000000" w:themeColor="text1"/>
          <w:kern w:val="24"/>
          <w:sz w:val="24"/>
          <w:szCs w:val="24"/>
        </w:rPr>
        <w:t xml:space="preserve"> (D)</w:t>
      </w:r>
      <w:r w:rsidR="00322369">
        <w:rPr>
          <w:rFonts w:eastAsiaTheme="minorEastAsia"/>
          <w:color w:val="000000" w:themeColor="text1"/>
          <w:kern w:val="24"/>
          <w:sz w:val="24"/>
          <w:szCs w:val="24"/>
        </w:rPr>
        <w:t>,</w:t>
      </w:r>
      <w:r w:rsidR="009E557A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BE1AE7">
        <w:rPr>
          <w:rFonts w:eastAsiaTheme="minorEastAsia"/>
          <w:color w:val="000000" w:themeColor="text1"/>
          <w:kern w:val="24"/>
          <w:sz w:val="24"/>
          <w:szCs w:val="24"/>
        </w:rPr>
        <w:t xml:space="preserve">LAG-3(E), </w:t>
      </w:r>
      <w:r w:rsidR="009B487E">
        <w:rPr>
          <w:rFonts w:eastAsiaTheme="minorEastAsia"/>
          <w:color w:val="000000" w:themeColor="text1"/>
          <w:kern w:val="24"/>
          <w:sz w:val="24"/>
          <w:szCs w:val="24"/>
        </w:rPr>
        <w:t>PD-1 (F</w:t>
      </w:r>
      <w:r w:rsidR="00BE1AE7">
        <w:rPr>
          <w:rFonts w:eastAsiaTheme="minorEastAsia"/>
          <w:color w:val="000000" w:themeColor="text1"/>
          <w:kern w:val="24"/>
          <w:sz w:val="24"/>
          <w:szCs w:val="24"/>
        </w:rPr>
        <w:t>)</w:t>
      </w:r>
      <w:r w:rsidR="009B487E">
        <w:rPr>
          <w:rFonts w:eastAsiaTheme="minorEastAsia"/>
          <w:color w:val="000000" w:themeColor="text1"/>
          <w:kern w:val="24"/>
          <w:sz w:val="24"/>
          <w:szCs w:val="24"/>
        </w:rPr>
        <w:t>, and PVRIG (G)</w:t>
      </w:r>
      <w:r w:rsidR="00350938" w:rsidRPr="00711770">
        <w:rPr>
          <w:rFonts w:eastAsiaTheme="minorEastAsia"/>
          <w:color w:val="000000" w:themeColor="text1"/>
          <w:kern w:val="24"/>
          <w:sz w:val="24"/>
          <w:szCs w:val="24"/>
        </w:rPr>
        <w:t xml:space="preserve">. </w:t>
      </w:r>
      <w:r w:rsidR="0032236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D9757D" w:rsidRPr="00711770">
        <w:rPr>
          <w:rFonts w:eastAsiaTheme="minorEastAsia"/>
          <w:color w:val="000000" w:themeColor="text1"/>
          <w:kern w:val="24"/>
          <w:sz w:val="24"/>
          <w:szCs w:val="24"/>
        </w:rPr>
        <w:t>Solid line represents isotype condition, dotted line represents anti-PVRIG, and dashed line</w:t>
      </w:r>
      <w:r w:rsidR="005D532C">
        <w:rPr>
          <w:rFonts w:eastAsiaTheme="minorEastAsia"/>
          <w:color w:val="000000" w:themeColor="text1"/>
          <w:kern w:val="24"/>
          <w:sz w:val="24"/>
          <w:szCs w:val="24"/>
        </w:rPr>
        <w:t>/dashed-dot line</w:t>
      </w:r>
      <w:r w:rsidR="00D9757D" w:rsidRPr="00711770">
        <w:rPr>
          <w:rFonts w:eastAsiaTheme="minorEastAsia"/>
          <w:color w:val="000000" w:themeColor="text1"/>
          <w:kern w:val="24"/>
          <w:sz w:val="24"/>
          <w:szCs w:val="24"/>
        </w:rPr>
        <w:t xml:space="preserve"> represents anti-TIGIT or anti-PD-1.  Data are representative of two donors and n </w:t>
      </w:r>
      <w:r w:rsidR="00D9757D" w:rsidRPr="00711770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>&gt;</w:t>
      </w:r>
      <w:r w:rsidR="00D9757D" w:rsidRPr="00711770">
        <w:rPr>
          <w:rFonts w:eastAsiaTheme="minorEastAsia"/>
          <w:color w:val="000000" w:themeColor="text1"/>
          <w:kern w:val="24"/>
          <w:sz w:val="24"/>
          <w:szCs w:val="24"/>
        </w:rPr>
        <w:t xml:space="preserve"> 3 experiments. </w:t>
      </w:r>
      <w:r w:rsidR="00FC7556">
        <w:rPr>
          <w:rFonts w:eastAsiaTheme="minorEastAsia"/>
          <w:color w:val="000000" w:themeColor="text1"/>
          <w:kern w:val="24"/>
          <w:sz w:val="24"/>
          <w:szCs w:val="24"/>
        </w:rPr>
        <w:t xml:space="preserve">  H)</w:t>
      </w:r>
      <w:r w:rsidR="00FC7556" w:rsidRPr="00FC7556">
        <w:rPr>
          <w:rFonts w:eastAsiaTheme="minorEastAsia"/>
          <w:sz w:val="24"/>
          <w:szCs w:val="24"/>
        </w:rPr>
        <w:t xml:space="preserve"> </w:t>
      </w:r>
      <w:r w:rsidR="00186A09">
        <w:rPr>
          <w:rFonts w:eastAsia="Times New Roman"/>
          <w:color w:val="000000"/>
          <w:sz w:val="24"/>
          <w:szCs w:val="24"/>
        </w:rPr>
        <w:t>Surface plasmon r</w:t>
      </w:r>
      <w:r w:rsidR="00FC7556" w:rsidRPr="002132DB">
        <w:rPr>
          <w:rFonts w:eastAsia="Times New Roman"/>
          <w:color w:val="000000"/>
          <w:sz w:val="24"/>
          <w:szCs w:val="24"/>
        </w:rPr>
        <w:t>esonance imaging analysis was performed</w:t>
      </w:r>
      <w:r w:rsidR="00FC7556">
        <w:rPr>
          <w:rFonts w:eastAsia="Times New Roman"/>
          <w:color w:val="000000"/>
          <w:sz w:val="24"/>
          <w:szCs w:val="24"/>
        </w:rPr>
        <w:t xml:space="preserve"> </w:t>
      </w:r>
      <w:r w:rsidR="00FC7556" w:rsidRPr="002132DB">
        <w:rPr>
          <w:rFonts w:eastAsia="Times New Roman"/>
          <w:color w:val="000000"/>
          <w:sz w:val="24"/>
          <w:szCs w:val="24"/>
        </w:rPr>
        <w:t xml:space="preserve">using a Continuous Flow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Microspotter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with an IBIS SPR instrument. A premix assay format was utilized. Briefly, antigen was pre-mixed</w:t>
      </w:r>
      <w:r w:rsidR="00FC7556">
        <w:rPr>
          <w:rFonts w:eastAsia="Times New Roman"/>
          <w:color w:val="000000"/>
          <w:sz w:val="24"/>
          <w:szCs w:val="24"/>
        </w:rPr>
        <w:t xml:space="preserve"> with a molar excess of each </w:t>
      </w:r>
      <w:proofErr w:type="spellStart"/>
      <w:r w:rsidR="00FC7556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in solution (20nM PVRIG fusion protein mixed with 400nM each anti-PVRIG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) and then injected over each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covalently immobilized to unique spots in the array.  The binding responses of the Ag/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analytes were compared to the response for antigen alone injected over each immobilized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.  A response equal to or greater than the antigen alone response characterized the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in solution and the immobilized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as binding to two different epitopes on the PVRIG, or an “unblocking” pair of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mAbs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.  No response or a response significantly lower than an antigen only injection characterized the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in solution as blocking the immobilized the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from binding PVRIG.  Bidirectional pair-wise blocking patterns for all 30 </w:t>
      </w:r>
      <w:proofErr w:type="spellStart"/>
      <w:r w:rsidR="00FC7556" w:rsidRPr="002132DB">
        <w:rPr>
          <w:rFonts w:eastAsia="Times New Roman"/>
          <w:color w:val="000000"/>
          <w:sz w:val="24"/>
          <w:szCs w:val="24"/>
        </w:rPr>
        <w:t>mAbs</w:t>
      </w:r>
      <w:proofErr w:type="spellEnd"/>
      <w:r w:rsidR="00FC7556" w:rsidRPr="002132DB">
        <w:rPr>
          <w:rFonts w:eastAsia="Times New Roman"/>
          <w:color w:val="000000"/>
          <w:sz w:val="24"/>
          <w:szCs w:val="24"/>
        </w:rPr>
        <w:t xml:space="preserve"> were assessed to determine “bins” (identical blocking patterns) or “communities” (closely related blocking patterns).</w:t>
      </w:r>
      <w:r w:rsidR="00FC7556">
        <w:rPr>
          <w:rFonts w:eastAsia="Times New Roman"/>
          <w:color w:val="000000"/>
          <w:sz w:val="24"/>
          <w:szCs w:val="24"/>
        </w:rPr>
        <w:t xml:space="preserve">  </w:t>
      </w:r>
      <w:r w:rsidR="00FC7556" w:rsidRPr="00B55978">
        <w:rPr>
          <w:rFonts w:eastAsiaTheme="minorEastAsia"/>
          <w:sz w:val="24"/>
          <w:szCs w:val="24"/>
        </w:rPr>
        <w:t xml:space="preserve">Hierarchical clustering dendrogram of the binding patterns of anti-PVRIG </w:t>
      </w:r>
      <w:proofErr w:type="spellStart"/>
      <w:r w:rsidR="00FC7556" w:rsidRPr="00B55978">
        <w:rPr>
          <w:rFonts w:eastAsiaTheme="minorEastAsia"/>
          <w:sz w:val="24"/>
          <w:szCs w:val="24"/>
        </w:rPr>
        <w:t>mAbs</w:t>
      </w:r>
      <w:proofErr w:type="spellEnd"/>
      <w:r w:rsidR="00FC7556" w:rsidRPr="00B55978">
        <w:rPr>
          <w:rFonts w:eastAsiaTheme="minorEastAsia"/>
          <w:sz w:val="24"/>
          <w:szCs w:val="24"/>
        </w:rPr>
        <w:t xml:space="preserve"> as analytes where the scrutiny level is indicated by the dotted blue line.  Among the 30 PVRIG antibodies in the epitope binning study, there were 8 apparent “communities” of PVRIG pairwise blocking patterns.  </w:t>
      </w:r>
    </w:p>
    <w:p w14:paraId="125C3D9B" w14:textId="77777777" w:rsidR="00E23D01" w:rsidRDefault="00E23D01" w:rsidP="001B6C57">
      <w:pPr>
        <w:spacing w:line="360" w:lineRule="auto"/>
        <w:jc w:val="both"/>
        <w:textAlignment w:val="baseline"/>
        <w:rPr>
          <w:rFonts w:eastAsiaTheme="minorEastAsia"/>
          <w:b/>
          <w:bCs/>
          <w:sz w:val="24"/>
          <w:szCs w:val="24"/>
        </w:rPr>
      </w:pPr>
    </w:p>
    <w:p w14:paraId="505DA63B" w14:textId="6DF2B024" w:rsidR="00D44F2F" w:rsidRDefault="021EEE94" w:rsidP="001B6C57">
      <w:pPr>
        <w:spacing w:line="360" w:lineRule="auto"/>
        <w:jc w:val="both"/>
        <w:textAlignment w:val="baseline"/>
        <w:rPr>
          <w:rFonts w:eastAsiaTheme="minorEastAsia"/>
          <w:sz w:val="24"/>
          <w:szCs w:val="24"/>
        </w:rPr>
      </w:pPr>
      <w:r w:rsidRPr="021EEE94">
        <w:rPr>
          <w:rFonts w:eastAsiaTheme="minorEastAsia"/>
          <w:b/>
          <w:bCs/>
          <w:sz w:val="24"/>
          <w:szCs w:val="24"/>
        </w:rPr>
        <w:t>Figure S4:</w:t>
      </w:r>
      <w:r w:rsidRPr="021EEE94">
        <w:rPr>
          <w:rFonts w:eastAsiaTheme="minorEastAsia"/>
          <w:sz w:val="24"/>
          <w:szCs w:val="24"/>
        </w:rPr>
        <w:t xml:space="preserve"> </w:t>
      </w:r>
      <w:r w:rsidRPr="021EEE94">
        <w:rPr>
          <w:rFonts w:eastAsiaTheme="minorEastAsia"/>
          <w:b/>
          <w:bCs/>
          <w:sz w:val="24"/>
          <w:szCs w:val="24"/>
        </w:rPr>
        <w:t>Co-expression of PVRIG, PD-1 and TIGIT on CD8</w:t>
      </w:r>
      <w:r w:rsidRPr="021EEE94">
        <w:rPr>
          <w:rFonts w:eastAsiaTheme="minorEastAsia"/>
          <w:b/>
          <w:bCs/>
          <w:sz w:val="24"/>
          <w:szCs w:val="24"/>
          <w:vertAlign w:val="superscript"/>
        </w:rPr>
        <w:t>+</w:t>
      </w:r>
      <w:r w:rsidRPr="021EEE94">
        <w:rPr>
          <w:rFonts w:eastAsiaTheme="minorEastAsia"/>
          <w:b/>
          <w:bCs/>
          <w:sz w:val="24"/>
          <w:szCs w:val="24"/>
        </w:rPr>
        <w:t xml:space="preserve"> T cells.</w:t>
      </w:r>
      <w:r w:rsidRPr="021EEE94">
        <w:rPr>
          <w:rFonts w:eastAsiaTheme="minorEastAsia"/>
          <w:sz w:val="24"/>
          <w:szCs w:val="24"/>
        </w:rPr>
        <w:t xml:space="preserve">  </w:t>
      </w:r>
    </w:p>
    <w:p w14:paraId="5BCCF748" w14:textId="39A74270" w:rsidR="00B55978" w:rsidRPr="00B55978" w:rsidRDefault="00E748BB" w:rsidP="00B55978">
      <w:pPr>
        <w:spacing w:line="360" w:lineRule="auto"/>
        <w:jc w:val="both"/>
        <w:textAlignment w:val="baseline"/>
        <w:rPr>
          <w:rFonts w:eastAsiaTheme="minorEastAsia"/>
          <w:sz w:val="24"/>
          <w:szCs w:val="24"/>
        </w:rPr>
      </w:pPr>
      <w:r w:rsidRPr="021EEE94">
        <w:rPr>
          <w:rFonts w:eastAsiaTheme="minorEastAsia"/>
          <w:sz w:val="24"/>
          <w:szCs w:val="24"/>
        </w:rPr>
        <w:t xml:space="preserve">A) </w:t>
      </w:r>
      <w:r w:rsidRPr="00F771FC">
        <w:rPr>
          <w:rFonts w:eastAsiaTheme="minorEastAsia"/>
          <w:sz w:val="24"/>
          <w:szCs w:val="24"/>
        </w:rPr>
        <w:t>Analysis of PVRIG</w:t>
      </w:r>
      <w:r w:rsidR="00494BA2" w:rsidRPr="021EEE94">
        <w:rPr>
          <w:rFonts w:eastAsiaTheme="minorEastAsia"/>
          <w:sz w:val="24"/>
          <w:szCs w:val="24"/>
        </w:rPr>
        <w:t>,</w:t>
      </w:r>
      <w:r w:rsidR="002B6B90" w:rsidRPr="021EEE94">
        <w:rPr>
          <w:rFonts w:eastAsiaTheme="minorEastAsia"/>
          <w:sz w:val="24"/>
          <w:szCs w:val="24"/>
          <w:vertAlign w:val="superscript"/>
        </w:rPr>
        <w:t xml:space="preserve"> </w:t>
      </w:r>
      <w:r w:rsidR="00494BA2">
        <w:rPr>
          <w:rFonts w:eastAsiaTheme="minorEastAsia"/>
          <w:sz w:val="24"/>
          <w:szCs w:val="24"/>
        </w:rPr>
        <w:t>TIGIT, CD96, and PD-1 expression on</w:t>
      </w:r>
      <w:r w:rsidR="00CE4E02" w:rsidRPr="021EEE94">
        <w:rPr>
          <w:rFonts w:eastAsiaTheme="minorEastAsia"/>
          <w:sz w:val="24"/>
          <w:szCs w:val="24"/>
        </w:rPr>
        <w:t xml:space="preserve"> </w:t>
      </w:r>
      <w:r w:rsidR="00A47218">
        <w:rPr>
          <w:rFonts w:eastAsiaTheme="minorEastAsia"/>
          <w:sz w:val="24"/>
          <w:szCs w:val="24"/>
        </w:rPr>
        <w:t>CD8</w:t>
      </w:r>
      <w:r w:rsidR="00A47218" w:rsidRPr="00E748BB">
        <w:rPr>
          <w:rFonts w:eastAsiaTheme="minorEastAsia"/>
          <w:sz w:val="24"/>
          <w:szCs w:val="24"/>
          <w:vertAlign w:val="superscript"/>
        </w:rPr>
        <w:t>+</w:t>
      </w:r>
      <w:r w:rsidR="00494BA2" w:rsidRPr="021EEE94">
        <w:rPr>
          <w:rFonts w:eastAsiaTheme="minorEastAsia"/>
          <w:sz w:val="24"/>
          <w:szCs w:val="24"/>
        </w:rPr>
        <w:t xml:space="preserve"> naïve and memory subsets from healthy donor PBMCs are shown.  Cell subsets are defined as CD45RA</w:t>
      </w:r>
      <w:r w:rsidR="00494BA2" w:rsidRPr="021EEE94">
        <w:rPr>
          <w:rFonts w:eastAsiaTheme="minorEastAsia"/>
          <w:sz w:val="24"/>
          <w:szCs w:val="24"/>
          <w:vertAlign w:val="superscript"/>
        </w:rPr>
        <w:t>+</w:t>
      </w:r>
      <w:r w:rsidR="00494BA2" w:rsidRPr="021EEE94">
        <w:rPr>
          <w:rFonts w:eastAsiaTheme="minorEastAsia"/>
          <w:sz w:val="24"/>
          <w:szCs w:val="24"/>
        </w:rPr>
        <w:t>CD197</w:t>
      </w:r>
      <w:r w:rsidR="00494BA2" w:rsidRPr="021EEE94">
        <w:rPr>
          <w:rFonts w:eastAsiaTheme="minorEastAsia"/>
          <w:sz w:val="24"/>
          <w:szCs w:val="24"/>
          <w:vertAlign w:val="superscript"/>
        </w:rPr>
        <w:t>+</w:t>
      </w:r>
      <w:r w:rsidR="00494BA2" w:rsidRPr="021EEE94">
        <w:rPr>
          <w:rFonts w:eastAsiaTheme="minorEastAsia"/>
          <w:sz w:val="24"/>
          <w:szCs w:val="24"/>
        </w:rPr>
        <w:t>(Naïve), CD8</w:t>
      </w:r>
      <w:r w:rsidR="00494BA2" w:rsidRPr="021EEE94">
        <w:rPr>
          <w:rFonts w:eastAsiaTheme="minorEastAsia"/>
          <w:sz w:val="24"/>
          <w:szCs w:val="24"/>
          <w:vertAlign w:val="superscript"/>
        </w:rPr>
        <w:t>+</w:t>
      </w:r>
      <w:r w:rsidR="00494BA2" w:rsidRPr="021EEE94">
        <w:rPr>
          <w:rFonts w:eastAsiaTheme="minorEastAsia"/>
          <w:sz w:val="24"/>
          <w:szCs w:val="24"/>
        </w:rPr>
        <w:t>CD45RA</w:t>
      </w:r>
      <w:r w:rsidR="00494BA2" w:rsidRPr="021EEE94">
        <w:rPr>
          <w:rFonts w:eastAsiaTheme="minorEastAsia"/>
          <w:sz w:val="24"/>
          <w:szCs w:val="24"/>
          <w:vertAlign w:val="superscript"/>
        </w:rPr>
        <w:t>-</w:t>
      </w:r>
      <w:r w:rsidR="00494BA2" w:rsidRPr="021EEE94">
        <w:rPr>
          <w:rFonts w:eastAsiaTheme="minorEastAsia"/>
          <w:sz w:val="24"/>
          <w:szCs w:val="24"/>
        </w:rPr>
        <w:t>CD197</w:t>
      </w:r>
      <w:r w:rsidR="00494BA2" w:rsidRPr="021EEE94">
        <w:rPr>
          <w:rFonts w:eastAsiaTheme="minorEastAsia"/>
          <w:sz w:val="24"/>
          <w:szCs w:val="24"/>
          <w:vertAlign w:val="superscript"/>
        </w:rPr>
        <w:t>+</w:t>
      </w:r>
      <w:r w:rsidR="00494BA2" w:rsidRPr="021EEE94">
        <w:rPr>
          <w:rFonts w:eastAsiaTheme="minorEastAsia"/>
          <w:sz w:val="24"/>
          <w:szCs w:val="24"/>
        </w:rPr>
        <w:t>(CM), CD8</w:t>
      </w:r>
      <w:r w:rsidR="00494BA2" w:rsidRPr="021EEE94">
        <w:rPr>
          <w:rFonts w:eastAsiaTheme="minorEastAsia"/>
          <w:sz w:val="24"/>
          <w:szCs w:val="24"/>
          <w:vertAlign w:val="superscript"/>
        </w:rPr>
        <w:t>+</w:t>
      </w:r>
      <w:r w:rsidR="00494BA2" w:rsidRPr="021EEE94">
        <w:rPr>
          <w:rFonts w:eastAsiaTheme="minorEastAsia"/>
          <w:sz w:val="24"/>
          <w:szCs w:val="24"/>
        </w:rPr>
        <w:t>CD45RA</w:t>
      </w:r>
      <w:r w:rsidR="00494BA2" w:rsidRPr="021EEE94">
        <w:rPr>
          <w:rFonts w:eastAsiaTheme="minorEastAsia"/>
          <w:sz w:val="24"/>
          <w:szCs w:val="24"/>
          <w:vertAlign w:val="superscript"/>
        </w:rPr>
        <w:t>+</w:t>
      </w:r>
      <w:r w:rsidR="00494BA2" w:rsidRPr="021EEE94">
        <w:rPr>
          <w:rFonts w:eastAsiaTheme="minorEastAsia"/>
          <w:sz w:val="24"/>
          <w:szCs w:val="24"/>
        </w:rPr>
        <w:t>CD197</w:t>
      </w:r>
      <w:r w:rsidR="00494BA2" w:rsidRPr="021EEE94">
        <w:rPr>
          <w:rFonts w:eastAsiaTheme="minorEastAsia"/>
          <w:sz w:val="24"/>
          <w:szCs w:val="24"/>
          <w:vertAlign w:val="superscript"/>
        </w:rPr>
        <w:t>-</w:t>
      </w:r>
      <w:r w:rsidR="00494BA2" w:rsidRPr="021EEE94">
        <w:rPr>
          <w:rFonts w:eastAsiaTheme="minorEastAsia"/>
          <w:sz w:val="24"/>
          <w:szCs w:val="24"/>
        </w:rPr>
        <w:t xml:space="preserve"> cells (T EMRA) and CD8</w:t>
      </w:r>
      <w:r w:rsidR="00494BA2" w:rsidRPr="00322369">
        <w:rPr>
          <w:rFonts w:eastAsiaTheme="minorEastAsia"/>
          <w:sz w:val="24"/>
          <w:szCs w:val="24"/>
          <w:vertAlign w:val="superscript"/>
        </w:rPr>
        <w:t>+</w:t>
      </w:r>
      <w:r w:rsidR="00494BA2" w:rsidRPr="021EEE94">
        <w:rPr>
          <w:rFonts w:eastAsiaTheme="minorEastAsia"/>
          <w:sz w:val="24"/>
          <w:szCs w:val="24"/>
        </w:rPr>
        <w:t>CD45</w:t>
      </w:r>
      <w:r w:rsidR="00494BA2" w:rsidRPr="021EEE94">
        <w:rPr>
          <w:rFonts w:eastAsiaTheme="minorEastAsia"/>
          <w:sz w:val="24"/>
          <w:szCs w:val="24"/>
          <w:vertAlign w:val="superscript"/>
        </w:rPr>
        <w:t>-</w:t>
      </w:r>
      <w:r w:rsidR="00494BA2" w:rsidRPr="021EEE94">
        <w:rPr>
          <w:rFonts w:eastAsiaTheme="minorEastAsia"/>
          <w:sz w:val="24"/>
          <w:szCs w:val="24"/>
        </w:rPr>
        <w:t>CD197</w:t>
      </w:r>
      <w:r w:rsidR="00494BA2" w:rsidRPr="021EEE94">
        <w:rPr>
          <w:rFonts w:eastAsiaTheme="minorEastAsia"/>
          <w:sz w:val="24"/>
          <w:szCs w:val="24"/>
          <w:vertAlign w:val="superscript"/>
        </w:rPr>
        <w:t>-</w:t>
      </w:r>
      <w:r w:rsidR="00494BA2" w:rsidRPr="021EEE94">
        <w:rPr>
          <w:rFonts w:eastAsiaTheme="minorEastAsia"/>
          <w:sz w:val="24"/>
          <w:szCs w:val="24"/>
        </w:rPr>
        <w:t xml:space="preserve"> cells (EM).  On the graph, each dot represents an individual donor and data are </w:t>
      </w:r>
      <w:r w:rsidR="00494BA2" w:rsidRPr="00F46B67">
        <w:rPr>
          <w:rFonts w:eastAsiaTheme="minorEastAsia"/>
          <w:color w:val="000000" w:themeColor="text1"/>
          <w:kern w:val="24"/>
          <w:sz w:val="24"/>
          <w:szCs w:val="24"/>
        </w:rPr>
        <w:t xml:space="preserve">average </w:t>
      </w:r>
      <w:r w:rsidR="00494BA2" w:rsidRPr="00F46B67">
        <w:rPr>
          <w:rFonts w:eastAsiaTheme="minorEastAsia"/>
          <w:color w:val="000000" w:themeColor="text1"/>
          <w:kern w:val="24"/>
          <w:sz w:val="24"/>
          <w:szCs w:val="24"/>
          <w:u w:val="single"/>
        </w:rPr>
        <w:t>+</w:t>
      </w:r>
      <w:r w:rsidR="00494BA2">
        <w:rPr>
          <w:rFonts w:eastAsiaTheme="minorEastAsia"/>
          <w:color w:val="000000" w:themeColor="text1"/>
          <w:kern w:val="24"/>
          <w:sz w:val="24"/>
          <w:szCs w:val="24"/>
        </w:rPr>
        <w:t xml:space="preserve"> SEM.</w:t>
      </w:r>
      <w:r w:rsidR="00494BA2" w:rsidRPr="021EEE94">
        <w:rPr>
          <w:rFonts w:eastAsiaTheme="minorEastAsia"/>
          <w:sz w:val="24"/>
          <w:szCs w:val="24"/>
        </w:rPr>
        <w:t xml:space="preserve"> </w:t>
      </w:r>
      <w:r w:rsidR="00CE4E02" w:rsidRPr="021EEE94">
        <w:rPr>
          <w:rFonts w:eastAsiaTheme="minorEastAsia"/>
          <w:sz w:val="24"/>
          <w:szCs w:val="24"/>
        </w:rPr>
        <w:t xml:space="preserve"> </w:t>
      </w:r>
      <w:r w:rsidR="00494BA2" w:rsidRPr="021EEE94">
        <w:rPr>
          <w:rFonts w:eastAsiaTheme="minorEastAsia"/>
          <w:sz w:val="24"/>
          <w:szCs w:val="24"/>
        </w:rPr>
        <w:t xml:space="preserve">Co-expression of PVRIG with TIGIT or PD-1 from a representative donor is shown.  </w:t>
      </w:r>
      <w:r w:rsidR="00494BA2">
        <w:rPr>
          <w:rFonts w:eastAsiaTheme="minorEastAsia"/>
          <w:sz w:val="24"/>
          <w:szCs w:val="24"/>
        </w:rPr>
        <w:t>F</w:t>
      </w:r>
      <w:r w:rsidR="00494BA2" w:rsidRPr="00F771FC">
        <w:rPr>
          <w:rFonts w:eastAsiaTheme="minorEastAsia"/>
          <w:sz w:val="24"/>
          <w:szCs w:val="24"/>
        </w:rPr>
        <w:t>old expression is defined</w:t>
      </w:r>
      <w:r w:rsidR="00494BA2" w:rsidRPr="00F771FC">
        <w:rPr>
          <w:sz w:val="24"/>
          <w:szCs w:val="24"/>
        </w:rPr>
        <w:t xml:space="preserve"> as the ratio of PVRIG MFI relative to isotype control MFI.  </w:t>
      </w:r>
      <w:r w:rsidR="00D5145C">
        <w:rPr>
          <w:rFonts w:eastAsiaTheme="minorEastAsia"/>
          <w:sz w:val="24"/>
          <w:szCs w:val="24"/>
        </w:rPr>
        <w:t xml:space="preserve">B) </w:t>
      </w:r>
      <w:r w:rsidR="00781DA4">
        <w:rPr>
          <w:rFonts w:eastAsiaTheme="minorEastAsia"/>
          <w:sz w:val="24"/>
          <w:szCs w:val="24"/>
        </w:rPr>
        <w:t>E</w:t>
      </w:r>
      <w:r w:rsidR="00781DA4" w:rsidRPr="00F771FC">
        <w:rPr>
          <w:rFonts w:eastAsiaTheme="minorEastAsia"/>
          <w:sz w:val="24"/>
          <w:szCs w:val="24"/>
        </w:rPr>
        <w:t xml:space="preserve">xpression of PVRIG on </w:t>
      </w:r>
      <w:r w:rsidR="00781DA4">
        <w:rPr>
          <w:rFonts w:eastAsiaTheme="minorEastAsia"/>
          <w:sz w:val="24"/>
          <w:szCs w:val="24"/>
        </w:rPr>
        <w:t xml:space="preserve">NK </w:t>
      </w:r>
      <w:r w:rsidR="00781DA4" w:rsidRPr="00F771FC">
        <w:rPr>
          <w:rFonts w:eastAsiaTheme="minorEastAsia"/>
          <w:sz w:val="24"/>
          <w:szCs w:val="24"/>
        </w:rPr>
        <w:t>TILs from dissociated human tumors of various cancer types is shown.</w:t>
      </w:r>
      <w:r w:rsidR="00781DA4" w:rsidRPr="021EEE94">
        <w:rPr>
          <w:rFonts w:eastAsiaTheme="minorEastAsia"/>
          <w:sz w:val="24"/>
          <w:szCs w:val="24"/>
        </w:rPr>
        <w:t xml:space="preserve"> </w:t>
      </w:r>
      <w:r w:rsidRPr="00F771FC">
        <w:rPr>
          <w:rFonts w:eastAsiaTheme="minorEastAsia"/>
          <w:sz w:val="24"/>
          <w:szCs w:val="24"/>
        </w:rPr>
        <w:t>Each dot represents a distinct tumo</w:t>
      </w:r>
      <w:r w:rsidR="00494BA2">
        <w:rPr>
          <w:rFonts w:eastAsiaTheme="minorEastAsia"/>
          <w:sz w:val="24"/>
          <w:szCs w:val="24"/>
        </w:rPr>
        <w:t xml:space="preserve">r from an individual patient.  </w:t>
      </w:r>
      <w:r w:rsidR="00430F80">
        <w:rPr>
          <w:sz w:val="24"/>
          <w:szCs w:val="24"/>
        </w:rPr>
        <w:t>Average</w:t>
      </w:r>
      <w:r w:rsidRPr="00F771FC">
        <w:rPr>
          <w:sz w:val="24"/>
          <w:szCs w:val="24"/>
        </w:rPr>
        <w:t xml:space="preserve"> </w:t>
      </w:r>
      <w:r w:rsidRPr="00F771FC">
        <w:rPr>
          <w:sz w:val="24"/>
          <w:szCs w:val="24"/>
          <w:u w:val="single"/>
        </w:rPr>
        <w:t>+</w:t>
      </w:r>
      <w:r w:rsidRPr="00F771FC">
        <w:rPr>
          <w:sz w:val="24"/>
          <w:szCs w:val="24"/>
        </w:rPr>
        <w:t xml:space="preserve"> SEM is shown by the error bars.</w:t>
      </w:r>
      <w:r w:rsidRPr="021EEE94">
        <w:rPr>
          <w:rFonts w:eastAsiaTheme="minorEastAsia"/>
          <w:sz w:val="24"/>
          <w:szCs w:val="24"/>
        </w:rPr>
        <w:t xml:space="preserve"> C) </w:t>
      </w:r>
      <w:r w:rsidR="00494BA2" w:rsidRPr="021EEE94">
        <w:rPr>
          <w:rFonts w:eastAsiaTheme="minorEastAsia"/>
          <w:sz w:val="24"/>
          <w:szCs w:val="24"/>
        </w:rPr>
        <w:t>Co</w:t>
      </w:r>
      <w:r w:rsidR="003D1C3A" w:rsidRPr="021EEE94">
        <w:rPr>
          <w:rFonts w:eastAsiaTheme="minorEastAsia"/>
          <w:sz w:val="24"/>
          <w:szCs w:val="24"/>
        </w:rPr>
        <w:t>-</w:t>
      </w:r>
      <w:r w:rsidRPr="021EEE94">
        <w:rPr>
          <w:rFonts w:eastAsiaTheme="minorEastAsia"/>
          <w:sz w:val="24"/>
          <w:szCs w:val="24"/>
        </w:rPr>
        <w:t>expression of PVRIG with TIGIT or PD-1 is shown on CD4</w:t>
      </w:r>
      <w:r w:rsidRPr="021EEE94">
        <w:rPr>
          <w:rFonts w:eastAsiaTheme="minorEastAsia"/>
          <w:sz w:val="24"/>
          <w:szCs w:val="24"/>
          <w:vertAlign w:val="superscript"/>
        </w:rPr>
        <w:t>+</w:t>
      </w:r>
      <w:r w:rsidRPr="021EEE94">
        <w:rPr>
          <w:rFonts w:eastAsiaTheme="minorEastAsia"/>
          <w:sz w:val="24"/>
          <w:szCs w:val="24"/>
        </w:rPr>
        <w:t xml:space="preserve"> and CD8</w:t>
      </w:r>
      <w:r w:rsidRPr="021EEE94">
        <w:rPr>
          <w:rFonts w:eastAsiaTheme="minorEastAsia"/>
          <w:sz w:val="24"/>
          <w:szCs w:val="24"/>
          <w:vertAlign w:val="superscript"/>
        </w:rPr>
        <w:t>+</w:t>
      </w:r>
      <w:r w:rsidRPr="021EEE94">
        <w:rPr>
          <w:rFonts w:eastAsiaTheme="minorEastAsia"/>
          <w:sz w:val="24"/>
          <w:szCs w:val="24"/>
        </w:rPr>
        <w:t xml:space="preserve"> TILs from a </w:t>
      </w:r>
      <w:r w:rsidR="00494BA2" w:rsidRPr="021EEE94">
        <w:rPr>
          <w:rFonts w:eastAsiaTheme="minorEastAsia"/>
          <w:sz w:val="24"/>
          <w:szCs w:val="24"/>
        </w:rPr>
        <w:t>lung</w:t>
      </w:r>
      <w:r w:rsidRPr="021EEE94">
        <w:rPr>
          <w:rFonts w:eastAsiaTheme="minorEastAsia"/>
          <w:sz w:val="24"/>
          <w:szCs w:val="24"/>
        </w:rPr>
        <w:t xml:space="preserve"> cancer patient.  </w:t>
      </w:r>
      <w:r w:rsidR="008406E4" w:rsidRPr="021EEE94">
        <w:rPr>
          <w:rFonts w:eastAsiaTheme="minorEastAsia"/>
          <w:sz w:val="24"/>
          <w:szCs w:val="24"/>
        </w:rPr>
        <w:t>D</w:t>
      </w:r>
      <w:r w:rsidR="00391AFD">
        <w:rPr>
          <w:rFonts w:eastAsiaTheme="minorEastAsia"/>
          <w:sz w:val="24"/>
          <w:szCs w:val="24"/>
        </w:rPr>
        <w:t xml:space="preserve">) </w:t>
      </w:r>
      <w:r w:rsidR="00430F80" w:rsidRPr="00711770">
        <w:rPr>
          <w:rFonts w:eastAsiaTheme="minorEastAsia"/>
          <w:sz w:val="24"/>
          <w:szCs w:val="24"/>
        </w:rPr>
        <w:t>Cell surface and intracellular PVRIG expression was assessed on ovarian CD8</w:t>
      </w:r>
      <w:r w:rsidR="00430F80" w:rsidRPr="00711770">
        <w:rPr>
          <w:rFonts w:eastAsiaTheme="minorEastAsia"/>
          <w:sz w:val="24"/>
          <w:szCs w:val="24"/>
          <w:vertAlign w:val="superscript"/>
        </w:rPr>
        <w:t>+</w:t>
      </w:r>
      <w:r w:rsidR="00430F80" w:rsidRPr="00711770">
        <w:rPr>
          <w:rFonts w:eastAsiaTheme="minorEastAsia"/>
          <w:sz w:val="24"/>
          <w:szCs w:val="24"/>
        </w:rPr>
        <w:t xml:space="preserve"> TILs. </w:t>
      </w:r>
      <w:r w:rsidR="00391AFD">
        <w:rPr>
          <w:rFonts w:eastAsiaTheme="minorEastAsia"/>
          <w:sz w:val="24"/>
          <w:szCs w:val="24"/>
        </w:rPr>
        <w:t xml:space="preserve">E) </w:t>
      </w:r>
      <w:r w:rsidR="008406E4" w:rsidRPr="021EEE94">
        <w:rPr>
          <w:rFonts w:eastAsiaTheme="minorEastAsia"/>
          <w:sz w:val="24"/>
          <w:szCs w:val="24"/>
        </w:rPr>
        <w:t>Percentage of CD8</w:t>
      </w:r>
      <w:r w:rsidR="008406E4" w:rsidRPr="009E557A">
        <w:rPr>
          <w:rFonts w:eastAsiaTheme="minorEastAsia"/>
          <w:sz w:val="24"/>
          <w:szCs w:val="24"/>
          <w:vertAlign w:val="superscript"/>
        </w:rPr>
        <w:t>+</w:t>
      </w:r>
      <w:r w:rsidR="008406E4" w:rsidRPr="021EEE94">
        <w:rPr>
          <w:rFonts w:eastAsiaTheme="minorEastAsia"/>
          <w:sz w:val="24"/>
          <w:szCs w:val="24"/>
        </w:rPr>
        <w:t xml:space="preserve"> T cells expressing cell surface PVRIG is shown.  F) Percentage of CD8</w:t>
      </w:r>
      <w:r w:rsidR="008406E4" w:rsidRPr="009E557A">
        <w:rPr>
          <w:rFonts w:eastAsiaTheme="minorEastAsia"/>
          <w:sz w:val="24"/>
          <w:szCs w:val="24"/>
          <w:vertAlign w:val="superscript"/>
        </w:rPr>
        <w:t>+</w:t>
      </w:r>
      <w:r w:rsidR="008406E4" w:rsidRPr="021EEE94">
        <w:rPr>
          <w:rFonts w:eastAsiaTheme="minorEastAsia"/>
          <w:sz w:val="24"/>
          <w:szCs w:val="24"/>
        </w:rPr>
        <w:t xml:space="preserve"> T cells expressing intracellular PVRIG is shown. G) Expression of PVRIG on CD4</w:t>
      </w:r>
      <w:r w:rsidR="008406E4" w:rsidRPr="021EEE94">
        <w:rPr>
          <w:rFonts w:eastAsiaTheme="minorEastAsia"/>
          <w:sz w:val="24"/>
          <w:szCs w:val="24"/>
          <w:vertAlign w:val="superscript"/>
        </w:rPr>
        <w:t>+</w:t>
      </w:r>
      <w:r w:rsidR="008406E4" w:rsidRPr="021EEE94">
        <w:rPr>
          <w:rFonts w:eastAsiaTheme="minorEastAsia"/>
          <w:sz w:val="24"/>
          <w:szCs w:val="24"/>
        </w:rPr>
        <w:t xml:space="preserve"> and CD8</w:t>
      </w:r>
      <w:r w:rsidR="008406E4" w:rsidRPr="021EEE94">
        <w:rPr>
          <w:rFonts w:eastAsiaTheme="minorEastAsia"/>
          <w:sz w:val="24"/>
          <w:szCs w:val="24"/>
          <w:vertAlign w:val="superscript"/>
        </w:rPr>
        <w:t>+</w:t>
      </w:r>
      <w:r w:rsidR="008406E4" w:rsidRPr="021EEE94">
        <w:rPr>
          <w:rFonts w:eastAsiaTheme="minorEastAsia"/>
          <w:sz w:val="24"/>
          <w:szCs w:val="24"/>
        </w:rPr>
        <w:t xml:space="preserve"> T cells immediately after isolation from the tumor (</w:t>
      </w:r>
      <w:r w:rsidR="008406E4" w:rsidRPr="00711770">
        <w:rPr>
          <w:rFonts w:eastAsiaTheme="minorEastAsia"/>
          <w:sz w:val="24"/>
          <w:szCs w:val="24"/>
        </w:rPr>
        <w:t xml:space="preserve">ex vivo) and day 6 post activation with anti-CD3 + anti-CD28 beads. Representative histograms from lung and kidney </w:t>
      </w:r>
      <w:r w:rsidR="00430F80">
        <w:rPr>
          <w:rFonts w:eastAsiaTheme="minorEastAsia"/>
          <w:sz w:val="24"/>
          <w:szCs w:val="24"/>
        </w:rPr>
        <w:t>TILs</w:t>
      </w:r>
      <w:r w:rsidR="008406E4" w:rsidRPr="00711770">
        <w:rPr>
          <w:rFonts w:eastAsiaTheme="minorEastAsia"/>
          <w:sz w:val="24"/>
          <w:szCs w:val="24"/>
        </w:rPr>
        <w:t xml:space="preserve"> are shown.  </w:t>
      </w:r>
      <w:r w:rsidR="00345E8D" w:rsidRPr="00711770">
        <w:rPr>
          <w:rFonts w:eastAsiaTheme="minorEastAsia"/>
          <w:sz w:val="24"/>
          <w:szCs w:val="24"/>
        </w:rPr>
        <w:t>H</w:t>
      </w:r>
      <w:r w:rsidR="00345E8D" w:rsidRPr="0061082C">
        <w:rPr>
          <w:rFonts w:eastAsiaTheme="minorEastAsia"/>
          <w:sz w:val="24"/>
          <w:szCs w:val="24"/>
        </w:rPr>
        <w:t>)</w:t>
      </w:r>
      <w:r w:rsidR="00B55978" w:rsidRPr="00B55978">
        <w:rPr>
          <w:rFonts w:eastAsiaTheme="minorEastAsia"/>
          <w:sz w:val="24"/>
          <w:szCs w:val="24"/>
        </w:rPr>
        <w:t xml:space="preserve"> </w:t>
      </w:r>
      <w:r w:rsidR="00B55978" w:rsidRPr="003F4A33">
        <w:rPr>
          <w:rFonts w:eastAsiaTheme="minorEastAsia"/>
          <w:sz w:val="24"/>
          <w:szCs w:val="24"/>
        </w:rPr>
        <w:t xml:space="preserve">Gating strategy for receptor and ligand expression on myeloid and lymphoid cells. In order to identify lymphocyte populations, </w:t>
      </w:r>
      <w:r w:rsidR="00B55978" w:rsidRPr="003F4A33">
        <w:rPr>
          <w:color w:val="000000"/>
          <w:sz w:val="24"/>
          <w:szCs w:val="24"/>
          <w:shd w:val="clear" w:color="auto" w:fill="FFFFFF"/>
        </w:rPr>
        <w:t>cells were gated based on forward (FSC) and side scatter (SSC) properties. Doublets and dead cells were excluded, using FSC height and amine reactive dye respectively. From this gate, CD3</w:t>
      </w:r>
      <w:r w:rsidR="00B55978" w:rsidRPr="003F4A33">
        <w:rPr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55978" w:rsidRPr="003F4A33">
        <w:rPr>
          <w:color w:val="000000"/>
          <w:sz w:val="24"/>
          <w:szCs w:val="24"/>
          <w:shd w:val="clear" w:color="auto" w:fill="FFFFFF"/>
        </w:rPr>
        <w:t>lin</w:t>
      </w:r>
      <w:r w:rsidR="00B55978" w:rsidRPr="003F4A33">
        <w:rPr>
          <w:color w:val="000000"/>
          <w:sz w:val="24"/>
          <w:szCs w:val="24"/>
          <w:shd w:val="clear" w:color="auto" w:fill="FFFFFF"/>
          <w:vertAlign w:val="superscript"/>
        </w:rPr>
        <w:t>−</w:t>
      </w:r>
      <w:r w:rsidR="00B55978" w:rsidRPr="003F4A33">
        <w:rPr>
          <w:color w:val="000000"/>
          <w:sz w:val="24"/>
          <w:szCs w:val="24"/>
          <w:shd w:val="clear" w:color="auto" w:fill="FFFFFF"/>
        </w:rPr>
        <w:t>CD14</w:t>
      </w:r>
      <w:r w:rsidR="00B55978" w:rsidRPr="003F4A33">
        <w:rPr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B55978" w:rsidRPr="003F4A33">
        <w:rPr>
          <w:color w:val="000000"/>
          <w:sz w:val="24"/>
          <w:szCs w:val="24"/>
          <w:shd w:val="clear" w:color="auto" w:fill="FFFFFF"/>
        </w:rPr>
        <w:t xml:space="preserve"> cells were gated as T cells, and then further divided into CD4</w:t>
      </w:r>
      <w:r w:rsidR="00B55978" w:rsidRPr="003F4A33">
        <w:rPr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55978" w:rsidRPr="003F4A33">
        <w:rPr>
          <w:color w:val="000000"/>
          <w:sz w:val="24"/>
          <w:szCs w:val="24"/>
          <w:shd w:val="clear" w:color="auto" w:fill="FFFFFF"/>
        </w:rPr>
        <w:t xml:space="preserve"> and CD8</w:t>
      </w:r>
      <w:r w:rsidR="00B55978" w:rsidRPr="003F4A33">
        <w:rPr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55978" w:rsidRPr="003F4A33">
        <w:rPr>
          <w:color w:val="000000"/>
          <w:sz w:val="24"/>
          <w:szCs w:val="24"/>
          <w:shd w:val="clear" w:color="auto" w:fill="FFFFFF"/>
        </w:rPr>
        <w:t xml:space="preserve"> T lymphocytes. </w:t>
      </w:r>
      <w:r w:rsidR="00186A09">
        <w:rPr>
          <w:color w:val="000000"/>
          <w:sz w:val="24"/>
          <w:szCs w:val="24"/>
          <w:shd w:val="clear" w:color="auto" w:fill="FFFFFF"/>
        </w:rPr>
        <w:t xml:space="preserve"> </w:t>
      </w:r>
      <w:r w:rsidR="00B55978" w:rsidRPr="003F4A33">
        <w:rPr>
          <w:color w:val="000000"/>
          <w:sz w:val="24"/>
          <w:szCs w:val="24"/>
          <w:shd w:val="clear" w:color="auto" w:fill="FFFFFF"/>
        </w:rPr>
        <w:t>NK cell populations were defined as CD56</w:t>
      </w:r>
      <w:r w:rsidR="00B55978" w:rsidRPr="003F4A33">
        <w:rPr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55978" w:rsidRPr="003F4A33">
        <w:rPr>
          <w:color w:val="000000"/>
          <w:sz w:val="24"/>
          <w:szCs w:val="24"/>
          <w:shd w:val="clear" w:color="auto" w:fill="FFFFFF"/>
        </w:rPr>
        <w:t>CD3</w:t>
      </w:r>
      <w:r w:rsidR="00B55978" w:rsidRPr="003F4A33">
        <w:rPr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B55978" w:rsidRPr="003F4A33">
        <w:rPr>
          <w:color w:val="000000"/>
          <w:sz w:val="24"/>
          <w:szCs w:val="24"/>
          <w:shd w:val="clear" w:color="auto" w:fill="FFFFFF"/>
        </w:rPr>
        <w:t xml:space="preserve"> cells. </w:t>
      </w:r>
      <w:r w:rsidR="00B55978" w:rsidRPr="003F4A33">
        <w:rPr>
          <w:rFonts w:eastAsiaTheme="minorEastAsia"/>
          <w:sz w:val="24"/>
          <w:szCs w:val="24"/>
        </w:rPr>
        <w:t xml:space="preserve"> CD14</w:t>
      </w:r>
      <w:r w:rsidR="00B55978" w:rsidRPr="003F4A33">
        <w:rPr>
          <w:rFonts w:eastAsiaTheme="minorEastAsia"/>
          <w:sz w:val="24"/>
          <w:szCs w:val="24"/>
          <w:vertAlign w:val="superscript"/>
        </w:rPr>
        <w:t>+</w:t>
      </w:r>
      <w:r w:rsidR="00B55978" w:rsidRPr="003F4A33">
        <w:rPr>
          <w:rFonts w:eastAsiaTheme="minorEastAsia"/>
          <w:sz w:val="24"/>
          <w:szCs w:val="24"/>
        </w:rPr>
        <w:t xml:space="preserve"> cells were identified as monocytes/macrophages.</w:t>
      </w:r>
    </w:p>
    <w:p w14:paraId="1653FE23" w14:textId="2CB94D08" w:rsidR="00E748BB" w:rsidRPr="00B55978" w:rsidRDefault="00E748BB" w:rsidP="001B6C57">
      <w:pPr>
        <w:spacing w:line="360" w:lineRule="auto"/>
        <w:jc w:val="both"/>
        <w:textAlignment w:val="baseline"/>
        <w:rPr>
          <w:rFonts w:eastAsiaTheme="minorEastAsia"/>
          <w:sz w:val="24"/>
          <w:szCs w:val="24"/>
        </w:rPr>
      </w:pPr>
    </w:p>
    <w:p w14:paraId="6F7044E5" w14:textId="0E0085AD" w:rsidR="00B55978" w:rsidRPr="00B55978" w:rsidRDefault="021EEE94" w:rsidP="00B55978">
      <w:pPr>
        <w:spacing w:line="360" w:lineRule="auto"/>
        <w:jc w:val="both"/>
      </w:pPr>
      <w:r w:rsidRPr="00345E8D">
        <w:rPr>
          <w:rFonts w:eastAsiaTheme="minorEastAsia"/>
          <w:b/>
          <w:sz w:val="24"/>
          <w:szCs w:val="24"/>
        </w:rPr>
        <w:t xml:space="preserve">Figure S5: </w:t>
      </w:r>
      <w:r w:rsidRPr="021EEE94">
        <w:rPr>
          <w:rFonts w:eastAsiaTheme="minorEastAsia"/>
          <w:b/>
          <w:bCs/>
          <w:sz w:val="24"/>
          <w:szCs w:val="24"/>
        </w:rPr>
        <w:t>Characterization of anti-PVRL2 by western blot and FFPE cell pellets</w:t>
      </w:r>
      <w:r w:rsidRPr="021EEE94">
        <w:rPr>
          <w:rFonts w:eastAsiaTheme="minorEastAsia"/>
          <w:sz w:val="24"/>
          <w:szCs w:val="24"/>
        </w:rPr>
        <w:t>.  A) A western blot analysis of anti-PVRL2 was performed on lysates from CHO cells expressing either variant of PVRL2.  B</w:t>
      </w:r>
      <w:r w:rsidR="005D532C">
        <w:rPr>
          <w:rFonts w:eastAsiaTheme="minorEastAsia"/>
          <w:sz w:val="24"/>
          <w:szCs w:val="24"/>
        </w:rPr>
        <w:t>)</w:t>
      </w:r>
      <w:r w:rsidRPr="021EEE94">
        <w:rPr>
          <w:rFonts w:eastAsiaTheme="minorEastAsia"/>
          <w:sz w:val="24"/>
          <w:szCs w:val="24"/>
        </w:rPr>
        <w:t xml:space="preserve"> HEK293 cells that endogenously express PVRL2 were transfected with a PVRL2 siRNA or a scrambled control siRNA and cells lysates generated.  Anti-PVRL2 was tested on these cell lysates by western blot analysis.  C</w:t>
      </w:r>
      <w:r w:rsidR="005D532C">
        <w:rPr>
          <w:rFonts w:eastAsiaTheme="minorEastAsia"/>
          <w:sz w:val="24"/>
          <w:szCs w:val="24"/>
        </w:rPr>
        <w:t>)</w:t>
      </w:r>
      <w:r w:rsidRPr="021EEE94">
        <w:rPr>
          <w:rFonts w:eastAsiaTheme="minorEastAsia"/>
          <w:sz w:val="24"/>
          <w:szCs w:val="24"/>
        </w:rPr>
        <w:t xml:space="preserve">  CHO-S PVRL2 and control CHO-S EV cells were fixed with formalin, paraffin embedded, and sections stained with anti-PVRL2.  D</w:t>
      </w:r>
      <w:r w:rsidR="005D532C">
        <w:rPr>
          <w:rFonts w:eastAsiaTheme="minorEastAsia"/>
          <w:sz w:val="24"/>
          <w:szCs w:val="24"/>
        </w:rPr>
        <w:t>)</w:t>
      </w:r>
      <w:r w:rsidRPr="021EEE94">
        <w:rPr>
          <w:rFonts w:eastAsiaTheme="minorEastAsia"/>
          <w:sz w:val="24"/>
          <w:szCs w:val="24"/>
        </w:rPr>
        <w:t xml:space="preserve">  A panel of human cells lines was formalin fixed, paraffin embedded, and stained with anti-PVRL2.  E) PVRL2 RNA transcript levels are shown in </w:t>
      </w:r>
      <w:r w:rsidRPr="00940E04">
        <w:rPr>
          <w:rFonts w:eastAsiaTheme="minorEastAsia" w:cstheme="minorHAnsi"/>
          <w:sz w:val="24"/>
          <w:szCs w:val="24"/>
        </w:rPr>
        <w:t>multiple cell lines.  Data are from CCLE.  F) Representative images for each PVRL2 score are shown.</w:t>
      </w:r>
      <w:r w:rsidR="00D9757D" w:rsidRPr="00940E04">
        <w:rPr>
          <w:rFonts w:eastAsiaTheme="minorEastAsia" w:cstheme="minorHAnsi"/>
          <w:sz w:val="24"/>
          <w:szCs w:val="24"/>
        </w:rPr>
        <w:t xml:space="preserve"> </w:t>
      </w:r>
      <w:r w:rsidR="00B55978" w:rsidRPr="00940E04">
        <w:rPr>
          <w:rFonts w:eastAsiaTheme="minorEastAsia" w:cstheme="minorHAnsi"/>
          <w:sz w:val="24"/>
          <w:szCs w:val="24"/>
        </w:rPr>
        <w:t xml:space="preserve">G) </w:t>
      </w:r>
      <w:r w:rsidR="00B55978" w:rsidRPr="003F4A33">
        <w:rPr>
          <w:rFonts w:cstheme="minorHAnsi"/>
          <w:color w:val="222222"/>
          <w:sz w:val="24"/>
          <w:szCs w:val="24"/>
          <w:shd w:val="clear" w:color="auto" w:fill="FFFFFF"/>
        </w:rPr>
        <w:t>Hematoxylin and eosin</w:t>
      </w:r>
      <w:r w:rsidR="00B55978" w:rsidRPr="003F4A33">
        <w:rPr>
          <w:rFonts w:eastAsiaTheme="minorEastAsia" w:cstheme="minorHAnsi"/>
          <w:sz w:val="24"/>
          <w:szCs w:val="24"/>
        </w:rPr>
        <w:t xml:space="preserve"> staining and anti-</w:t>
      </w:r>
      <w:r w:rsidR="00B55978" w:rsidRPr="003F4A33">
        <w:rPr>
          <w:rFonts w:cstheme="minorHAnsi"/>
          <w:sz w:val="24"/>
          <w:szCs w:val="24"/>
        </w:rPr>
        <w:t>PVRL2</w:t>
      </w:r>
      <w:r w:rsidR="00B55978" w:rsidRPr="003F4A33">
        <w:rPr>
          <w:sz w:val="24"/>
          <w:szCs w:val="24"/>
        </w:rPr>
        <w:t xml:space="preserve"> staining on tumor and immune cells from a representative donor is shown.</w:t>
      </w:r>
      <w:r w:rsidR="00B55978" w:rsidRPr="00B55978">
        <w:t xml:space="preserve"> </w:t>
      </w:r>
    </w:p>
    <w:p w14:paraId="593D61EF" w14:textId="77777777" w:rsidR="00186A09" w:rsidRDefault="00186A09" w:rsidP="00B55978">
      <w:pPr>
        <w:spacing w:line="360" w:lineRule="auto"/>
        <w:jc w:val="both"/>
        <w:textAlignment w:val="baseline"/>
        <w:rPr>
          <w:rFonts w:eastAsiaTheme="minorEastAsia"/>
          <w:b/>
          <w:sz w:val="24"/>
          <w:szCs w:val="24"/>
        </w:rPr>
      </w:pPr>
    </w:p>
    <w:p w14:paraId="1D390583" w14:textId="33F1A716" w:rsidR="00B55978" w:rsidRPr="00B55978" w:rsidRDefault="021EEE94" w:rsidP="00B55978">
      <w:pPr>
        <w:spacing w:line="360" w:lineRule="auto"/>
        <w:jc w:val="both"/>
        <w:textAlignment w:val="baseline"/>
        <w:rPr>
          <w:rFonts w:eastAsiaTheme="minorEastAsia"/>
          <w:sz w:val="24"/>
          <w:szCs w:val="24"/>
        </w:rPr>
      </w:pPr>
      <w:r w:rsidRPr="004220A0">
        <w:rPr>
          <w:rFonts w:eastAsiaTheme="minorEastAsia"/>
          <w:b/>
          <w:sz w:val="24"/>
          <w:szCs w:val="24"/>
        </w:rPr>
        <w:t>Figure S6:</w:t>
      </w:r>
      <w:r w:rsidRPr="004220A0">
        <w:rPr>
          <w:rFonts w:eastAsiaTheme="minorEastAsia"/>
          <w:b/>
          <w:bCs/>
          <w:sz w:val="24"/>
          <w:szCs w:val="24"/>
        </w:rPr>
        <w:t xml:space="preserve">  Co-expression</w:t>
      </w:r>
      <w:r w:rsidRPr="021EEE94">
        <w:rPr>
          <w:rFonts w:eastAsiaTheme="minorEastAsia"/>
          <w:b/>
          <w:bCs/>
          <w:sz w:val="24"/>
          <w:szCs w:val="24"/>
        </w:rPr>
        <w:t xml:space="preserve"> of PVRL2 and PD-L1 in cancer tissues.  </w:t>
      </w:r>
      <w:r w:rsidRPr="021EEE94">
        <w:rPr>
          <w:rFonts w:eastAsiaTheme="minorEastAsia"/>
          <w:sz w:val="24"/>
          <w:szCs w:val="24"/>
        </w:rPr>
        <w:t>Based on PD-L1 staining, lung, colon, breast, ovarian and renal tumors were categorized as PD-L1</w:t>
      </w:r>
      <w:r w:rsidRPr="021EEE94">
        <w:rPr>
          <w:rFonts w:eastAsiaTheme="minorEastAsia"/>
          <w:sz w:val="24"/>
          <w:szCs w:val="24"/>
          <w:vertAlign w:val="superscript"/>
        </w:rPr>
        <w:t xml:space="preserve">- </w:t>
      </w:r>
      <w:r w:rsidRPr="021EEE94">
        <w:rPr>
          <w:rFonts w:eastAsiaTheme="minorEastAsia"/>
          <w:sz w:val="24"/>
          <w:szCs w:val="24"/>
        </w:rPr>
        <w:t>(no membranous staining of PD-L1 observed in either duplicate cores for each tumor) or PD-L1</w:t>
      </w:r>
      <w:r w:rsidRPr="021EEE94">
        <w:rPr>
          <w:rFonts w:eastAsiaTheme="minorEastAsia"/>
          <w:sz w:val="24"/>
          <w:szCs w:val="24"/>
          <w:vertAlign w:val="superscript"/>
        </w:rPr>
        <w:t>+</w:t>
      </w:r>
      <w:r w:rsidRPr="021EEE94">
        <w:rPr>
          <w:rFonts w:eastAsiaTheme="minorEastAsia"/>
          <w:sz w:val="24"/>
          <w:szCs w:val="24"/>
        </w:rPr>
        <w:t xml:space="preserve"> (positive staining observed in both duplicate cores for each tumor).  A) Tumors were grouped by cancer type and by PD-L1 status. PVRL2 expression is shown on the y-axis.  B) Expression of PD-L1, PVR and PVRL2</w:t>
      </w:r>
      <w:r w:rsidR="00186A09">
        <w:rPr>
          <w:rFonts w:eastAsiaTheme="minorEastAsia"/>
          <w:sz w:val="24"/>
          <w:szCs w:val="24"/>
        </w:rPr>
        <w:t xml:space="preserve"> (shaded)</w:t>
      </w:r>
      <w:r w:rsidRPr="021EEE94">
        <w:rPr>
          <w:rFonts w:eastAsiaTheme="minorEastAsia"/>
          <w:sz w:val="24"/>
          <w:szCs w:val="24"/>
        </w:rPr>
        <w:t xml:space="preserve"> on Panc.05.04 and HT-29 cells treated with IFN-y or media alone is </w:t>
      </w:r>
      <w:r w:rsidR="00345E8D">
        <w:rPr>
          <w:rFonts w:eastAsiaTheme="minorEastAsia"/>
          <w:sz w:val="24"/>
          <w:szCs w:val="24"/>
        </w:rPr>
        <w:t>shown.  Line represents isotype.</w:t>
      </w:r>
      <w:r w:rsidR="00771387">
        <w:rPr>
          <w:rFonts w:eastAsiaTheme="minorEastAsia"/>
          <w:sz w:val="24"/>
          <w:szCs w:val="24"/>
        </w:rPr>
        <w:t xml:space="preserve"> </w:t>
      </w:r>
      <w:r w:rsidR="00B55978" w:rsidRPr="00B55978">
        <w:rPr>
          <w:rFonts w:eastAsiaTheme="minorEastAsia"/>
          <w:sz w:val="24"/>
          <w:szCs w:val="24"/>
        </w:rPr>
        <w:t xml:space="preserve"> </w:t>
      </w:r>
      <w:r w:rsidR="00B55978" w:rsidRPr="003F4A33">
        <w:rPr>
          <w:rFonts w:eastAsiaTheme="minorEastAsia"/>
          <w:sz w:val="24"/>
          <w:szCs w:val="24"/>
        </w:rPr>
        <w:t xml:space="preserve">C) </w:t>
      </w:r>
      <w:r w:rsidR="00B55978" w:rsidRPr="003F4A33">
        <w:rPr>
          <w:rFonts w:eastAsiaTheme="minorEastAsia"/>
          <w:color w:val="000000" w:themeColor="text1"/>
          <w:sz w:val="24"/>
          <w:szCs w:val="24"/>
        </w:rPr>
        <w:t>Freshly isolated CD3</w:t>
      </w:r>
      <w:r w:rsidR="00B55978" w:rsidRPr="003F4A33">
        <w:rPr>
          <w:rFonts w:eastAsiaTheme="minorEastAsia"/>
          <w:color w:val="000000" w:themeColor="text1"/>
          <w:sz w:val="24"/>
          <w:szCs w:val="24"/>
          <w:vertAlign w:val="superscript"/>
        </w:rPr>
        <w:t>+</w:t>
      </w:r>
      <w:r w:rsidR="00B55978" w:rsidRPr="003F4A33">
        <w:rPr>
          <w:rFonts w:eastAsiaTheme="minorEastAsia"/>
          <w:color w:val="000000" w:themeColor="text1"/>
          <w:sz w:val="24"/>
          <w:szCs w:val="24"/>
        </w:rPr>
        <w:t xml:space="preserve"> TILS from several tumor types </w:t>
      </w:r>
      <w:r w:rsidR="00B55978" w:rsidRPr="003F4A33">
        <w:rPr>
          <w:color w:val="000000" w:themeColor="text1"/>
          <w:kern w:val="24"/>
          <w:sz w:val="24"/>
          <w:szCs w:val="24"/>
        </w:rPr>
        <w:t>obtained within 24 hours of surgical resection were cultured either alone (TILs), with Mel-624 (TILs+Mel-624) or with Mel-624 OKT3 (TILs+Mel-624 OKT3</w:t>
      </w:r>
      <w:r w:rsidR="00B55978" w:rsidRPr="003F4A33">
        <w:rPr>
          <w:rFonts w:ascii="Calibri" w:eastAsia="Calibri" w:hAnsi="Calibri" w:cs="Calibri"/>
          <w:color w:val="000000" w:themeColor="text1"/>
          <w:kern w:val="24"/>
          <w:sz w:val="24"/>
          <w:szCs w:val="24"/>
        </w:rPr>
        <w:t>)</w:t>
      </w:r>
      <w:r w:rsidR="00B55978" w:rsidRPr="003F4A33">
        <w:rPr>
          <w:color w:val="000000" w:themeColor="text1"/>
          <w:kern w:val="24"/>
          <w:sz w:val="24"/>
          <w:szCs w:val="24"/>
        </w:rPr>
        <w:t xml:space="preserve">, a modified Mel-624 tumor cell line expressing surface bound anti-CD3 </w:t>
      </w:r>
      <w:proofErr w:type="spellStart"/>
      <w:r w:rsidR="00B55978" w:rsidRPr="003F4A33">
        <w:rPr>
          <w:color w:val="000000" w:themeColor="text1"/>
          <w:kern w:val="24"/>
          <w:sz w:val="24"/>
          <w:szCs w:val="24"/>
        </w:rPr>
        <w:t>scFv</w:t>
      </w:r>
      <w:proofErr w:type="spellEnd"/>
      <w:r w:rsidR="00B55978" w:rsidRPr="003F4A33">
        <w:rPr>
          <w:color w:val="000000" w:themeColor="text1"/>
          <w:kern w:val="24"/>
          <w:sz w:val="24"/>
          <w:szCs w:val="24"/>
        </w:rPr>
        <w:t xml:space="preserve"> (OKT3).  TILs+Mel-624 OKT3 cells were cultured in the presence of isotype control antibody (IgG).  After 24-48 </w:t>
      </w:r>
      <w:proofErr w:type="spellStart"/>
      <w:r w:rsidR="00B55978" w:rsidRPr="003F4A33">
        <w:rPr>
          <w:color w:val="000000" w:themeColor="text1"/>
          <w:kern w:val="24"/>
          <w:sz w:val="24"/>
          <w:szCs w:val="24"/>
        </w:rPr>
        <w:t>hrs</w:t>
      </w:r>
      <w:proofErr w:type="spellEnd"/>
      <w:r w:rsidR="00B55978" w:rsidRPr="003F4A33">
        <w:rPr>
          <w:color w:val="000000" w:themeColor="text1"/>
          <w:kern w:val="24"/>
          <w:sz w:val="24"/>
          <w:szCs w:val="24"/>
        </w:rPr>
        <w:t>, conditioned media was assessed for IFN-</w:t>
      </w:r>
      <w:r w:rsidR="00B55978" w:rsidRPr="003F4A33">
        <w:rPr>
          <w:rFonts w:ascii="Symbol" w:hAnsi="Symbol"/>
          <w:color w:val="000000" w:themeColor="text1"/>
          <w:kern w:val="24"/>
          <w:sz w:val="24"/>
          <w:szCs w:val="24"/>
        </w:rPr>
        <w:t></w:t>
      </w:r>
      <w:r w:rsidR="00B55978" w:rsidRPr="003F4A33">
        <w:rPr>
          <w:color w:val="000000" w:themeColor="text1"/>
          <w:kern w:val="24"/>
          <w:sz w:val="24"/>
          <w:szCs w:val="24"/>
        </w:rPr>
        <w:t xml:space="preserve"> and each line represents a single patient.</w:t>
      </w:r>
    </w:p>
    <w:p w14:paraId="7CBD74B2" w14:textId="22A7DF94" w:rsidR="00460722" w:rsidRPr="00B55978" w:rsidRDefault="00460722" w:rsidP="001B6C57">
      <w:pPr>
        <w:spacing w:line="360" w:lineRule="auto"/>
        <w:jc w:val="both"/>
        <w:textAlignment w:val="baseline"/>
        <w:rPr>
          <w:rFonts w:eastAsiaTheme="minorEastAsia"/>
          <w:sz w:val="24"/>
          <w:szCs w:val="24"/>
        </w:rPr>
      </w:pPr>
    </w:p>
    <w:p w14:paraId="6CA8EECB" w14:textId="77777777" w:rsidR="00B55978" w:rsidRPr="003F4A33" w:rsidRDefault="00B55978" w:rsidP="00B55978">
      <w:pPr>
        <w:spacing w:line="360" w:lineRule="auto"/>
        <w:jc w:val="both"/>
        <w:rPr>
          <w:b/>
          <w:sz w:val="24"/>
          <w:szCs w:val="24"/>
        </w:rPr>
      </w:pPr>
      <w:r w:rsidRPr="003F4A33">
        <w:rPr>
          <w:b/>
          <w:sz w:val="24"/>
          <w:szCs w:val="24"/>
        </w:rPr>
        <w:t>Figure S7: Statistical tests for data in Figure 1, 2, and 6.</w:t>
      </w:r>
    </w:p>
    <w:p w14:paraId="27DDCA59" w14:textId="77777777" w:rsidR="00B55978" w:rsidRPr="003F4A33" w:rsidRDefault="00B55978" w:rsidP="00B55978">
      <w:pPr>
        <w:spacing w:line="360" w:lineRule="auto"/>
        <w:rPr>
          <w:sz w:val="24"/>
          <w:szCs w:val="24"/>
        </w:rPr>
      </w:pPr>
      <w:r w:rsidRPr="003F4A33">
        <w:rPr>
          <w:sz w:val="24"/>
          <w:szCs w:val="24"/>
        </w:rPr>
        <w:t>For each donor, Student’s t-test was performed on data from Figure 1, 2, and 6. p values are reported in the tables.</w:t>
      </w:r>
    </w:p>
    <w:p w14:paraId="1F9C7273" w14:textId="77777777" w:rsidR="000418C9" w:rsidRPr="00F46B67" w:rsidRDefault="000418C9" w:rsidP="000418C9">
      <w:pPr>
        <w:spacing w:line="360" w:lineRule="auto"/>
        <w:jc w:val="both"/>
        <w:textAlignment w:val="baseline"/>
        <w:rPr>
          <w:rFonts w:eastAsiaTheme="minorEastAsia"/>
          <w:b/>
          <w:bCs/>
          <w:sz w:val="24"/>
          <w:szCs w:val="24"/>
        </w:rPr>
      </w:pPr>
    </w:p>
    <w:p w14:paraId="2ADBD8E0" w14:textId="77777777" w:rsidR="00345E8D" w:rsidRPr="00345E8D" w:rsidRDefault="00345E8D" w:rsidP="001B6C57">
      <w:pPr>
        <w:spacing w:line="360" w:lineRule="auto"/>
        <w:rPr>
          <w:sz w:val="24"/>
          <w:szCs w:val="24"/>
        </w:rPr>
      </w:pPr>
    </w:p>
    <w:p w14:paraId="0482207C" w14:textId="77777777" w:rsidR="00AD2C6C" w:rsidRDefault="00AD2C6C" w:rsidP="001B6C57">
      <w:pPr>
        <w:spacing w:line="360" w:lineRule="auto"/>
      </w:pPr>
    </w:p>
    <w:sectPr w:rsidR="00AD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5BD7"/>
    <w:multiLevelType w:val="hybridMultilevel"/>
    <w:tmpl w:val="A424A23C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3E8C"/>
    <w:multiLevelType w:val="hybridMultilevel"/>
    <w:tmpl w:val="89F062D2"/>
    <w:lvl w:ilvl="0" w:tplc="48F8CB30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6EF0"/>
    <w:multiLevelType w:val="hybridMultilevel"/>
    <w:tmpl w:val="5B703596"/>
    <w:lvl w:ilvl="0" w:tplc="1B3C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0E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A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0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E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2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0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A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05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6A43F1"/>
    <w:multiLevelType w:val="hybridMultilevel"/>
    <w:tmpl w:val="BE6A8B1E"/>
    <w:lvl w:ilvl="0" w:tplc="2F228EC0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C"/>
    <w:rsid w:val="000137B7"/>
    <w:rsid w:val="000418C9"/>
    <w:rsid w:val="00050BD8"/>
    <w:rsid w:val="00056D67"/>
    <w:rsid w:val="00067E82"/>
    <w:rsid w:val="000739A6"/>
    <w:rsid w:val="00084907"/>
    <w:rsid w:val="000A6835"/>
    <w:rsid w:val="00124CBB"/>
    <w:rsid w:val="00125E82"/>
    <w:rsid w:val="00134BBC"/>
    <w:rsid w:val="00186A09"/>
    <w:rsid w:val="001B6C57"/>
    <w:rsid w:val="001C16BB"/>
    <w:rsid w:val="001D0329"/>
    <w:rsid w:val="001D0EE0"/>
    <w:rsid w:val="002147B9"/>
    <w:rsid w:val="002153D1"/>
    <w:rsid w:val="00220B5B"/>
    <w:rsid w:val="00225AA6"/>
    <w:rsid w:val="00255F33"/>
    <w:rsid w:val="0026020C"/>
    <w:rsid w:val="00263324"/>
    <w:rsid w:val="00294261"/>
    <w:rsid w:val="002A0285"/>
    <w:rsid w:val="002B6B90"/>
    <w:rsid w:val="002C02A5"/>
    <w:rsid w:val="002C361F"/>
    <w:rsid w:val="002C7ED2"/>
    <w:rsid w:val="002D4C86"/>
    <w:rsid w:val="00301DD9"/>
    <w:rsid w:val="00322369"/>
    <w:rsid w:val="00345E8D"/>
    <w:rsid w:val="00350938"/>
    <w:rsid w:val="0035131E"/>
    <w:rsid w:val="0035467F"/>
    <w:rsid w:val="00391AFD"/>
    <w:rsid w:val="003B2696"/>
    <w:rsid w:val="003D1C3A"/>
    <w:rsid w:val="003D52C7"/>
    <w:rsid w:val="003E6310"/>
    <w:rsid w:val="004220A0"/>
    <w:rsid w:val="00430F80"/>
    <w:rsid w:val="00446F83"/>
    <w:rsid w:val="00460722"/>
    <w:rsid w:val="00470436"/>
    <w:rsid w:val="00494BA2"/>
    <w:rsid w:val="004A405B"/>
    <w:rsid w:val="004C0DE5"/>
    <w:rsid w:val="004E2BCC"/>
    <w:rsid w:val="004E770B"/>
    <w:rsid w:val="0053731A"/>
    <w:rsid w:val="0056523C"/>
    <w:rsid w:val="00574591"/>
    <w:rsid w:val="0058001C"/>
    <w:rsid w:val="00582D79"/>
    <w:rsid w:val="005D532C"/>
    <w:rsid w:val="005D615C"/>
    <w:rsid w:val="005D7C17"/>
    <w:rsid w:val="005E66ED"/>
    <w:rsid w:val="0061082C"/>
    <w:rsid w:val="006159D5"/>
    <w:rsid w:val="006253D6"/>
    <w:rsid w:val="0066055A"/>
    <w:rsid w:val="00682D4D"/>
    <w:rsid w:val="00694253"/>
    <w:rsid w:val="00711770"/>
    <w:rsid w:val="007648EA"/>
    <w:rsid w:val="00771387"/>
    <w:rsid w:val="00781DA4"/>
    <w:rsid w:val="007B1B5B"/>
    <w:rsid w:val="007B688C"/>
    <w:rsid w:val="007D0782"/>
    <w:rsid w:val="007F67E9"/>
    <w:rsid w:val="00803723"/>
    <w:rsid w:val="0080624B"/>
    <w:rsid w:val="00813D2F"/>
    <w:rsid w:val="008406E4"/>
    <w:rsid w:val="00867C00"/>
    <w:rsid w:val="00880EDE"/>
    <w:rsid w:val="00883A97"/>
    <w:rsid w:val="008874FE"/>
    <w:rsid w:val="008941B7"/>
    <w:rsid w:val="008E7290"/>
    <w:rsid w:val="008F3E89"/>
    <w:rsid w:val="00904FC8"/>
    <w:rsid w:val="00907C90"/>
    <w:rsid w:val="009155E1"/>
    <w:rsid w:val="00940E04"/>
    <w:rsid w:val="009576F1"/>
    <w:rsid w:val="0097043A"/>
    <w:rsid w:val="00994739"/>
    <w:rsid w:val="009A23FB"/>
    <w:rsid w:val="009A7088"/>
    <w:rsid w:val="009A7D35"/>
    <w:rsid w:val="009B487E"/>
    <w:rsid w:val="009E557A"/>
    <w:rsid w:val="009F0871"/>
    <w:rsid w:val="00A02A36"/>
    <w:rsid w:val="00A31853"/>
    <w:rsid w:val="00A47218"/>
    <w:rsid w:val="00A705A4"/>
    <w:rsid w:val="00A73860"/>
    <w:rsid w:val="00AB6899"/>
    <w:rsid w:val="00AD2285"/>
    <w:rsid w:val="00AD2C6C"/>
    <w:rsid w:val="00AD3D76"/>
    <w:rsid w:val="00B03C51"/>
    <w:rsid w:val="00B248CA"/>
    <w:rsid w:val="00B272D8"/>
    <w:rsid w:val="00B55978"/>
    <w:rsid w:val="00B759BD"/>
    <w:rsid w:val="00BC4DF8"/>
    <w:rsid w:val="00BD453D"/>
    <w:rsid w:val="00BE1AE7"/>
    <w:rsid w:val="00C1523A"/>
    <w:rsid w:val="00C46344"/>
    <w:rsid w:val="00C67744"/>
    <w:rsid w:val="00CA2243"/>
    <w:rsid w:val="00CD0D49"/>
    <w:rsid w:val="00CD0F8A"/>
    <w:rsid w:val="00CE4E02"/>
    <w:rsid w:val="00CF538D"/>
    <w:rsid w:val="00D44F2F"/>
    <w:rsid w:val="00D5145C"/>
    <w:rsid w:val="00D955FD"/>
    <w:rsid w:val="00D9757D"/>
    <w:rsid w:val="00DC4FC6"/>
    <w:rsid w:val="00E0370D"/>
    <w:rsid w:val="00E23D01"/>
    <w:rsid w:val="00E72FF4"/>
    <w:rsid w:val="00E748BB"/>
    <w:rsid w:val="00EF24D7"/>
    <w:rsid w:val="00EF64DA"/>
    <w:rsid w:val="00F1574E"/>
    <w:rsid w:val="00F46B67"/>
    <w:rsid w:val="00F60516"/>
    <w:rsid w:val="00F74C96"/>
    <w:rsid w:val="00F9343E"/>
    <w:rsid w:val="00FC7556"/>
    <w:rsid w:val="021EE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3694"/>
  <w15:chartTrackingRefBased/>
  <w15:docId w15:val="{D194D2AB-99B5-4875-B354-26F2FA2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F8A"/>
    <w:pPr>
      <w:spacing w:after="200" w:line="276" w:lineRule="auto"/>
      <w:ind w:left="720"/>
      <w:contextualSpacing/>
    </w:pPr>
    <w:rPr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5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6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574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3D01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10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7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53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8D2D201300846907693485C26D4C7" ma:contentTypeVersion="7" ma:contentTypeDescription="Create a new document." ma:contentTypeScope="" ma:versionID="44b066526f3d1e57b722d956ef9d44d7">
  <xsd:schema xmlns:xsd="http://www.w3.org/2001/XMLSchema" xmlns:xs="http://www.w3.org/2001/XMLSchema" xmlns:p="http://schemas.microsoft.com/office/2006/metadata/properties" xmlns:ns2="87b1e745-078b-43c4-b733-bf9be50d6636" xmlns:ns3="904bb879-1bd4-4d31-b86f-b9dafda6fd68" xmlns:ns4="46ab9b31-8b73-450b-8964-af529f5a7cd0" targetNamespace="http://schemas.microsoft.com/office/2006/metadata/properties" ma:root="true" ma:fieldsID="9692eaae061c73921a48908ce60974ff" ns2:_="" ns3:_="" ns4:_="">
    <xsd:import namespace="87b1e745-078b-43c4-b733-bf9be50d6636"/>
    <xsd:import namespace="904bb879-1bd4-4d31-b86f-b9dafda6fd68"/>
    <xsd:import namespace="46ab9b31-8b73-450b-8964-af529f5a7c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745-078b-43c4-b733-bf9be50d6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bb879-1bd4-4d31-b86f-b9dafda6fd68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b9b31-8b73-450b-8964-af529f5a7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C49F-08F5-42F3-A562-30CF8FF9E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5708D-B5E6-49B1-AF3C-58315A2E0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745-078b-43c4-b733-bf9be50d6636"/>
    <ds:schemaRef ds:uri="904bb879-1bd4-4d31-b86f-b9dafda6fd68"/>
    <ds:schemaRef ds:uri="46ab9b31-8b73-450b-8964-af529f5a7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32C6B-3F71-49FE-8D37-6FF90F856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5D3A8-D9CE-46B8-B681-2C784B03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Whelan</dc:creator>
  <cp:keywords/>
  <dc:description/>
  <cp:lastModifiedBy>Rubio, Brittany</cp:lastModifiedBy>
  <cp:revision>7</cp:revision>
  <cp:lastPrinted>2018-06-22T22:30:00Z</cp:lastPrinted>
  <dcterms:created xsi:type="dcterms:W3CDTF">2018-11-17T06:23:00Z</dcterms:created>
  <dcterms:modified xsi:type="dcterms:W3CDTF">2018-12-03T20:51:00Z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0x0101005728D2D201300846907693485C26D4C7</vt:lpwstr>
  </property>
</Properties>
</file>