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1441" w:rsidRPr="004B2ED1" w:rsidRDefault="008A1441" w:rsidP="008A1441">
      <w:pPr>
        <w:spacing w:line="480" w:lineRule="auto"/>
        <w:jc w:val="both"/>
        <w:rPr>
          <w:rFonts w:asciiTheme="majorBidi" w:hAnsiTheme="majorBidi" w:cstheme="majorBidi"/>
          <w:b/>
        </w:rPr>
      </w:pPr>
      <w:r w:rsidRPr="004B2ED1">
        <w:rPr>
          <w:rFonts w:asciiTheme="majorBidi" w:hAnsiTheme="majorBidi" w:cstheme="majorBidi"/>
          <w:b/>
        </w:rPr>
        <w:t>Supplemental Figures (Roghanian et al., CIR-18-0835R)</w:t>
      </w:r>
    </w:p>
    <w:p w:rsidR="008A1441" w:rsidRDefault="004B2ED1" w:rsidP="008A1441">
      <w:pPr>
        <w:spacing w:line="480" w:lineRule="auto"/>
        <w:jc w:val="both"/>
        <w:rPr>
          <w:rFonts w:asciiTheme="majorBidi" w:hAnsiTheme="majorBidi" w:cstheme="majorBidi"/>
          <w:b/>
          <w:lang w:val="en-US"/>
        </w:rPr>
      </w:pPr>
      <w:r>
        <w:rPr>
          <w:rFonts w:asciiTheme="majorBidi" w:hAnsiTheme="majorBidi" w:cstheme="majorBidi"/>
          <w:b/>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2pt;height:346.4pt">
            <v:imagedata r:id="rId4" o:title="Figure S1-resub"/>
          </v:shape>
        </w:pict>
      </w:r>
    </w:p>
    <w:p w:rsidR="002339ED" w:rsidRDefault="002339ED" w:rsidP="001B13BB">
      <w:pPr>
        <w:spacing w:line="480" w:lineRule="auto"/>
        <w:jc w:val="both"/>
        <w:rPr>
          <w:rFonts w:asciiTheme="majorBidi" w:hAnsiTheme="majorBidi" w:cstheme="majorBidi"/>
          <w:b/>
          <w:bCs/>
          <w:lang w:val="en-US"/>
        </w:rPr>
      </w:pPr>
    </w:p>
    <w:p w:rsidR="001B13BB" w:rsidRDefault="001B13BB" w:rsidP="001B13BB">
      <w:pPr>
        <w:spacing w:line="480" w:lineRule="auto"/>
        <w:jc w:val="both"/>
        <w:rPr>
          <w:rFonts w:asciiTheme="majorBidi" w:hAnsiTheme="majorBidi" w:cstheme="majorBidi"/>
          <w:bCs/>
          <w:lang w:val="en-US"/>
        </w:rPr>
      </w:pPr>
      <w:r w:rsidRPr="004B2ED1">
        <w:rPr>
          <w:rFonts w:asciiTheme="majorBidi" w:hAnsiTheme="majorBidi" w:cstheme="majorBidi"/>
          <w:b/>
          <w:bCs/>
          <w:lang w:val="en-US"/>
        </w:rPr>
        <w:t xml:space="preserve">Supplemental Figure 1 (related to Figure 1A). BM-resident B-lymphoma cells are refractory to </w:t>
      </w:r>
      <w:proofErr w:type="spellStart"/>
      <w:r w:rsidRPr="004B2ED1">
        <w:rPr>
          <w:rFonts w:asciiTheme="majorBidi" w:hAnsiTheme="majorBidi" w:cstheme="majorBidi"/>
          <w:b/>
          <w:bCs/>
          <w:lang w:val="en-US"/>
        </w:rPr>
        <w:t>alemtuzumab</w:t>
      </w:r>
      <w:proofErr w:type="spellEnd"/>
      <w:r w:rsidRPr="004B2ED1">
        <w:rPr>
          <w:rFonts w:asciiTheme="majorBidi" w:hAnsiTheme="majorBidi" w:cstheme="majorBidi"/>
          <w:b/>
          <w:bCs/>
          <w:lang w:val="en-US"/>
        </w:rPr>
        <w:t xml:space="preserve"> treatment. </w:t>
      </w:r>
      <w:r w:rsidRPr="004B2ED1">
        <w:rPr>
          <w:rFonts w:asciiTheme="majorBidi" w:hAnsiTheme="majorBidi" w:cstheme="majorBidi"/>
          <w:bCs/>
          <w:lang w:val="en-US"/>
        </w:rPr>
        <w:t xml:space="preserve">Adult NSG mice </w:t>
      </w:r>
      <w:proofErr w:type="gramStart"/>
      <w:r w:rsidRPr="004B2ED1">
        <w:rPr>
          <w:rFonts w:asciiTheme="majorBidi" w:hAnsiTheme="majorBidi" w:cstheme="majorBidi"/>
          <w:bCs/>
          <w:lang w:val="en-US"/>
        </w:rPr>
        <w:t>were engrafted with 1x10</w:t>
      </w:r>
      <w:r w:rsidRPr="004B2ED1">
        <w:rPr>
          <w:rFonts w:asciiTheme="majorBidi" w:hAnsiTheme="majorBidi" w:cstheme="majorBidi"/>
          <w:bCs/>
          <w:vertAlign w:val="superscript"/>
          <w:lang w:val="en-US"/>
        </w:rPr>
        <w:t>7</w:t>
      </w:r>
      <w:r w:rsidRPr="004B2ED1">
        <w:rPr>
          <w:rFonts w:asciiTheme="majorBidi" w:hAnsiTheme="majorBidi" w:cstheme="majorBidi"/>
          <w:bCs/>
          <w:lang w:val="en-US"/>
        </w:rPr>
        <w:t xml:space="preserve"> human B-lymphoma cells and subsequently treated with 10 mg/kg </w:t>
      </w:r>
      <w:proofErr w:type="spellStart"/>
      <w:r w:rsidRPr="004B2ED1">
        <w:rPr>
          <w:rFonts w:asciiTheme="majorBidi" w:hAnsiTheme="majorBidi" w:cstheme="majorBidi"/>
          <w:bCs/>
          <w:lang w:val="en-US"/>
        </w:rPr>
        <w:t>alemtuzumab</w:t>
      </w:r>
      <w:proofErr w:type="spellEnd"/>
      <w:r w:rsidRPr="004B2ED1">
        <w:rPr>
          <w:rFonts w:asciiTheme="majorBidi" w:hAnsiTheme="majorBidi" w:cstheme="majorBidi"/>
          <w:bCs/>
          <w:lang w:val="en-US"/>
        </w:rPr>
        <w:t xml:space="preserve"> (anti- human CD52)</w:t>
      </w:r>
      <w:proofErr w:type="gramEnd"/>
      <w:r w:rsidRPr="004B2ED1">
        <w:rPr>
          <w:rFonts w:asciiTheme="majorBidi" w:hAnsiTheme="majorBidi" w:cstheme="majorBidi"/>
          <w:bCs/>
          <w:lang w:val="en-US"/>
        </w:rPr>
        <w:t xml:space="preserve">. Mice were sacrificed 5 days post mAb treatment and assayed for the presence of human lymphoma cells in the blood, spleen and BM. Shown are representative histograms for human CD45 staining of total live cells from blood, spleen and BM of non-treated (NT) and </w:t>
      </w:r>
      <w:proofErr w:type="spellStart"/>
      <w:r w:rsidRPr="004B2ED1">
        <w:rPr>
          <w:rFonts w:asciiTheme="majorBidi" w:hAnsiTheme="majorBidi" w:cstheme="majorBidi"/>
          <w:bCs/>
          <w:lang w:val="en-US"/>
        </w:rPr>
        <w:t>alemtuzumab</w:t>
      </w:r>
      <w:proofErr w:type="spellEnd"/>
      <w:r w:rsidRPr="004B2ED1">
        <w:rPr>
          <w:rFonts w:asciiTheme="majorBidi" w:hAnsiTheme="majorBidi" w:cstheme="majorBidi"/>
          <w:bCs/>
          <w:lang w:val="en-US"/>
        </w:rPr>
        <w:t>-treated mice (n = 3 mice/group).</w:t>
      </w:r>
    </w:p>
    <w:p w:rsidR="008A1441" w:rsidRPr="006006ED" w:rsidRDefault="008A1441" w:rsidP="008A1441">
      <w:pPr>
        <w:spacing w:line="480" w:lineRule="auto"/>
        <w:jc w:val="both"/>
        <w:rPr>
          <w:rFonts w:asciiTheme="majorBidi" w:hAnsiTheme="majorBidi" w:cstheme="majorBidi"/>
          <w:bCs/>
          <w:lang w:val="en-US"/>
        </w:rPr>
      </w:pPr>
    </w:p>
    <w:p w:rsidR="008A1441" w:rsidRDefault="008A1441" w:rsidP="008A1441">
      <w:pPr>
        <w:spacing w:line="480" w:lineRule="auto"/>
        <w:jc w:val="both"/>
        <w:rPr>
          <w:rFonts w:asciiTheme="majorBidi" w:hAnsiTheme="majorBidi" w:cstheme="majorBidi"/>
          <w:b/>
          <w:bCs/>
          <w:lang w:val="en-US"/>
        </w:rPr>
      </w:pPr>
    </w:p>
    <w:p w:rsidR="008A1441" w:rsidRDefault="004B2ED1" w:rsidP="008A1441">
      <w:pPr>
        <w:spacing w:line="480" w:lineRule="auto"/>
        <w:jc w:val="both"/>
        <w:rPr>
          <w:rFonts w:asciiTheme="majorBidi" w:hAnsiTheme="majorBidi" w:cstheme="majorBidi"/>
          <w:b/>
          <w:bCs/>
          <w:lang w:val="en-US"/>
        </w:rPr>
      </w:pPr>
      <w:r>
        <w:rPr>
          <w:rFonts w:asciiTheme="majorBidi" w:hAnsiTheme="majorBidi" w:cstheme="majorBidi"/>
          <w:b/>
          <w:bCs/>
          <w:lang w:val="en-US"/>
        </w:rPr>
        <w:lastRenderedPageBreak/>
        <w:pict>
          <v:shape id="_x0000_i1026" type="#_x0000_t75" style="width:451pt;height:139.25pt">
            <v:imagedata r:id="rId5" o:title="Figure S2-resub"/>
          </v:shape>
        </w:pict>
      </w:r>
    </w:p>
    <w:p w:rsidR="002339ED" w:rsidRDefault="002339ED" w:rsidP="001B13BB">
      <w:pPr>
        <w:spacing w:line="480" w:lineRule="auto"/>
        <w:jc w:val="both"/>
        <w:rPr>
          <w:rFonts w:asciiTheme="majorBidi" w:hAnsiTheme="majorBidi" w:cstheme="majorBidi"/>
          <w:b/>
          <w:bCs/>
          <w:lang w:val="en-US"/>
        </w:rPr>
      </w:pPr>
    </w:p>
    <w:p w:rsidR="001B13BB" w:rsidRDefault="001B13BB" w:rsidP="001B13BB">
      <w:pPr>
        <w:spacing w:line="480" w:lineRule="auto"/>
        <w:jc w:val="both"/>
        <w:rPr>
          <w:rFonts w:asciiTheme="majorBidi" w:hAnsiTheme="majorBidi" w:cstheme="majorBidi"/>
        </w:rPr>
      </w:pPr>
      <w:r w:rsidRPr="004B2ED1">
        <w:rPr>
          <w:rFonts w:asciiTheme="majorBidi" w:hAnsiTheme="majorBidi" w:cstheme="majorBidi"/>
          <w:b/>
          <w:bCs/>
          <w:lang w:val="en-US"/>
        </w:rPr>
        <w:t>Supplemental Figure 2 (related to Figure 1D).</w:t>
      </w:r>
      <w:r w:rsidRPr="004B2ED1">
        <w:rPr>
          <w:rFonts w:asciiTheme="majorBidi" w:hAnsiTheme="majorBidi" w:cstheme="majorBidi"/>
          <w:bCs/>
          <w:lang w:val="en-US"/>
        </w:rPr>
        <w:t xml:space="preserve"> </w:t>
      </w:r>
      <w:r w:rsidRPr="004B2ED1">
        <w:rPr>
          <w:rFonts w:asciiTheme="majorBidi" w:hAnsiTheme="majorBidi" w:cstheme="majorBidi"/>
          <w:b/>
          <w:bCs/>
        </w:rPr>
        <w:t xml:space="preserve">Human BM macrophages express higher levels of FcγRIIB compared to those in LN.  </w:t>
      </w:r>
      <w:r w:rsidRPr="004B2ED1">
        <w:rPr>
          <w:rFonts w:asciiTheme="majorBidi" w:hAnsiTheme="majorBidi" w:cstheme="majorBidi"/>
        </w:rPr>
        <w:t>FFPE diagnostic LN biopsies and staging BM trephines from a patient with DLBCL were double-stained with antibodies to human CD68 (pink) and FcγRIIB (brown) on the same slide. Representative IHC images are shown (original magnification x400; scale bar is 20µm) from areas with high (left panel) and low lymphoma burden (right panel). The insert in each image represents 10x higher magnification of a representative macrophage taken from the same section. Black arrows point to CD68</w:t>
      </w:r>
      <w:r w:rsidRPr="004B2ED1">
        <w:rPr>
          <w:rFonts w:asciiTheme="majorBidi" w:hAnsiTheme="majorBidi" w:cstheme="majorBidi"/>
          <w:vertAlign w:val="superscript"/>
        </w:rPr>
        <w:t>+</w:t>
      </w:r>
      <w:r w:rsidRPr="004B2ED1">
        <w:rPr>
          <w:rFonts w:asciiTheme="majorBidi" w:hAnsiTheme="majorBidi" w:cstheme="majorBidi"/>
        </w:rPr>
        <w:t xml:space="preserve"> macrophages in the LN and BM.</w:t>
      </w:r>
    </w:p>
    <w:p w:rsidR="002339ED" w:rsidRDefault="002339ED" w:rsidP="001B13BB">
      <w:pPr>
        <w:spacing w:line="480" w:lineRule="auto"/>
        <w:jc w:val="both"/>
        <w:rPr>
          <w:rFonts w:asciiTheme="majorBidi" w:hAnsiTheme="majorBidi" w:cstheme="majorBidi"/>
        </w:rPr>
      </w:pPr>
    </w:p>
    <w:p w:rsidR="002339ED" w:rsidRPr="00006097" w:rsidRDefault="002339ED" w:rsidP="001B13BB">
      <w:pPr>
        <w:spacing w:line="480" w:lineRule="auto"/>
        <w:jc w:val="both"/>
        <w:rPr>
          <w:rFonts w:asciiTheme="majorBidi" w:hAnsiTheme="majorBidi" w:cstheme="majorBidi"/>
        </w:rPr>
      </w:pPr>
    </w:p>
    <w:p w:rsidR="008A1441" w:rsidRDefault="002339ED" w:rsidP="008A1441">
      <w:pPr>
        <w:tabs>
          <w:tab w:val="left" w:pos="3480"/>
        </w:tabs>
        <w:spacing w:line="480" w:lineRule="auto"/>
        <w:jc w:val="both"/>
        <w:rPr>
          <w:rFonts w:asciiTheme="majorBidi" w:hAnsiTheme="majorBidi" w:cstheme="majorBidi"/>
          <w:bCs/>
        </w:rPr>
      </w:pPr>
      <w:r>
        <w:rPr>
          <w:rFonts w:asciiTheme="majorBidi" w:hAnsiTheme="majorBidi" w:cstheme="majorBidi"/>
          <w:bCs/>
        </w:rPr>
        <w:pict>
          <v:shape id="_x0000_i1031" type="#_x0000_t75" style="width:451pt;height:91pt">
            <v:imagedata r:id="rId6" o:title="Figure S3-final"/>
          </v:shape>
        </w:pict>
      </w:r>
    </w:p>
    <w:p w:rsidR="002339ED" w:rsidRDefault="002339ED" w:rsidP="008A1441">
      <w:pPr>
        <w:tabs>
          <w:tab w:val="left" w:pos="3480"/>
        </w:tabs>
        <w:spacing w:line="480" w:lineRule="auto"/>
        <w:jc w:val="both"/>
        <w:rPr>
          <w:rFonts w:asciiTheme="majorBidi" w:hAnsiTheme="majorBidi" w:cstheme="majorBidi"/>
          <w:b/>
          <w:bCs/>
          <w:highlight w:val="yellow"/>
          <w:lang w:val="en-US"/>
        </w:rPr>
      </w:pPr>
    </w:p>
    <w:p w:rsidR="004B2ED1" w:rsidRDefault="004B2ED1" w:rsidP="008A1441">
      <w:pPr>
        <w:tabs>
          <w:tab w:val="left" w:pos="3480"/>
        </w:tabs>
        <w:spacing w:line="480" w:lineRule="auto"/>
        <w:jc w:val="both"/>
        <w:rPr>
          <w:rFonts w:asciiTheme="majorBidi" w:hAnsiTheme="majorBidi" w:cstheme="majorBidi"/>
          <w:lang w:val="en-US"/>
        </w:rPr>
      </w:pPr>
      <w:r w:rsidRPr="00CB79C1">
        <w:rPr>
          <w:rFonts w:asciiTheme="majorBidi" w:hAnsiTheme="majorBidi" w:cstheme="majorBidi"/>
          <w:b/>
          <w:bCs/>
          <w:lang w:val="en-US"/>
        </w:rPr>
        <w:t xml:space="preserve">Supplemental Figure </w:t>
      </w:r>
      <w:r w:rsidRPr="00CB79C1">
        <w:rPr>
          <w:rFonts w:asciiTheme="majorBidi" w:hAnsiTheme="majorBidi" w:cstheme="majorBidi"/>
          <w:b/>
          <w:bCs/>
          <w:lang w:val="en-US"/>
        </w:rPr>
        <w:t>3</w:t>
      </w:r>
      <w:r w:rsidRPr="00CB79C1">
        <w:rPr>
          <w:rFonts w:asciiTheme="majorBidi" w:hAnsiTheme="majorBidi" w:cstheme="majorBidi"/>
          <w:b/>
          <w:bCs/>
          <w:lang w:val="en-US"/>
        </w:rPr>
        <w:t xml:space="preserve"> (related to Figure </w:t>
      </w:r>
      <w:r w:rsidR="00DF3FC3" w:rsidRPr="00CB79C1">
        <w:rPr>
          <w:rFonts w:asciiTheme="majorBidi" w:hAnsiTheme="majorBidi" w:cstheme="majorBidi"/>
          <w:b/>
          <w:bCs/>
          <w:lang w:val="en-US"/>
        </w:rPr>
        <w:t>2</w:t>
      </w:r>
      <w:r w:rsidRPr="00CB79C1">
        <w:rPr>
          <w:rFonts w:asciiTheme="majorBidi" w:hAnsiTheme="majorBidi" w:cstheme="majorBidi"/>
          <w:b/>
          <w:bCs/>
          <w:lang w:val="en-US"/>
        </w:rPr>
        <w:t>).</w:t>
      </w:r>
      <w:r w:rsidR="00DF3FC3" w:rsidRPr="00CB79C1">
        <w:rPr>
          <w:rFonts w:asciiTheme="majorBidi" w:hAnsiTheme="majorBidi" w:cstheme="majorBidi"/>
          <w:b/>
          <w:bCs/>
          <w:lang w:val="en-US"/>
        </w:rPr>
        <w:t xml:space="preserve"> </w:t>
      </w:r>
      <w:r w:rsidR="00DF3FC3" w:rsidRPr="00CB79C1">
        <w:rPr>
          <w:rFonts w:asciiTheme="majorBidi" w:hAnsiTheme="majorBidi" w:cstheme="majorBidi"/>
          <w:b/>
          <w:bCs/>
          <w:lang w:val="en-US"/>
        </w:rPr>
        <w:t xml:space="preserve">CTX treatment </w:t>
      </w:r>
      <w:r w:rsidR="00DF3FC3" w:rsidRPr="00CB79C1">
        <w:rPr>
          <w:rFonts w:asciiTheme="majorBidi" w:hAnsiTheme="majorBidi" w:cstheme="majorBidi"/>
          <w:b/>
          <w:bCs/>
          <w:lang w:val="en-US"/>
        </w:rPr>
        <w:t>results in a modest increase in Ly6C</w:t>
      </w:r>
      <w:r w:rsidR="00DF3FC3" w:rsidRPr="00CB79C1">
        <w:rPr>
          <w:rFonts w:asciiTheme="majorBidi" w:hAnsiTheme="majorBidi" w:cstheme="majorBidi"/>
          <w:b/>
          <w:bCs/>
          <w:vertAlign w:val="superscript"/>
          <w:lang w:val="en-US"/>
        </w:rPr>
        <w:t>+</w:t>
      </w:r>
      <w:r w:rsidR="00DF3FC3" w:rsidRPr="00CB79C1">
        <w:rPr>
          <w:rFonts w:asciiTheme="majorBidi" w:hAnsiTheme="majorBidi" w:cstheme="majorBidi"/>
          <w:b/>
          <w:bCs/>
          <w:lang w:val="en-US"/>
        </w:rPr>
        <w:t xml:space="preserve"> monocyte</w:t>
      </w:r>
      <w:r w:rsidR="00DF3FC3" w:rsidRPr="00CB79C1">
        <w:rPr>
          <w:rFonts w:asciiTheme="majorBidi" w:hAnsiTheme="majorBidi" w:cstheme="majorBidi"/>
          <w:b/>
          <w:bCs/>
          <w:lang w:val="en-US"/>
        </w:rPr>
        <w:t xml:space="preserve"> </w:t>
      </w:r>
      <w:proofErr w:type="spellStart"/>
      <w:r w:rsidR="00DF3FC3" w:rsidRPr="00CB79C1">
        <w:rPr>
          <w:rFonts w:asciiTheme="majorBidi" w:hAnsiTheme="majorBidi" w:cstheme="majorBidi"/>
          <w:b/>
        </w:rPr>
        <w:t>FcγR</w:t>
      </w:r>
      <w:r w:rsidR="00DF3FC3" w:rsidRPr="00CB79C1">
        <w:rPr>
          <w:rFonts w:asciiTheme="majorBidi" w:hAnsiTheme="majorBidi" w:cstheme="majorBidi"/>
          <w:b/>
        </w:rPr>
        <w:t>s</w:t>
      </w:r>
      <w:proofErr w:type="spellEnd"/>
      <w:r w:rsidR="00DF3FC3" w:rsidRPr="00CB79C1">
        <w:rPr>
          <w:rFonts w:asciiTheme="majorBidi" w:hAnsiTheme="majorBidi" w:cstheme="majorBidi"/>
          <w:b/>
          <w:bCs/>
          <w:lang w:val="en-US"/>
        </w:rPr>
        <w:t xml:space="preserve"> in non-tumor-bearing mice.</w:t>
      </w:r>
      <w:r w:rsidR="00DF3FC3" w:rsidRPr="00CB79C1">
        <w:rPr>
          <w:rFonts w:asciiTheme="majorBidi" w:hAnsiTheme="majorBidi" w:cstheme="majorBidi"/>
          <w:lang w:val="en-US"/>
        </w:rPr>
        <w:t xml:space="preserve"> </w:t>
      </w:r>
      <w:proofErr w:type="gramStart"/>
      <w:r w:rsidR="00DF3FC3" w:rsidRPr="00CB79C1">
        <w:rPr>
          <w:rFonts w:asciiTheme="majorBidi" w:hAnsiTheme="majorBidi" w:cstheme="majorBidi"/>
          <w:lang w:val="en-US"/>
        </w:rPr>
        <w:t>Representative flow cytometry histograms</w:t>
      </w:r>
      <w:proofErr w:type="gramEnd"/>
      <w:r w:rsidR="00DF3FC3" w:rsidRPr="00CB79C1">
        <w:rPr>
          <w:rFonts w:asciiTheme="majorBidi" w:hAnsiTheme="majorBidi" w:cstheme="majorBidi"/>
          <w:lang w:val="en-US"/>
        </w:rPr>
        <w:t xml:space="preserve"> of</w:t>
      </w:r>
      <w:r w:rsidR="00DF3FC3" w:rsidRPr="00CB79C1">
        <w:rPr>
          <w:rFonts w:asciiTheme="majorBidi" w:hAnsiTheme="majorBidi" w:cstheme="majorBidi"/>
          <w:lang w:val="en-US"/>
        </w:rPr>
        <w:t xml:space="preserve"> activatory and inhibitory </w:t>
      </w:r>
      <w:proofErr w:type="spellStart"/>
      <w:r w:rsidR="00DF3FC3" w:rsidRPr="00CB79C1">
        <w:rPr>
          <w:rFonts w:asciiTheme="majorBidi" w:hAnsiTheme="majorBidi" w:cstheme="majorBidi"/>
          <w:lang w:val="en-US"/>
        </w:rPr>
        <w:t>FcγR</w:t>
      </w:r>
      <w:proofErr w:type="spellEnd"/>
      <w:r w:rsidR="00DF3FC3" w:rsidRPr="00CB79C1">
        <w:rPr>
          <w:rFonts w:asciiTheme="majorBidi" w:hAnsiTheme="majorBidi" w:cstheme="majorBidi"/>
          <w:lang w:val="en-US"/>
        </w:rPr>
        <w:t xml:space="preserve"> expression by </w:t>
      </w:r>
      <w:r w:rsidR="00EE781C" w:rsidRPr="00CB79C1">
        <w:rPr>
          <w:rFonts w:asciiTheme="majorBidi" w:hAnsiTheme="majorBidi" w:cstheme="majorBidi"/>
          <w:lang w:val="en-US"/>
        </w:rPr>
        <w:t>BM</w:t>
      </w:r>
      <w:r w:rsidR="00DF3FC3" w:rsidRPr="00CB79C1">
        <w:rPr>
          <w:rFonts w:asciiTheme="majorBidi" w:hAnsiTheme="majorBidi" w:cstheme="majorBidi"/>
          <w:lang w:val="en-US"/>
        </w:rPr>
        <w:t xml:space="preserve"> Ly6C</w:t>
      </w:r>
      <w:r w:rsidR="00DF3FC3" w:rsidRPr="00CB79C1">
        <w:rPr>
          <w:rFonts w:asciiTheme="majorBidi" w:hAnsiTheme="majorBidi" w:cstheme="majorBidi"/>
          <w:vertAlign w:val="superscript"/>
          <w:lang w:val="en-US"/>
        </w:rPr>
        <w:t>+</w:t>
      </w:r>
      <w:r w:rsidR="00DF3FC3" w:rsidRPr="00CB79C1">
        <w:rPr>
          <w:rFonts w:asciiTheme="majorBidi" w:hAnsiTheme="majorBidi" w:cstheme="majorBidi"/>
          <w:lang w:val="en-US"/>
        </w:rPr>
        <w:t xml:space="preserve"> </w:t>
      </w:r>
      <w:r w:rsidR="00DF3FC3" w:rsidRPr="00CB79C1">
        <w:rPr>
          <w:rFonts w:asciiTheme="majorBidi" w:hAnsiTheme="majorBidi" w:cstheme="majorBidi"/>
          <w:lang w:val="en-US"/>
        </w:rPr>
        <w:t>monocyte</w:t>
      </w:r>
      <w:r w:rsidR="00DF3FC3" w:rsidRPr="00CB79C1">
        <w:rPr>
          <w:rFonts w:asciiTheme="majorBidi" w:hAnsiTheme="majorBidi" w:cstheme="majorBidi"/>
          <w:lang w:val="en-US"/>
        </w:rPr>
        <w:t>s</w:t>
      </w:r>
      <w:r w:rsidR="00DF3FC3" w:rsidRPr="00CB79C1">
        <w:rPr>
          <w:rFonts w:asciiTheme="majorBidi" w:hAnsiTheme="majorBidi" w:cstheme="majorBidi"/>
          <w:lang w:val="en-US"/>
        </w:rPr>
        <w:t xml:space="preserve"> 2 days post CTX (</w:t>
      </w:r>
      <w:r w:rsidR="00DF3FC3" w:rsidRPr="00CB79C1">
        <w:rPr>
          <w:rFonts w:asciiTheme="majorBidi" w:hAnsiTheme="majorBidi" w:cstheme="majorBidi"/>
          <w:lang w:val="en-US"/>
        </w:rPr>
        <w:t>100 mg/kg</w:t>
      </w:r>
      <w:r w:rsidR="00DF3FC3" w:rsidRPr="00CB79C1">
        <w:rPr>
          <w:rFonts w:asciiTheme="majorBidi" w:hAnsiTheme="majorBidi" w:cstheme="majorBidi"/>
          <w:lang w:val="en-US"/>
        </w:rPr>
        <w:t>) treatment</w:t>
      </w:r>
      <w:r w:rsidR="003A4D48" w:rsidRPr="00CB79C1">
        <w:rPr>
          <w:rFonts w:asciiTheme="majorBidi" w:hAnsiTheme="majorBidi" w:cstheme="majorBidi"/>
          <w:lang w:val="en-US"/>
        </w:rPr>
        <w:t>.</w:t>
      </w:r>
      <w:r w:rsidR="00DF3FC3" w:rsidRPr="00CB79C1">
        <w:rPr>
          <w:rFonts w:asciiTheme="majorBidi" w:hAnsiTheme="majorBidi" w:cstheme="majorBidi"/>
          <w:lang w:val="en-US"/>
        </w:rPr>
        <w:t xml:space="preserve"> Red trace: isotype control; blue trace: NT; orange trace: CTX treatment.</w:t>
      </w:r>
      <w:bookmarkStart w:id="0" w:name="_GoBack"/>
      <w:bookmarkEnd w:id="0"/>
      <w:r w:rsidR="00DF3FC3" w:rsidRPr="007607D8">
        <w:rPr>
          <w:rFonts w:asciiTheme="majorBidi" w:hAnsiTheme="majorBidi" w:cstheme="majorBidi"/>
          <w:lang w:val="en-US"/>
        </w:rPr>
        <w:t xml:space="preserve"> </w:t>
      </w:r>
    </w:p>
    <w:p w:rsidR="00DF3FC3" w:rsidRPr="001B13BB" w:rsidRDefault="00DF3FC3" w:rsidP="008A1441">
      <w:pPr>
        <w:tabs>
          <w:tab w:val="left" w:pos="3480"/>
        </w:tabs>
        <w:spacing w:line="480" w:lineRule="auto"/>
        <w:jc w:val="both"/>
        <w:rPr>
          <w:rFonts w:asciiTheme="majorBidi" w:hAnsiTheme="majorBidi" w:cstheme="majorBidi"/>
          <w:bCs/>
        </w:rPr>
      </w:pPr>
    </w:p>
    <w:p w:rsidR="008A1441" w:rsidRPr="006006ED" w:rsidRDefault="002339ED" w:rsidP="008A1441">
      <w:pPr>
        <w:tabs>
          <w:tab w:val="left" w:pos="3480"/>
        </w:tabs>
        <w:spacing w:line="480" w:lineRule="auto"/>
        <w:jc w:val="both"/>
        <w:rPr>
          <w:rFonts w:asciiTheme="majorBidi" w:hAnsiTheme="majorBidi" w:cstheme="majorBidi"/>
          <w:bCs/>
          <w:lang w:val="en-US"/>
        </w:rPr>
      </w:pPr>
      <w:r>
        <w:rPr>
          <w:rFonts w:asciiTheme="majorBidi" w:hAnsiTheme="majorBidi" w:cstheme="majorBidi"/>
          <w:bCs/>
          <w:lang w:val="en-US"/>
        </w:rPr>
        <w:pict>
          <v:shape id="_x0000_i1035" type="#_x0000_t75" style="width:451pt;height:188.15pt">
            <v:imagedata r:id="rId7" o:title="Figure S4-final"/>
          </v:shape>
        </w:pict>
      </w:r>
      <w:r w:rsidR="008A1441" w:rsidRPr="006006ED">
        <w:rPr>
          <w:rFonts w:asciiTheme="majorBidi" w:hAnsiTheme="majorBidi" w:cstheme="majorBidi"/>
          <w:bCs/>
          <w:lang w:val="en-US"/>
        </w:rPr>
        <w:tab/>
      </w:r>
    </w:p>
    <w:p w:rsidR="001B13BB" w:rsidRDefault="001B13BB" w:rsidP="001B13BB">
      <w:pPr>
        <w:spacing w:line="480" w:lineRule="auto"/>
        <w:jc w:val="both"/>
        <w:rPr>
          <w:rFonts w:asciiTheme="majorBidi" w:hAnsiTheme="majorBidi" w:cstheme="majorBidi"/>
          <w:bCs/>
          <w:lang w:val="en-US"/>
        </w:rPr>
      </w:pPr>
      <w:r w:rsidRPr="00CB79C1">
        <w:rPr>
          <w:rFonts w:asciiTheme="majorBidi" w:hAnsiTheme="majorBidi" w:cstheme="majorBidi"/>
          <w:b/>
          <w:bCs/>
          <w:lang w:val="en-US"/>
        </w:rPr>
        <w:t xml:space="preserve">Supplemental Figure </w:t>
      </w:r>
      <w:r w:rsidR="004B2ED1" w:rsidRPr="00CB79C1">
        <w:rPr>
          <w:rFonts w:asciiTheme="majorBidi" w:hAnsiTheme="majorBidi" w:cstheme="majorBidi"/>
          <w:b/>
          <w:bCs/>
          <w:lang w:val="en-US"/>
        </w:rPr>
        <w:t>4</w:t>
      </w:r>
      <w:r w:rsidRPr="00CB79C1">
        <w:rPr>
          <w:rFonts w:asciiTheme="majorBidi" w:hAnsiTheme="majorBidi" w:cstheme="majorBidi"/>
          <w:b/>
          <w:bCs/>
          <w:lang w:val="en-US"/>
        </w:rPr>
        <w:t xml:space="preserve"> (related to Figure 5). Lymphoma cells </w:t>
      </w:r>
      <w:proofErr w:type="gramStart"/>
      <w:r w:rsidRPr="00CB79C1">
        <w:rPr>
          <w:rFonts w:asciiTheme="majorBidi" w:hAnsiTheme="majorBidi" w:cstheme="majorBidi"/>
          <w:b/>
          <w:bCs/>
          <w:lang w:val="en-US"/>
        </w:rPr>
        <w:t>are rejected</w:t>
      </w:r>
      <w:proofErr w:type="gramEnd"/>
      <w:r w:rsidRPr="00CB79C1">
        <w:rPr>
          <w:rFonts w:asciiTheme="majorBidi" w:hAnsiTheme="majorBidi" w:cstheme="majorBidi"/>
          <w:b/>
          <w:bCs/>
          <w:lang w:val="en-US"/>
        </w:rPr>
        <w:t xml:space="preserve"> from fully reconstituted humanized mice. </w:t>
      </w:r>
      <w:r w:rsidRPr="00CB79C1">
        <w:rPr>
          <w:rFonts w:asciiTheme="majorBidi" w:hAnsiTheme="majorBidi" w:cstheme="majorBidi"/>
          <w:bCs/>
          <w:lang w:val="en-US"/>
        </w:rPr>
        <w:t>Adult NSG or humanized mice were engrafted with 1x10</w:t>
      </w:r>
      <w:r w:rsidRPr="00CB79C1">
        <w:rPr>
          <w:rFonts w:asciiTheme="majorBidi" w:hAnsiTheme="majorBidi" w:cstheme="majorBidi"/>
          <w:bCs/>
          <w:vertAlign w:val="superscript"/>
          <w:lang w:val="en-US"/>
        </w:rPr>
        <w:t>7</w:t>
      </w:r>
      <w:r w:rsidRPr="00CB79C1">
        <w:rPr>
          <w:rFonts w:asciiTheme="majorBidi" w:hAnsiTheme="majorBidi" w:cstheme="majorBidi"/>
          <w:bCs/>
          <w:lang w:val="en-US"/>
        </w:rPr>
        <w:t xml:space="preserve"> human lymphoma cells intravenously and monitored by </w:t>
      </w:r>
      <w:r w:rsidRPr="00CB79C1">
        <w:rPr>
          <w:rFonts w:asciiTheme="majorBidi" w:hAnsiTheme="majorBidi" w:cstheme="majorBidi"/>
          <w:b/>
          <w:bCs/>
          <w:lang w:val="en-US"/>
        </w:rPr>
        <w:t>(A)</w:t>
      </w:r>
      <w:r w:rsidRPr="00CB79C1">
        <w:rPr>
          <w:rFonts w:asciiTheme="majorBidi" w:hAnsiTheme="majorBidi" w:cstheme="majorBidi"/>
          <w:bCs/>
          <w:lang w:val="en-US"/>
        </w:rPr>
        <w:t xml:space="preserve"> IVIS imaging for tumor presence and </w:t>
      </w:r>
      <w:r w:rsidRPr="00CB79C1">
        <w:rPr>
          <w:rFonts w:asciiTheme="majorBidi" w:hAnsiTheme="majorBidi" w:cstheme="majorBidi"/>
          <w:b/>
          <w:bCs/>
          <w:lang w:val="en-US"/>
        </w:rPr>
        <w:t xml:space="preserve">(B) </w:t>
      </w:r>
      <w:r w:rsidRPr="00CB79C1">
        <w:rPr>
          <w:rFonts w:asciiTheme="majorBidi" w:hAnsiTheme="majorBidi" w:cstheme="majorBidi"/>
          <w:bCs/>
          <w:lang w:val="en-US"/>
        </w:rPr>
        <w:t>quantification of bioluminescence intensity of lymphoma cells in the BM; n = 3 mice/group (</w:t>
      </w:r>
      <w:r w:rsidRPr="00CB79C1">
        <w:rPr>
          <w:rFonts w:asciiTheme="majorBidi" w:hAnsiTheme="majorBidi" w:cstheme="majorBidi"/>
          <w:lang w:val="en-US"/>
        </w:rPr>
        <w:t xml:space="preserve">** </w:t>
      </w:r>
      <w:r w:rsidRPr="00CB79C1">
        <w:rPr>
          <w:rFonts w:asciiTheme="majorBidi" w:hAnsiTheme="majorBidi" w:cstheme="majorBidi"/>
          <w:bCs/>
          <w:i/>
          <w:lang w:val="en-US"/>
        </w:rPr>
        <w:t xml:space="preserve">p  </w:t>
      </w:r>
      <w:r w:rsidRPr="00CB79C1">
        <w:rPr>
          <w:rFonts w:asciiTheme="majorBidi" w:hAnsiTheme="majorBidi" w:cstheme="majorBidi"/>
          <w:bCs/>
          <w:lang w:val="en-US"/>
        </w:rPr>
        <w:t>&lt;0.01).</w:t>
      </w:r>
    </w:p>
    <w:p w:rsidR="00DF3FC3" w:rsidRDefault="00DF3FC3" w:rsidP="001B13BB">
      <w:pPr>
        <w:spacing w:line="480" w:lineRule="auto"/>
        <w:jc w:val="both"/>
        <w:rPr>
          <w:rFonts w:asciiTheme="majorBidi" w:hAnsiTheme="majorBidi" w:cstheme="majorBidi"/>
          <w:b/>
          <w:bCs/>
          <w:lang w:val="en-US"/>
        </w:rPr>
      </w:pPr>
    </w:p>
    <w:p w:rsidR="008A1441" w:rsidRPr="006006ED" w:rsidRDefault="002339ED" w:rsidP="008A1441">
      <w:pPr>
        <w:spacing w:line="480" w:lineRule="auto"/>
        <w:jc w:val="both"/>
        <w:rPr>
          <w:rFonts w:asciiTheme="majorBidi" w:hAnsiTheme="majorBidi" w:cstheme="majorBidi"/>
          <w:b/>
          <w:bCs/>
          <w:lang w:val="en-US"/>
        </w:rPr>
      </w:pPr>
      <w:r>
        <w:rPr>
          <w:rFonts w:asciiTheme="majorBidi" w:hAnsiTheme="majorBidi" w:cstheme="majorBidi"/>
          <w:b/>
          <w:bCs/>
          <w:lang w:val="en-US"/>
        </w:rPr>
        <w:pict>
          <v:shape id="_x0000_i1037" type="#_x0000_t75" style="width:451pt;height:227.55pt">
            <v:imagedata r:id="rId8" o:title="Figure S5-final"/>
          </v:shape>
        </w:pict>
      </w:r>
    </w:p>
    <w:p w:rsidR="008A1441" w:rsidRDefault="008A1441" w:rsidP="008A1441">
      <w:pPr>
        <w:spacing w:line="480" w:lineRule="auto"/>
        <w:jc w:val="both"/>
        <w:rPr>
          <w:rFonts w:ascii="Times New Roman" w:hAnsi="Times New Roman" w:cs="Times New Roman"/>
          <w:b/>
          <w:bCs/>
          <w:lang w:val="en-US"/>
        </w:rPr>
      </w:pPr>
    </w:p>
    <w:p w:rsidR="001B13BB" w:rsidRPr="00330192" w:rsidRDefault="001B13BB" w:rsidP="001B13BB">
      <w:pPr>
        <w:spacing w:line="480" w:lineRule="auto"/>
        <w:jc w:val="both"/>
        <w:rPr>
          <w:rFonts w:ascii="Times New Roman" w:hAnsi="Times New Roman" w:cs="Times New Roman"/>
          <w:color w:val="000000"/>
        </w:rPr>
      </w:pPr>
      <w:r w:rsidRPr="00CB79C1">
        <w:rPr>
          <w:rFonts w:ascii="Times New Roman" w:hAnsi="Times New Roman" w:cs="Times New Roman"/>
          <w:b/>
          <w:bCs/>
          <w:lang w:val="en-US"/>
        </w:rPr>
        <w:lastRenderedPageBreak/>
        <w:t xml:space="preserve">Supplemental Figure </w:t>
      </w:r>
      <w:r w:rsidR="004B2ED1" w:rsidRPr="00CB79C1">
        <w:rPr>
          <w:rFonts w:ascii="Times New Roman" w:hAnsi="Times New Roman" w:cs="Times New Roman"/>
          <w:b/>
          <w:bCs/>
          <w:lang w:val="en-US"/>
        </w:rPr>
        <w:t>5</w:t>
      </w:r>
      <w:r w:rsidRPr="00CB79C1">
        <w:rPr>
          <w:rFonts w:ascii="Times New Roman" w:hAnsi="Times New Roman" w:cs="Times New Roman"/>
          <w:b/>
          <w:bCs/>
          <w:lang w:val="en-US"/>
        </w:rPr>
        <w:t xml:space="preserve"> (related to Figure 6).</w:t>
      </w:r>
      <w:r w:rsidRPr="00CB79C1">
        <w:rPr>
          <w:rFonts w:ascii="Times New Roman" w:hAnsi="Times New Roman" w:cs="Times New Roman"/>
          <w:bCs/>
          <w:lang w:val="en-US"/>
        </w:rPr>
        <w:t xml:space="preserve"> </w:t>
      </w:r>
      <w:r w:rsidRPr="00CB79C1">
        <w:rPr>
          <w:rFonts w:ascii="Times New Roman" w:hAnsi="Times New Roman" w:cs="Times New Roman"/>
          <w:b/>
          <w:bCs/>
          <w:color w:val="000000"/>
          <w:lang w:val="en-US"/>
        </w:rPr>
        <w:t xml:space="preserve">BM-resident macrophages resemble M2-like macrophages in the steady state, and shift towards M1-like macrophage upon CTX treatment. </w:t>
      </w:r>
      <w:r w:rsidRPr="00CB79C1">
        <w:rPr>
          <w:rFonts w:ascii="Times New Roman" w:hAnsi="Times New Roman" w:cs="Times New Roman"/>
          <w:color w:val="000000"/>
          <w:lang w:val="en-US"/>
        </w:rPr>
        <w:t xml:space="preserve">‘Healthy’ humanized mice were injected with 100 mg/kg CTX and splenic and BM macrophages were isolated from non-treated control (NT) and CTX-treated (CTX) mice 2 days later, and subjected to </w:t>
      </w:r>
      <w:proofErr w:type="spellStart"/>
      <w:r w:rsidRPr="00CB79C1">
        <w:rPr>
          <w:rFonts w:ascii="Times New Roman" w:hAnsi="Times New Roman" w:cs="Times New Roman"/>
          <w:color w:val="000000"/>
          <w:lang w:val="en-US"/>
        </w:rPr>
        <w:t>RNAseq</w:t>
      </w:r>
      <w:proofErr w:type="spellEnd"/>
      <w:r w:rsidRPr="00CB79C1">
        <w:rPr>
          <w:rFonts w:ascii="Times New Roman" w:hAnsi="Times New Roman" w:cs="Times New Roman"/>
          <w:color w:val="000000"/>
          <w:lang w:val="en-US"/>
        </w:rPr>
        <w:t xml:space="preserve"> analysis. GSEA graphs showing </w:t>
      </w:r>
      <w:r w:rsidRPr="00CB79C1">
        <w:rPr>
          <w:rFonts w:ascii="Times New Roman" w:hAnsi="Times New Roman" w:cs="Times New Roman"/>
          <w:b/>
          <w:color w:val="000000"/>
          <w:lang w:val="en-US"/>
        </w:rPr>
        <w:t xml:space="preserve">(A) </w:t>
      </w:r>
      <w:r w:rsidRPr="00CB79C1">
        <w:rPr>
          <w:rFonts w:ascii="Times New Roman" w:hAnsi="Times New Roman" w:cs="Times New Roman"/>
          <w:color w:val="000000"/>
          <w:lang w:val="en-US"/>
        </w:rPr>
        <w:t xml:space="preserve">a significant enrichment for M1-polarizing genes in splenic versus BM-resident macrophages in the steady state, and </w:t>
      </w:r>
      <w:r w:rsidRPr="00CB79C1">
        <w:rPr>
          <w:rFonts w:ascii="Times New Roman" w:hAnsi="Times New Roman" w:cs="Times New Roman"/>
          <w:b/>
          <w:color w:val="000000"/>
          <w:lang w:val="en-US"/>
        </w:rPr>
        <w:t>(B)</w:t>
      </w:r>
      <w:r w:rsidRPr="00CB79C1">
        <w:rPr>
          <w:rFonts w:ascii="Times New Roman" w:hAnsi="Times New Roman" w:cs="Times New Roman"/>
          <w:color w:val="000000"/>
          <w:lang w:val="en-US"/>
        </w:rPr>
        <w:t xml:space="preserve"> a shift in the balance of BM macrophages towards M1 polarization upon CT</w:t>
      </w:r>
      <w:r w:rsidRPr="004B2ED1">
        <w:rPr>
          <w:rFonts w:ascii="Times New Roman" w:hAnsi="Times New Roman" w:cs="Times New Roman"/>
          <w:color w:val="000000"/>
          <w:lang w:val="en-US"/>
        </w:rPr>
        <w:t>X treatment. UP; upregulated, NES; normalized enrichment score; FWER; familywise-error rate.</w:t>
      </w:r>
    </w:p>
    <w:p w:rsidR="00DF7E00" w:rsidRDefault="00DF7E00"/>
    <w:sectPr w:rsidR="00DF7E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441"/>
    <w:rsid w:val="001B13BB"/>
    <w:rsid w:val="002339ED"/>
    <w:rsid w:val="003A4D48"/>
    <w:rsid w:val="004B2ED1"/>
    <w:rsid w:val="008A1441"/>
    <w:rsid w:val="00C738F4"/>
    <w:rsid w:val="00CB79C1"/>
    <w:rsid w:val="00DF3FC3"/>
    <w:rsid w:val="00DF7E00"/>
    <w:rsid w:val="00EE78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5B2C"/>
  <w15:chartTrackingRefBased/>
  <w15:docId w15:val="{66768650-AB64-4054-AE68-C79780501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441"/>
    <w:pPr>
      <w:spacing w:after="200" w:line="276" w:lineRule="auto"/>
    </w:pPr>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401</Words>
  <Characters>2290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Roghanian A.</dc:creator>
  <cp:keywords/>
  <dc:description/>
  <cp:lastModifiedBy>Roghanian A.</cp:lastModifiedBy>
  <cp:revision>2</cp:revision>
  <dcterms:created xsi:type="dcterms:W3CDTF">2019-07-12T16:45:00Z</dcterms:created>
  <dcterms:modified xsi:type="dcterms:W3CDTF">2019-07-12T16:45:00Z</dcterms:modified>
</cp:coreProperties>
</file>