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6F" w:rsidRDefault="004E246F" w:rsidP="00860232">
      <w:pPr>
        <w:spacing w:after="0" w:line="480" w:lineRule="auto"/>
        <w:ind w:left="-5"/>
        <w:rPr>
          <w:sz w:val="22"/>
        </w:rPr>
      </w:pPr>
    </w:p>
    <w:p w:rsidR="004E246F" w:rsidRDefault="004E246F" w:rsidP="00860232">
      <w:pPr>
        <w:spacing w:after="0" w:line="480" w:lineRule="auto"/>
        <w:ind w:left="-5"/>
        <w:rPr>
          <w:sz w:val="22"/>
        </w:rPr>
      </w:pPr>
    </w:p>
    <w:p w:rsidR="00860232" w:rsidRDefault="00860232" w:rsidP="00860232">
      <w:pPr>
        <w:spacing w:after="0" w:line="480" w:lineRule="auto"/>
        <w:ind w:left="-5"/>
        <w:rPr>
          <w:sz w:val="22"/>
        </w:rPr>
      </w:pPr>
      <w:bookmarkStart w:id="0" w:name="_GoBack"/>
      <w:r>
        <w:rPr>
          <w:sz w:val="22"/>
        </w:rPr>
        <w:t xml:space="preserve">Supplemental Figure 1. (A) Kaplan Meijer curves for patients with high or low </w:t>
      </w:r>
      <w:r w:rsidRPr="00B4327E">
        <w:rPr>
          <w:i/>
          <w:sz w:val="22"/>
        </w:rPr>
        <w:t>CD47</w:t>
      </w:r>
      <w:r>
        <w:rPr>
          <w:sz w:val="22"/>
        </w:rPr>
        <w:t xml:space="preserve"> expression treated with CHOP or R-CHOP. (B) Kaplan Meijer curves for DLBCL patients treated with CHOP or R-CHOP </w:t>
      </w:r>
    </w:p>
    <w:p w:rsidR="00860232" w:rsidRDefault="00860232" w:rsidP="00860232">
      <w:pPr>
        <w:spacing w:after="0" w:line="480" w:lineRule="auto"/>
        <w:ind w:left="-5"/>
        <w:rPr>
          <w:sz w:val="22"/>
        </w:rPr>
      </w:pPr>
    </w:p>
    <w:p w:rsidR="00860232" w:rsidRDefault="00860232" w:rsidP="00860232">
      <w:pPr>
        <w:spacing w:after="0" w:line="480" w:lineRule="auto"/>
        <w:ind w:left="0" w:firstLine="0"/>
        <w:rPr>
          <w:sz w:val="22"/>
        </w:rPr>
      </w:pPr>
      <w:r>
        <w:rPr>
          <w:sz w:val="22"/>
        </w:rPr>
        <w:t xml:space="preserve">Supplemental Figure 2. (A) non-GCB have significantly higher </w:t>
      </w:r>
      <w:r w:rsidRPr="0013561D">
        <w:rPr>
          <w:i/>
          <w:sz w:val="22"/>
        </w:rPr>
        <w:t>CD47</w:t>
      </w:r>
      <w:r>
        <w:rPr>
          <w:sz w:val="22"/>
        </w:rPr>
        <w:t xml:space="preserve"> expression level than GCB DLBCL patients. (B) CHOP and R-CHOP treated patients have similar </w:t>
      </w:r>
      <w:r w:rsidRPr="0013561D">
        <w:rPr>
          <w:i/>
          <w:sz w:val="22"/>
        </w:rPr>
        <w:t>CD47</w:t>
      </w:r>
      <w:r>
        <w:rPr>
          <w:sz w:val="22"/>
        </w:rPr>
        <w:t xml:space="preserve"> expression levels.</w:t>
      </w:r>
    </w:p>
    <w:p w:rsidR="00121E4E" w:rsidRDefault="00121E4E" w:rsidP="00860232">
      <w:pPr>
        <w:spacing w:after="0" w:line="480" w:lineRule="auto"/>
        <w:ind w:left="-5"/>
        <w:rPr>
          <w:sz w:val="22"/>
        </w:rPr>
      </w:pPr>
    </w:p>
    <w:p w:rsidR="00E87975" w:rsidRDefault="00121E4E" w:rsidP="00860232">
      <w:pPr>
        <w:spacing w:after="0" w:line="480" w:lineRule="auto"/>
        <w:ind w:left="-5"/>
        <w:rPr>
          <w:sz w:val="22"/>
        </w:rPr>
      </w:pPr>
      <w:r>
        <w:rPr>
          <w:sz w:val="22"/>
        </w:rPr>
        <w:t xml:space="preserve">Supplemental Figure 3. (A) Kaplan Meijer curves for DLBCL patients divided by their cell-of-origin (COO, Germinal Center B-cells (GCB) or non-GCB). (B,C) Kaplan Meijer curves to study the effect of rituximab to CHOP chemotherapy in non-GCB and GCB DLBCL patients, respectively. (D) Kaplan Meijer estimates for DLBCL patients sorted on </w:t>
      </w:r>
      <w:r w:rsidRPr="0013561D">
        <w:rPr>
          <w:i/>
          <w:sz w:val="22"/>
        </w:rPr>
        <w:t>CD47</w:t>
      </w:r>
      <w:r>
        <w:rPr>
          <w:sz w:val="22"/>
        </w:rPr>
        <w:t xml:space="preserve"> expression level and COO. Non-GCB DLBCL Patients with high </w:t>
      </w:r>
      <w:r w:rsidRPr="0013561D">
        <w:rPr>
          <w:i/>
          <w:sz w:val="22"/>
        </w:rPr>
        <w:t>CD47</w:t>
      </w:r>
      <w:r>
        <w:rPr>
          <w:sz w:val="22"/>
        </w:rPr>
        <w:t xml:space="preserve"> expression have an inferior survival.</w:t>
      </w:r>
    </w:p>
    <w:p w:rsidR="00121E4E" w:rsidRDefault="00121E4E" w:rsidP="00860232">
      <w:pPr>
        <w:spacing w:after="0" w:line="480" w:lineRule="auto"/>
        <w:ind w:left="-5"/>
        <w:rPr>
          <w:sz w:val="22"/>
        </w:rPr>
      </w:pPr>
    </w:p>
    <w:p w:rsidR="00860232" w:rsidRDefault="002810D2" w:rsidP="00860232">
      <w:pPr>
        <w:spacing w:after="0" w:line="480" w:lineRule="auto"/>
        <w:ind w:left="-5"/>
        <w:rPr>
          <w:sz w:val="22"/>
        </w:rPr>
      </w:pPr>
      <w:r>
        <w:rPr>
          <w:sz w:val="22"/>
        </w:rPr>
        <w:t>Supplemental Figure 4</w:t>
      </w:r>
      <w:r w:rsidR="00860232">
        <w:rPr>
          <w:sz w:val="22"/>
        </w:rPr>
        <w:t xml:space="preserve">. (A) Cell lines were mixed with macrophages and treated with human IgG4 isotype control antibody. Phagocytosis was calculated by determining of percentage of </w:t>
      </w:r>
      <w:proofErr w:type="spellStart"/>
      <w:r w:rsidR="00860232">
        <w:rPr>
          <w:sz w:val="22"/>
        </w:rPr>
        <w:t>phagocytosed</w:t>
      </w:r>
      <w:proofErr w:type="spellEnd"/>
      <w:r w:rsidR="00860232">
        <w:rPr>
          <w:sz w:val="22"/>
        </w:rPr>
        <w:t xml:space="preserve"> </w:t>
      </w:r>
      <w:proofErr w:type="spellStart"/>
      <w:r w:rsidR="00860232">
        <w:rPr>
          <w:sz w:val="22"/>
        </w:rPr>
        <w:t>tumor</w:t>
      </w:r>
      <w:proofErr w:type="spellEnd"/>
      <w:r w:rsidR="00860232">
        <w:rPr>
          <w:sz w:val="22"/>
        </w:rPr>
        <w:t xml:space="preserve"> cells. (B) Correlation between binding of </w:t>
      </w:r>
      <w:proofErr w:type="spellStart"/>
      <w:r w:rsidR="00860232">
        <w:rPr>
          <w:sz w:val="22"/>
        </w:rPr>
        <w:t>rituximaband</w:t>
      </w:r>
      <w:proofErr w:type="spellEnd"/>
      <w:r w:rsidR="00860232">
        <w:rPr>
          <w:sz w:val="22"/>
        </w:rPr>
        <w:t xml:space="preserve"> </w:t>
      </w:r>
      <w:proofErr w:type="spellStart"/>
      <w:r w:rsidR="00860232">
        <w:rPr>
          <w:sz w:val="22"/>
        </w:rPr>
        <w:t>experiemtnal</w:t>
      </w:r>
      <w:proofErr w:type="spellEnd"/>
      <w:r w:rsidR="00860232">
        <w:rPr>
          <w:sz w:val="22"/>
        </w:rPr>
        <w:t xml:space="preserve"> induction of phagocytosis upon combination with CD47 </w:t>
      </w:r>
      <w:proofErr w:type="spellStart"/>
      <w:r w:rsidR="00860232">
        <w:rPr>
          <w:sz w:val="22"/>
        </w:rPr>
        <w:t>antbody</w:t>
      </w:r>
      <w:proofErr w:type="spellEnd"/>
      <w:r w:rsidR="00860232">
        <w:rPr>
          <w:sz w:val="22"/>
        </w:rPr>
        <w:t xml:space="preserve"> </w:t>
      </w:r>
      <w:proofErr w:type="spellStart"/>
      <w:r w:rsidR="00860232">
        <w:rPr>
          <w:sz w:val="22"/>
        </w:rPr>
        <w:t>inhibrix</w:t>
      </w:r>
      <w:proofErr w:type="spellEnd"/>
      <w:r w:rsidR="00860232">
        <w:rPr>
          <w:sz w:val="22"/>
        </w:rPr>
        <w:t xml:space="preserve">. (c) Correlation between binding of CD47 monoclonal antibody and experimental induction of phagocytosis upon combination with rituximab </w:t>
      </w:r>
    </w:p>
    <w:bookmarkEnd w:id="0"/>
    <w:p w:rsidR="003817DB" w:rsidRDefault="002810D2"/>
    <w:sectPr w:rsidR="003817DB" w:rsidSect="00510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32"/>
    <w:rsid w:val="00121E4E"/>
    <w:rsid w:val="002810D2"/>
    <w:rsid w:val="004E246F"/>
    <w:rsid w:val="00510F38"/>
    <w:rsid w:val="00860232"/>
    <w:rsid w:val="00AE393E"/>
    <w:rsid w:val="00DE3466"/>
    <w:rsid w:val="00E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232"/>
    <w:pPr>
      <w:spacing w:after="260" w:line="484" w:lineRule="auto"/>
      <w:ind w:left="10" w:hanging="10"/>
      <w:jc w:val="both"/>
    </w:pPr>
    <w:rPr>
      <w:rFonts w:ascii="Arial" w:eastAsia="Arial" w:hAnsi="Arial" w:cs="Arial"/>
      <w:color w:val="000000"/>
      <w:sz w:val="23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232"/>
    <w:pPr>
      <w:spacing w:after="260" w:line="484" w:lineRule="auto"/>
      <w:ind w:left="10" w:hanging="10"/>
      <w:jc w:val="both"/>
    </w:pPr>
    <w:rPr>
      <w:rFonts w:ascii="Arial" w:eastAsia="Arial" w:hAnsi="Arial" w:cs="Arial"/>
      <w:color w:val="000000"/>
      <w:sz w:val="23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R.S. van Rijn</dc:creator>
  <cp:lastModifiedBy>Bouwstra, RE (coas)</cp:lastModifiedBy>
  <cp:revision>3</cp:revision>
  <dcterms:created xsi:type="dcterms:W3CDTF">2019-04-30T09:46:00Z</dcterms:created>
  <dcterms:modified xsi:type="dcterms:W3CDTF">2019-05-01T07:16:00Z</dcterms:modified>
</cp:coreProperties>
</file>