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78" w:rsidRPr="000F630F" w:rsidRDefault="009B4578" w:rsidP="009B457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 w:val="22"/>
          <w:lang w:val="en-US"/>
        </w:rPr>
      </w:pPr>
      <w:bookmarkStart w:id="0" w:name="_GoBack"/>
      <w:bookmarkEnd w:id="0"/>
      <w:r w:rsidRPr="000F630F">
        <w:rPr>
          <w:b/>
          <w:sz w:val="22"/>
          <w:lang w:val="en-US"/>
        </w:rPr>
        <w:t xml:space="preserve">Supplemental Table </w:t>
      </w:r>
      <w:r>
        <w:rPr>
          <w:b/>
          <w:sz w:val="22"/>
          <w:lang w:val="en-US"/>
        </w:rPr>
        <w:t>4</w:t>
      </w:r>
      <w:r w:rsidRPr="000F630F">
        <w:rPr>
          <w:b/>
          <w:sz w:val="22"/>
          <w:lang w:val="en-US"/>
        </w:rPr>
        <w:t xml:space="preserve">. Uni- and multivariate analysis of R-CHOP treated DLBCL patients. </w:t>
      </w:r>
      <w:r w:rsidRPr="000F630F">
        <w:rPr>
          <w:rFonts w:eastAsiaTheme="minorEastAsia"/>
          <w:color w:val="auto"/>
          <w:sz w:val="22"/>
          <w:lang w:val="en-US"/>
        </w:rPr>
        <w:t xml:space="preserve">The impact of expression of </w:t>
      </w:r>
      <w:r w:rsidRPr="000F630F">
        <w:rPr>
          <w:rFonts w:eastAsiaTheme="minorEastAsia"/>
          <w:i/>
          <w:color w:val="auto"/>
          <w:sz w:val="22"/>
          <w:lang w:val="en-US"/>
        </w:rPr>
        <w:t>CD47</w:t>
      </w:r>
      <w:r w:rsidRPr="000F630F">
        <w:rPr>
          <w:rFonts w:eastAsiaTheme="minorEastAsia"/>
          <w:color w:val="auto"/>
          <w:sz w:val="22"/>
          <w:lang w:val="en-US"/>
        </w:rPr>
        <w:t xml:space="preserve"> was analyzed by comparing </w:t>
      </w:r>
      <w:r>
        <w:rPr>
          <w:rFonts w:eastAsiaTheme="minorEastAsia"/>
          <w:color w:val="auto"/>
          <w:sz w:val="22"/>
          <w:lang w:val="en-US"/>
        </w:rPr>
        <w:t xml:space="preserve">5-year overall survival </w:t>
      </w:r>
      <w:r w:rsidRPr="000F630F">
        <w:rPr>
          <w:rFonts w:eastAsiaTheme="minorEastAsia"/>
          <w:color w:val="auto"/>
          <w:sz w:val="22"/>
          <w:lang w:val="en-US"/>
        </w:rPr>
        <w:t>patients with</w:t>
      </w:r>
      <w:r>
        <w:rPr>
          <w:rFonts w:eastAsiaTheme="minorEastAsia"/>
          <w:color w:val="auto"/>
          <w:sz w:val="22"/>
          <w:lang w:val="en-US"/>
        </w:rPr>
        <w:t xml:space="preserve"> high </w:t>
      </w:r>
      <w:r w:rsidRPr="000F630F">
        <w:rPr>
          <w:rFonts w:eastAsiaTheme="minorEastAsia"/>
          <w:i/>
          <w:color w:val="auto"/>
          <w:sz w:val="22"/>
          <w:lang w:val="en-US"/>
        </w:rPr>
        <w:t>CD47</w:t>
      </w:r>
      <w:r>
        <w:rPr>
          <w:rFonts w:eastAsiaTheme="minorEastAsia"/>
          <w:color w:val="auto"/>
          <w:sz w:val="22"/>
          <w:lang w:val="en-US"/>
        </w:rPr>
        <w:t xml:space="preserve"> expression</w:t>
      </w:r>
      <w:r w:rsidRPr="000F630F">
        <w:rPr>
          <w:rFonts w:eastAsiaTheme="minorEastAsia"/>
          <w:color w:val="auto"/>
          <w:sz w:val="22"/>
          <w:lang w:val="en-US"/>
        </w:rPr>
        <w:t xml:space="preserve"> </w:t>
      </w:r>
      <w:r>
        <w:rPr>
          <w:rFonts w:eastAsiaTheme="minorEastAsia"/>
          <w:color w:val="auto"/>
          <w:sz w:val="22"/>
          <w:lang w:val="en-US"/>
        </w:rPr>
        <w:t xml:space="preserve">and </w:t>
      </w:r>
      <w:r w:rsidRPr="000F630F">
        <w:rPr>
          <w:rFonts w:eastAsiaTheme="minorEastAsia"/>
          <w:color w:val="auto"/>
          <w:sz w:val="22"/>
          <w:lang w:val="en-US"/>
        </w:rPr>
        <w:t xml:space="preserve">low </w:t>
      </w:r>
      <w:r w:rsidRPr="000F630F">
        <w:rPr>
          <w:rFonts w:eastAsiaTheme="minorEastAsia"/>
          <w:i/>
          <w:color w:val="auto"/>
          <w:sz w:val="22"/>
          <w:lang w:val="en-US"/>
        </w:rPr>
        <w:t>CD47</w:t>
      </w:r>
      <w:r w:rsidRPr="000F630F">
        <w:rPr>
          <w:rFonts w:eastAsiaTheme="minorEastAsia"/>
          <w:color w:val="auto"/>
          <w:sz w:val="22"/>
          <w:lang w:val="en-US"/>
        </w:rPr>
        <w:t xml:space="preserve"> expression</w:t>
      </w:r>
      <w:r>
        <w:rPr>
          <w:rFonts w:eastAsiaTheme="minorEastAsia"/>
          <w:color w:val="auto"/>
          <w:sz w:val="22"/>
          <w:lang w:val="en-US"/>
        </w:rPr>
        <w:t xml:space="preserve">. </w:t>
      </w:r>
      <w:r w:rsidRPr="000F630F">
        <w:rPr>
          <w:rFonts w:eastAsiaTheme="minorEastAsia"/>
          <w:color w:val="auto"/>
          <w:sz w:val="22"/>
          <w:lang w:val="en-US"/>
        </w:rPr>
        <w:t>Abbreviations: IPI; international prognostic index, COO; Cell-of-origin, P&lt;0,05 is considered statistically significant.</w:t>
      </w:r>
    </w:p>
    <w:p w:rsidR="009B4578" w:rsidRDefault="009B4578" w:rsidP="004C260A">
      <w:pPr>
        <w:ind w:left="0" w:firstLine="0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9"/>
        <w:gridCol w:w="1241"/>
        <w:gridCol w:w="1207"/>
        <w:gridCol w:w="1046"/>
        <w:gridCol w:w="1415"/>
        <w:gridCol w:w="1046"/>
        <w:gridCol w:w="1248"/>
      </w:tblGrid>
      <w:tr w:rsidR="009B4578" w:rsidRPr="003C5B4B" w:rsidTr="00015592">
        <w:tc>
          <w:tcPr>
            <w:tcW w:w="2212" w:type="dxa"/>
            <w:vMerge w:val="restart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</w:p>
        </w:tc>
        <w:tc>
          <w:tcPr>
            <w:tcW w:w="3637" w:type="dxa"/>
            <w:gridSpan w:val="3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Univariate analysis</w:t>
            </w:r>
          </w:p>
        </w:tc>
        <w:tc>
          <w:tcPr>
            <w:tcW w:w="3932" w:type="dxa"/>
            <w:gridSpan w:val="3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Multivariate analysis</w:t>
            </w:r>
          </w:p>
        </w:tc>
      </w:tr>
      <w:tr w:rsidR="009B4578" w:rsidRPr="003C5B4B" w:rsidTr="00015592">
        <w:tc>
          <w:tcPr>
            <w:tcW w:w="2212" w:type="dxa"/>
            <w:vMerge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</w:p>
        </w:tc>
        <w:tc>
          <w:tcPr>
            <w:tcW w:w="1289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Low CD47</w:t>
            </w:r>
          </w:p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(n=233)</w:t>
            </w:r>
          </w:p>
        </w:tc>
        <w:tc>
          <w:tcPr>
            <w:tcW w:w="1248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High CD47</w:t>
            </w:r>
          </w:p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(n=447)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P-value</w:t>
            </w:r>
          </w:p>
        </w:tc>
        <w:tc>
          <w:tcPr>
            <w:tcW w:w="1513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Hazard ratio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P-value</w:t>
            </w:r>
          </w:p>
        </w:tc>
        <w:tc>
          <w:tcPr>
            <w:tcW w:w="1319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en-US"/>
              </w:rPr>
            </w:pPr>
            <w:r w:rsidRPr="003C5B4B">
              <w:rPr>
                <w:b/>
                <w:lang w:val="en-US"/>
              </w:rPr>
              <w:t>95% CI</w:t>
            </w:r>
          </w:p>
        </w:tc>
      </w:tr>
      <w:tr w:rsidR="009B4578" w:rsidRPr="003C5B4B" w:rsidTr="00015592">
        <w:tc>
          <w:tcPr>
            <w:tcW w:w="2212" w:type="dxa"/>
          </w:tcPr>
          <w:p w:rsidR="009B4578" w:rsidRPr="003C5B4B" w:rsidRDefault="009B4578" w:rsidP="00015592">
            <w:pPr>
              <w:ind w:left="0" w:firstLine="0"/>
              <w:rPr>
                <w:b/>
              </w:rPr>
            </w:pPr>
            <w:r w:rsidRPr="003C5B4B">
              <w:rPr>
                <w:b/>
              </w:rPr>
              <w:t>Age categorized</w:t>
            </w:r>
          </w:p>
          <w:p w:rsidR="009B4578" w:rsidRPr="003C5B4B" w:rsidRDefault="009B4578" w:rsidP="00015592">
            <w:pPr>
              <w:ind w:left="0" w:firstLine="0"/>
            </w:pPr>
            <w:r w:rsidRPr="003C5B4B">
              <w:t xml:space="preserve">&lt;60 </w:t>
            </w:r>
            <w:proofErr w:type="spellStart"/>
            <w:r w:rsidRPr="003C5B4B">
              <w:t>yr</w:t>
            </w:r>
            <w:proofErr w:type="spellEnd"/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t xml:space="preserve">≥ 60 </w:t>
            </w:r>
            <w:proofErr w:type="spellStart"/>
            <w:r w:rsidRPr="003C5B4B">
              <w:t>yr</w:t>
            </w:r>
            <w:proofErr w:type="spellEnd"/>
          </w:p>
        </w:tc>
        <w:tc>
          <w:tcPr>
            <w:tcW w:w="1289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95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114</w:t>
            </w:r>
          </w:p>
        </w:tc>
        <w:tc>
          <w:tcPr>
            <w:tcW w:w="1248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165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239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0.273</w:t>
            </w:r>
          </w:p>
        </w:tc>
        <w:tc>
          <w:tcPr>
            <w:tcW w:w="1513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1.142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0.510</w:t>
            </w:r>
          </w:p>
        </w:tc>
        <w:tc>
          <w:tcPr>
            <w:tcW w:w="1319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[0.770-1.694]</w:t>
            </w:r>
          </w:p>
        </w:tc>
      </w:tr>
      <w:tr w:rsidR="009B4578" w:rsidRPr="003C5B4B" w:rsidTr="00015592">
        <w:tc>
          <w:tcPr>
            <w:tcW w:w="2212" w:type="dxa"/>
          </w:tcPr>
          <w:p w:rsidR="009B4578" w:rsidRPr="003C5B4B" w:rsidRDefault="009B4578" w:rsidP="00015592">
            <w:pPr>
              <w:ind w:left="0" w:firstLine="0"/>
              <w:rPr>
                <w:b/>
                <w:lang w:val="fr-FR"/>
              </w:rPr>
            </w:pPr>
            <w:r w:rsidRPr="003C5B4B">
              <w:rPr>
                <w:b/>
                <w:lang w:val="fr-FR"/>
              </w:rPr>
              <w:t>COO</w:t>
            </w:r>
          </w:p>
          <w:p w:rsidR="009B4578" w:rsidRPr="003C5B4B" w:rsidRDefault="009B4578" w:rsidP="00015592">
            <w:pPr>
              <w:ind w:left="0" w:firstLine="0"/>
              <w:rPr>
                <w:lang w:val="fr-FR"/>
              </w:rPr>
            </w:pPr>
            <w:r w:rsidRPr="003C5B4B">
              <w:rPr>
                <w:lang w:val="fr-FR"/>
              </w:rPr>
              <w:t xml:space="preserve">GCB, </w:t>
            </w:r>
            <w:proofErr w:type="gramStart"/>
            <w:r w:rsidRPr="003C5B4B">
              <w:rPr>
                <w:lang w:val="fr-FR"/>
              </w:rPr>
              <w:t>n(</w:t>
            </w:r>
            <w:proofErr w:type="gramEnd"/>
            <w:r w:rsidRPr="003C5B4B">
              <w:rPr>
                <w:lang w:val="fr-FR"/>
              </w:rPr>
              <w:t>%)</w:t>
            </w:r>
          </w:p>
          <w:p w:rsidR="009B4578" w:rsidRPr="003C5B4B" w:rsidRDefault="009B4578" w:rsidP="00015592">
            <w:pPr>
              <w:ind w:left="0" w:firstLine="0"/>
              <w:rPr>
                <w:lang w:val="fr-FR"/>
              </w:rPr>
            </w:pPr>
            <w:r w:rsidRPr="003C5B4B">
              <w:rPr>
                <w:lang w:val="fr-FR"/>
              </w:rPr>
              <w:t xml:space="preserve">Non-GCB, </w:t>
            </w:r>
            <w:proofErr w:type="gramStart"/>
            <w:r w:rsidRPr="003C5B4B">
              <w:rPr>
                <w:lang w:val="fr-FR"/>
              </w:rPr>
              <w:t>n(</w:t>
            </w:r>
            <w:proofErr w:type="gramEnd"/>
            <w:r w:rsidRPr="003C5B4B">
              <w:rPr>
                <w:lang w:val="fr-FR"/>
              </w:rPr>
              <w:t>%)</w:t>
            </w:r>
          </w:p>
        </w:tc>
        <w:tc>
          <w:tcPr>
            <w:tcW w:w="1289" w:type="dxa"/>
          </w:tcPr>
          <w:p w:rsidR="009B4578" w:rsidRPr="003C5B4B" w:rsidRDefault="009B4578" w:rsidP="00015592">
            <w:pPr>
              <w:ind w:left="0" w:firstLine="0"/>
              <w:rPr>
                <w:lang w:val="fr-FR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155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78</w:t>
            </w:r>
          </w:p>
        </w:tc>
        <w:tc>
          <w:tcPr>
            <w:tcW w:w="1248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150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297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0.000</w:t>
            </w:r>
          </w:p>
        </w:tc>
        <w:tc>
          <w:tcPr>
            <w:tcW w:w="1513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1.916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0.002</w:t>
            </w:r>
          </w:p>
        </w:tc>
        <w:tc>
          <w:tcPr>
            <w:tcW w:w="1319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[1.267-2.897]</w:t>
            </w:r>
          </w:p>
        </w:tc>
      </w:tr>
      <w:tr w:rsidR="009B4578" w:rsidRPr="003C5B4B" w:rsidTr="00015592">
        <w:tc>
          <w:tcPr>
            <w:tcW w:w="2212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b/>
                <w:lang w:val="en-US"/>
              </w:rPr>
              <w:t>IPI categorized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Low risk (0,1)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Intermediate risk (2,3)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t>High risk (4,5)</w:t>
            </w:r>
          </w:p>
        </w:tc>
        <w:tc>
          <w:tcPr>
            <w:tcW w:w="1289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89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73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25</w:t>
            </w:r>
          </w:p>
        </w:tc>
        <w:tc>
          <w:tcPr>
            <w:tcW w:w="1248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146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186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46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0.068</w:t>
            </w:r>
          </w:p>
        </w:tc>
        <w:tc>
          <w:tcPr>
            <w:tcW w:w="1513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2.056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5.548</w:t>
            </w:r>
          </w:p>
        </w:tc>
        <w:tc>
          <w:tcPr>
            <w:tcW w:w="1100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0.002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0.000</w:t>
            </w:r>
          </w:p>
        </w:tc>
        <w:tc>
          <w:tcPr>
            <w:tcW w:w="1319" w:type="dxa"/>
          </w:tcPr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[1.311-3.224]</w:t>
            </w:r>
          </w:p>
          <w:p w:rsidR="009B4578" w:rsidRPr="003C5B4B" w:rsidRDefault="009B4578" w:rsidP="00015592">
            <w:pPr>
              <w:ind w:left="0" w:firstLine="0"/>
              <w:rPr>
                <w:lang w:val="en-US"/>
              </w:rPr>
            </w:pPr>
            <w:r w:rsidRPr="003C5B4B">
              <w:rPr>
                <w:lang w:val="en-US"/>
              </w:rPr>
              <w:t>[3.286-9.367]</w:t>
            </w:r>
          </w:p>
        </w:tc>
      </w:tr>
    </w:tbl>
    <w:p w:rsidR="009B4578" w:rsidRPr="009B4578" w:rsidRDefault="009B4578" w:rsidP="004C260A">
      <w:pPr>
        <w:ind w:left="0" w:firstLine="0"/>
        <w:rPr>
          <w:lang w:val="en-US"/>
        </w:rPr>
      </w:pPr>
    </w:p>
    <w:sectPr w:rsidR="009B4578" w:rsidRPr="009B4578" w:rsidSect="00510F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0A"/>
    <w:rsid w:val="003C5B4B"/>
    <w:rsid w:val="004C260A"/>
    <w:rsid w:val="004E2228"/>
    <w:rsid w:val="00510F38"/>
    <w:rsid w:val="009B4578"/>
    <w:rsid w:val="00AE393E"/>
    <w:rsid w:val="00D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docId w15:val="{2A289EFD-844E-9A40-B64E-AEECFF8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260A"/>
    <w:pPr>
      <w:spacing w:after="260" w:line="484" w:lineRule="auto"/>
      <w:ind w:left="10" w:hanging="10"/>
      <w:jc w:val="both"/>
    </w:pPr>
    <w:rPr>
      <w:rFonts w:ascii="Arial" w:eastAsia="Arial" w:hAnsi="Arial" w:cs="Arial"/>
      <w:color w:val="000000"/>
      <w:sz w:val="23"/>
      <w:szCs w:val="2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260A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R.S. van Rijn</dc:creator>
  <cp:lastModifiedBy>R.S. van Rijn</cp:lastModifiedBy>
  <cp:revision>2</cp:revision>
  <dcterms:created xsi:type="dcterms:W3CDTF">2018-06-19T09:05:00Z</dcterms:created>
  <dcterms:modified xsi:type="dcterms:W3CDTF">2018-06-19T09:05:00Z</dcterms:modified>
</cp:coreProperties>
</file>