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D3" w:rsidRPr="001069D3" w:rsidRDefault="001069D3" w:rsidP="001069D3">
      <w:pPr>
        <w:pStyle w:val="Acknowledgement"/>
        <w:spacing w:line="480" w:lineRule="auto"/>
        <w:ind w:left="0" w:firstLine="0"/>
        <w:rPr>
          <w:rFonts w:ascii="Arial" w:hAnsi="Arial" w:cs="Arial"/>
          <w:b/>
          <w:sz w:val="22"/>
          <w:szCs w:val="22"/>
        </w:rPr>
      </w:pPr>
      <w:r w:rsidRPr="001069D3">
        <w:rPr>
          <w:rFonts w:ascii="Arial" w:hAnsi="Arial" w:cs="Arial"/>
          <w:b/>
          <w:sz w:val="22"/>
          <w:szCs w:val="22"/>
        </w:rPr>
        <w:t>Supplemental Figures</w:t>
      </w:r>
      <w:bookmarkStart w:id="0" w:name="_GoBack"/>
      <w:bookmarkEnd w:id="0"/>
    </w:p>
    <w:p w:rsidR="001069D3" w:rsidRPr="001069D3" w:rsidRDefault="001069D3" w:rsidP="001069D3">
      <w:pPr>
        <w:pStyle w:val="Paragraph"/>
        <w:spacing w:line="480" w:lineRule="auto"/>
        <w:ind w:firstLine="0"/>
        <w:rPr>
          <w:rFonts w:ascii="Arial" w:hAnsi="Arial" w:cs="Arial"/>
          <w:sz w:val="22"/>
          <w:szCs w:val="22"/>
        </w:rPr>
      </w:pPr>
      <w:r w:rsidRPr="001069D3">
        <w:rPr>
          <w:rFonts w:ascii="Arial" w:hAnsi="Arial" w:cs="Arial"/>
          <w:b/>
          <w:sz w:val="22"/>
          <w:szCs w:val="22"/>
        </w:rPr>
        <w:t xml:space="preserve">Figure S1. B3 binds to PD-L1 on multiple tumor types. </w:t>
      </w:r>
      <w:r w:rsidRPr="001069D3">
        <w:rPr>
          <w:rFonts w:ascii="Arial" w:hAnsi="Arial" w:cs="Arial"/>
          <w:sz w:val="22"/>
          <w:szCs w:val="22"/>
        </w:rPr>
        <w:t>(</w:t>
      </w:r>
      <w:r w:rsidRPr="001069D3">
        <w:rPr>
          <w:rFonts w:ascii="Arial" w:hAnsi="Arial" w:cs="Arial"/>
          <w:b/>
          <w:sz w:val="22"/>
          <w:szCs w:val="22"/>
        </w:rPr>
        <w:t>A</w:t>
      </w:r>
      <w:r w:rsidRPr="001069D3">
        <w:rPr>
          <w:rFonts w:ascii="Arial" w:hAnsi="Arial" w:cs="Arial"/>
          <w:sz w:val="22"/>
          <w:szCs w:val="22"/>
        </w:rPr>
        <w:t xml:space="preserve">) </w:t>
      </w:r>
      <w:proofErr w:type="gramStart"/>
      <w:r w:rsidRPr="001069D3">
        <w:rPr>
          <w:rFonts w:ascii="Arial" w:hAnsi="Arial" w:cs="Arial"/>
          <w:sz w:val="22"/>
          <w:szCs w:val="22"/>
        </w:rPr>
        <w:t>flow</w:t>
      </w:r>
      <w:proofErr w:type="gramEnd"/>
      <w:r w:rsidRPr="001069D3">
        <w:rPr>
          <w:rFonts w:ascii="Arial" w:hAnsi="Arial" w:cs="Arial"/>
          <w:sz w:val="22"/>
          <w:szCs w:val="22"/>
        </w:rPr>
        <w:t xml:space="preserve"> cytometry using B3 or commercial </w:t>
      </w:r>
      <w:r w:rsidRPr="001069D3">
        <w:rPr>
          <w:rFonts w:ascii="Arial" w:hAnsi="Arial" w:cs="Arial"/>
          <w:sz w:val="22"/>
          <w:szCs w:val="22"/>
        </w:rPr>
        <w:sym w:font="Symbol" w:char="F061"/>
      </w:r>
      <w:r w:rsidRPr="001069D3">
        <w:rPr>
          <w:rFonts w:ascii="Arial" w:hAnsi="Arial" w:cs="Arial"/>
          <w:sz w:val="22"/>
          <w:szCs w:val="22"/>
        </w:rPr>
        <w:t>PD-L1 on IFN</w:t>
      </w:r>
      <w:r w:rsidRPr="001069D3">
        <w:rPr>
          <w:rFonts w:ascii="Arial" w:hAnsi="Arial" w:cs="Arial"/>
          <w:sz w:val="22"/>
          <w:szCs w:val="22"/>
        </w:rPr>
        <w:sym w:font="Symbol" w:char="F067"/>
      </w:r>
      <w:r w:rsidRPr="001069D3">
        <w:rPr>
          <w:rFonts w:ascii="Arial" w:hAnsi="Arial" w:cs="Arial"/>
          <w:sz w:val="22"/>
          <w:szCs w:val="22"/>
        </w:rPr>
        <w:t xml:space="preserve"> treated and untreated tumor cell lines. </w:t>
      </w:r>
      <w:r w:rsidRPr="001069D3">
        <w:rPr>
          <w:rFonts w:ascii="Arial" w:hAnsi="Arial" w:cs="Arial"/>
          <w:sz w:val="22"/>
          <w:szCs w:val="22"/>
          <w:lang w:val="es-ES"/>
        </w:rPr>
        <w:t>B16 (melanoma), CT26 (colon adenocarcinoma), MDAC8 (</w:t>
      </w:r>
      <w:proofErr w:type="spellStart"/>
      <w:r w:rsidRPr="001069D3">
        <w:rPr>
          <w:rFonts w:ascii="Arial" w:hAnsi="Arial" w:cs="Arial"/>
          <w:sz w:val="22"/>
          <w:szCs w:val="22"/>
          <w:lang w:val="es-ES"/>
        </w:rPr>
        <w:t>pulmonary</w:t>
      </w:r>
      <w:proofErr w:type="spellEnd"/>
      <w:r w:rsidRPr="001069D3">
        <w:rPr>
          <w:rFonts w:ascii="Arial" w:hAnsi="Arial" w:cs="Arial"/>
          <w:sz w:val="22"/>
          <w:szCs w:val="22"/>
          <w:lang w:val="es-ES"/>
        </w:rPr>
        <w:t xml:space="preserve"> adenocarcinoma), Panc02 (</w:t>
      </w:r>
      <w:proofErr w:type="spellStart"/>
      <w:r w:rsidRPr="001069D3">
        <w:rPr>
          <w:rFonts w:ascii="Arial" w:hAnsi="Arial" w:cs="Arial"/>
          <w:sz w:val="22"/>
          <w:szCs w:val="22"/>
          <w:lang w:val="es-ES"/>
        </w:rPr>
        <w:t>pancreatic</w:t>
      </w:r>
      <w:proofErr w:type="spellEnd"/>
      <w:r w:rsidRPr="001069D3">
        <w:rPr>
          <w:rFonts w:ascii="Arial" w:hAnsi="Arial" w:cs="Arial"/>
          <w:sz w:val="22"/>
          <w:szCs w:val="22"/>
          <w:lang w:val="es-ES"/>
        </w:rPr>
        <w:t xml:space="preserve"> adenocarcinoma). </w:t>
      </w:r>
      <w:r w:rsidRPr="001069D3">
        <w:rPr>
          <w:rFonts w:ascii="Arial" w:hAnsi="Arial" w:cs="Arial"/>
          <w:sz w:val="22"/>
          <w:szCs w:val="22"/>
        </w:rPr>
        <w:t>(</w:t>
      </w:r>
      <w:r w:rsidRPr="001069D3">
        <w:rPr>
          <w:rFonts w:ascii="Arial" w:hAnsi="Arial" w:cs="Arial"/>
          <w:b/>
          <w:sz w:val="22"/>
          <w:szCs w:val="22"/>
        </w:rPr>
        <w:t>B</w:t>
      </w:r>
      <w:r w:rsidRPr="001069D3">
        <w:rPr>
          <w:rFonts w:ascii="Arial" w:hAnsi="Arial" w:cs="Arial"/>
          <w:sz w:val="22"/>
          <w:szCs w:val="22"/>
        </w:rPr>
        <w:t xml:space="preserve">) </w:t>
      </w:r>
      <w:proofErr w:type="gramStart"/>
      <w:r w:rsidRPr="001069D3">
        <w:rPr>
          <w:rFonts w:ascii="Arial" w:hAnsi="Arial" w:cs="Arial"/>
          <w:sz w:val="22"/>
          <w:szCs w:val="22"/>
        </w:rPr>
        <w:t>flow</w:t>
      </w:r>
      <w:proofErr w:type="gramEnd"/>
      <w:r w:rsidRPr="001069D3">
        <w:rPr>
          <w:rFonts w:ascii="Arial" w:hAnsi="Arial" w:cs="Arial"/>
          <w:sz w:val="22"/>
          <w:szCs w:val="22"/>
        </w:rPr>
        <w:t xml:space="preserve"> cytometry on IFN</w:t>
      </w:r>
      <w:r w:rsidRPr="001069D3">
        <w:rPr>
          <w:rFonts w:ascii="Arial" w:hAnsi="Arial" w:cs="Arial"/>
          <w:sz w:val="22"/>
          <w:szCs w:val="22"/>
        </w:rPr>
        <w:sym w:font="Symbol" w:char="F067"/>
      </w:r>
      <w:r w:rsidRPr="001069D3">
        <w:rPr>
          <w:rFonts w:ascii="Arial" w:hAnsi="Arial" w:cs="Arial"/>
          <w:sz w:val="22"/>
          <w:szCs w:val="22"/>
        </w:rPr>
        <w:t xml:space="preserve"> treated B16 melanoma using the indicated detection and blocking VHH or antibody as indicated. (</w:t>
      </w:r>
      <w:r w:rsidRPr="001069D3">
        <w:rPr>
          <w:rFonts w:ascii="Arial" w:hAnsi="Arial" w:cs="Arial"/>
          <w:b/>
          <w:sz w:val="22"/>
          <w:szCs w:val="22"/>
        </w:rPr>
        <w:t>C</w:t>
      </w:r>
      <w:r w:rsidRPr="001069D3">
        <w:rPr>
          <w:rFonts w:ascii="Arial" w:hAnsi="Arial" w:cs="Arial"/>
          <w:sz w:val="22"/>
          <w:szCs w:val="22"/>
        </w:rPr>
        <w:t xml:space="preserve">) B3 and </w:t>
      </w:r>
      <w:r w:rsidRPr="001069D3">
        <w:rPr>
          <w:rFonts w:ascii="Arial" w:hAnsi="Arial" w:cs="Arial"/>
          <w:sz w:val="22"/>
          <w:szCs w:val="22"/>
        </w:rPr>
        <w:sym w:font="Symbol" w:char="F061"/>
      </w:r>
      <w:r w:rsidRPr="001069D3">
        <w:rPr>
          <w:rFonts w:ascii="Arial" w:hAnsi="Arial" w:cs="Arial"/>
          <w:sz w:val="22"/>
          <w:szCs w:val="22"/>
        </w:rPr>
        <w:t>PD-L1 dose-response binding by flow cytometry on IFN</w:t>
      </w:r>
      <w:r w:rsidRPr="001069D3">
        <w:rPr>
          <w:rFonts w:ascii="Arial" w:hAnsi="Arial" w:cs="Arial"/>
          <w:sz w:val="22"/>
          <w:szCs w:val="22"/>
        </w:rPr>
        <w:sym w:font="Symbol" w:char="F067"/>
      </w:r>
      <w:r w:rsidRPr="001069D3">
        <w:rPr>
          <w:rFonts w:ascii="Arial" w:hAnsi="Arial" w:cs="Arial"/>
          <w:sz w:val="22"/>
          <w:szCs w:val="22"/>
        </w:rPr>
        <w:t xml:space="preserve"> treated and untreated B16 melanoma.</w:t>
      </w:r>
    </w:p>
    <w:p w:rsidR="001069D3" w:rsidRPr="001069D3" w:rsidRDefault="001069D3" w:rsidP="001069D3">
      <w:pPr>
        <w:pStyle w:val="Paragraph"/>
        <w:spacing w:line="480" w:lineRule="auto"/>
        <w:ind w:firstLine="0"/>
        <w:rPr>
          <w:rFonts w:ascii="Arial" w:hAnsi="Arial" w:cs="Arial"/>
          <w:sz w:val="22"/>
          <w:szCs w:val="22"/>
        </w:rPr>
      </w:pPr>
    </w:p>
    <w:p w:rsidR="001069D3" w:rsidRPr="001069D3" w:rsidRDefault="001069D3" w:rsidP="001069D3">
      <w:pPr>
        <w:spacing w:line="480" w:lineRule="auto"/>
        <w:rPr>
          <w:rFonts w:ascii="Arial" w:hAnsi="Arial" w:cs="Arial"/>
          <w:sz w:val="22"/>
          <w:szCs w:val="22"/>
        </w:rPr>
      </w:pPr>
      <w:r w:rsidRPr="001069D3">
        <w:rPr>
          <w:rFonts w:ascii="Arial" w:hAnsi="Arial" w:cs="Arial"/>
          <w:b/>
          <w:sz w:val="22"/>
          <w:szCs w:val="22"/>
        </w:rPr>
        <w:t>Figure S2. In vitro killing of IFN</w:t>
      </w:r>
      <w:r w:rsidRPr="001069D3">
        <w:rPr>
          <w:rFonts w:ascii="Arial" w:hAnsi="Arial" w:cs="Arial"/>
          <w:b/>
          <w:sz w:val="22"/>
          <w:szCs w:val="22"/>
        </w:rPr>
        <w:sym w:font="Symbol" w:char="F067"/>
      </w:r>
      <w:r w:rsidRPr="001069D3">
        <w:rPr>
          <w:rFonts w:ascii="Arial" w:hAnsi="Arial" w:cs="Arial"/>
          <w:b/>
          <w:sz w:val="22"/>
          <w:szCs w:val="22"/>
        </w:rPr>
        <w:t xml:space="preserve"> treated B16-ova </w:t>
      </w:r>
      <w:proofErr w:type="gramStart"/>
      <w:r w:rsidRPr="001069D3">
        <w:rPr>
          <w:rFonts w:ascii="Arial" w:hAnsi="Arial" w:cs="Arial"/>
          <w:b/>
          <w:sz w:val="22"/>
          <w:szCs w:val="22"/>
        </w:rPr>
        <w:t>cells by activated OT-I T cells is</w:t>
      </w:r>
      <w:proofErr w:type="gramEnd"/>
      <w:r w:rsidRPr="001069D3">
        <w:rPr>
          <w:rFonts w:ascii="Arial" w:hAnsi="Arial" w:cs="Arial"/>
          <w:b/>
          <w:sz w:val="22"/>
          <w:szCs w:val="22"/>
        </w:rPr>
        <w:t xml:space="preserve"> inhibited by PD-L1.</w:t>
      </w:r>
      <w:r w:rsidRPr="001069D3">
        <w:rPr>
          <w:rFonts w:ascii="Arial" w:hAnsi="Arial" w:cs="Arial"/>
          <w:sz w:val="22"/>
          <w:szCs w:val="22"/>
        </w:rPr>
        <w:t xml:space="preserve"> (</w:t>
      </w:r>
      <w:r w:rsidRPr="001069D3">
        <w:rPr>
          <w:rFonts w:ascii="Arial" w:hAnsi="Arial" w:cs="Arial"/>
          <w:b/>
          <w:sz w:val="22"/>
          <w:szCs w:val="22"/>
        </w:rPr>
        <w:t>A-B</w:t>
      </w:r>
      <w:r w:rsidRPr="001069D3">
        <w:rPr>
          <w:rFonts w:ascii="Arial" w:hAnsi="Arial" w:cs="Arial"/>
          <w:sz w:val="22"/>
          <w:szCs w:val="22"/>
        </w:rPr>
        <w:t>) B16 or B16-ova cells treated for 18 hours with IFN</w:t>
      </w:r>
      <w:r w:rsidRPr="001069D3">
        <w:rPr>
          <w:rFonts w:ascii="Arial" w:hAnsi="Arial" w:cs="Arial"/>
          <w:sz w:val="22"/>
          <w:szCs w:val="22"/>
        </w:rPr>
        <w:sym w:font="Symbol" w:char="F067"/>
      </w:r>
      <w:r w:rsidRPr="001069D3">
        <w:rPr>
          <w:rFonts w:ascii="Arial" w:hAnsi="Arial" w:cs="Arial"/>
          <w:sz w:val="22"/>
          <w:szCs w:val="22"/>
        </w:rPr>
        <w:t xml:space="preserve"> (20 ng/mL) were washed to remove the IFN</w:t>
      </w:r>
      <w:r w:rsidRPr="001069D3">
        <w:rPr>
          <w:rFonts w:ascii="Arial" w:hAnsi="Arial" w:cs="Arial"/>
          <w:sz w:val="22"/>
          <w:szCs w:val="22"/>
        </w:rPr>
        <w:sym w:font="Symbol" w:char="F067"/>
      </w:r>
      <w:r w:rsidRPr="001069D3">
        <w:rPr>
          <w:rFonts w:ascii="Arial" w:hAnsi="Arial" w:cs="Arial"/>
          <w:sz w:val="22"/>
          <w:szCs w:val="22"/>
        </w:rPr>
        <w:t xml:space="preserve"> and were incubated with CD3/CD28 activated OT-I T cells and cultured for 48 hours in the presence of B3 or </w:t>
      </w:r>
      <w:r w:rsidRPr="001069D3">
        <w:rPr>
          <w:rFonts w:ascii="Arial" w:hAnsi="Arial" w:cs="Arial"/>
          <w:sz w:val="22"/>
          <w:szCs w:val="22"/>
          <w:lang w:val="en-GB"/>
        </w:rPr>
        <w:sym w:font="Symbol" w:char="F061"/>
      </w:r>
      <w:r w:rsidRPr="001069D3">
        <w:rPr>
          <w:rFonts w:ascii="Arial" w:hAnsi="Arial" w:cs="Arial"/>
          <w:sz w:val="22"/>
          <w:szCs w:val="22"/>
          <w:lang w:val="en-GB"/>
        </w:rPr>
        <w:t>PD-L1 as indicated. (</w:t>
      </w:r>
      <w:r w:rsidRPr="001069D3">
        <w:rPr>
          <w:rFonts w:ascii="Arial" w:hAnsi="Arial" w:cs="Arial"/>
          <w:b/>
          <w:sz w:val="22"/>
          <w:szCs w:val="22"/>
          <w:lang w:val="en-GB"/>
        </w:rPr>
        <w:t>A</w:t>
      </w:r>
      <w:r w:rsidRPr="001069D3">
        <w:rPr>
          <w:rFonts w:ascii="Arial" w:hAnsi="Arial" w:cs="Arial"/>
          <w:sz w:val="22"/>
          <w:szCs w:val="22"/>
          <w:lang w:val="en-GB"/>
        </w:rPr>
        <w:t xml:space="preserve">) Comparison of OT-I mediated killing of wild-type (WT) and ovalbumin-expressing B16 cells (ova). B16 survival was assessed using the </w:t>
      </w:r>
      <w:proofErr w:type="spellStart"/>
      <w:r w:rsidRPr="001069D3">
        <w:rPr>
          <w:rFonts w:ascii="Arial" w:hAnsi="Arial" w:cs="Arial"/>
          <w:sz w:val="22"/>
          <w:szCs w:val="22"/>
          <w:lang w:val="en-GB"/>
        </w:rPr>
        <w:t>CellTiterGlo</w:t>
      </w:r>
      <w:proofErr w:type="spellEnd"/>
      <w:r w:rsidRPr="001069D3">
        <w:rPr>
          <w:rFonts w:ascii="Arial" w:hAnsi="Arial" w:cs="Arial"/>
          <w:sz w:val="22"/>
          <w:szCs w:val="22"/>
          <w:lang w:val="en-GB"/>
        </w:rPr>
        <w:t xml:space="preserve"> (CTG) bioluminescent assay, and values were normalized to untreated B16 cells. (</w:t>
      </w:r>
      <w:r w:rsidRPr="001069D3">
        <w:rPr>
          <w:rFonts w:ascii="Arial" w:hAnsi="Arial" w:cs="Arial"/>
          <w:b/>
          <w:sz w:val="22"/>
          <w:szCs w:val="22"/>
          <w:lang w:val="en-GB"/>
        </w:rPr>
        <w:t>B</w:t>
      </w:r>
      <w:r w:rsidRPr="001069D3">
        <w:rPr>
          <w:rFonts w:ascii="Arial" w:hAnsi="Arial" w:cs="Arial"/>
          <w:sz w:val="22"/>
          <w:szCs w:val="22"/>
          <w:lang w:val="en-GB"/>
        </w:rPr>
        <w:t>) B16 ova cells were labelled with CFSE and cultured with unlabelled B16 WT cells. Survival was assessed by flow cytometry using the ratio of CSFE positive to CSFE negative cells normalized to untreated cells. (A-B) Error bars show SEM. (</w:t>
      </w:r>
      <w:r w:rsidRPr="001069D3">
        <w:rPr>
          <w:rFonts w:ascii="Arial" w:hAnsi="Arial" w:cs="Arial"/>
          <w:b/>
          <w:sz w:val="22"/>
          <w:szCs w:val="22"/>
          <w:lang w:val="en-GB"/>
        </w:rPr>
        <w:t>C</w:t>
      </w:r>
      <w:r w:rsidRPr="001069D3">
        <w:rPr>
          <w:rFonts w:ascii="Arial" w:hAnsi="Arial" w:cs="Arial"/>
          <w:sz w:val="22"/>
          <w:szCs w:val="22"/>
          <w:lang w:val="en-GB"/>
        </w:rPr>
        <w:t>)</w:t>
      </w:r>
      <w:r w:rsidRPr="001069D3">
        <w:rPr>
          <w:rFonts w:ascii="Arial" w:hAnsi="Arial" w:cs="Arial"/>
          <w:sz w:val="22"/>
          <w:szCs w:val="22"/>
        </w:rPr>
        <w:t xml:space="preserve"> Flow cytometry using the indicated antibodies on B16-ova cells treated as in (A) or left untreated. (</w:t>
      </w:r>
      <w:r w:rsidRPr="001069D3">
        <w:rPr>
          <w:rFonts w:ascii="Arial" w:hAnsi="Arial" w:cs="Arial"/>
          <w:b/>
          <w:sz w:val="22"/>
          <w:szCs w:val="22"/>
        </w:rPr>
        <w:t>D</w:t>
      </w:r>
      <w:r w:rsidRPr="001069D3">
        <w:rPr>
          <w:rFonts w:ascii="Arial" w:hAnsi="Arial" w:cs="Arial"/>
          <w:sz w:val="22"/>
          <w:szCs w:val="22"/>
        </w:rPr>
        <w:t xml:space="preserve">) Flow cytometry with the indicated VHH or antibody on OT-I T cells activated for 48 hours with </w:t>
      </w:r>
      <w:r w:rsidRPr="001069D3">
        <w:rPr>
          <w:rFonts w:ascii="Arial" w:hAnsi="Arial" w:cs="Arial"/>
          <w:sz w:val="22"/>
          <w:szCs w:val="22"/>
          <w:lang w:val="en-GB"/>
        </w:rPr>
        <w:sym w:font="Symbol" w:char="F061"/>
      </w:r>
      <w:r w:rsidRPr="001069D3">
        <w:rPr>
          <w:rFonts w:ascii="Arial" w:hAnsi="Arial" w:cs="Arial"/>
          <w:sz w:val="22"/>
          <w:szCs w:val="22"/>
        </w:rPr>
        <w:t>CD3/CD28 beads and then incubated for an additional 24 hours in culture supernatant in the absence of stimulation. (A-D) Results represent 2-3 independent experiments.</w:t>
      </w:r>
    </w:p>
    <w:p w:rsidR="001069D3" w:rsidRPr="001069D3" w:rsidRDefault="001069D3" w:rsidP="001069D3">
      <w:pPr>
        <w:pStyle w:val="Paragraph"/>
        <w:spacing w:line="480" w:lineRule="auto"/>
        <w:ind w:firstLine="0"/>
        <w:rPr>
          <w:rFonts w:ascii="Arial" w:hAnsi="Arial" w:cs="Arial"/>
          <w:sz w:val="22"/>
          <w:szCs w:val="22"/>
        </w:rPr>
      </w:pPr>
    </w:p>
    <w:p w:rsidR="001069D3" w:rsidRPr="001069D3" w:rsidRDefault="001069D3" w:rsidP="001069D3">
      <w:pPr>
        <w:spacing w:line="480" w:lineRule="auto"/>
        <w:rPr>
          <w:rFonts w:ascii="Arial" w:hAnsi="Arial" w:cs="Arial"/>
          <w:sz w:val="22"/>
          <w:szCs w:val="22"/>
        </w:rPr>
      </w:pPr>
      <w:r w:rsidRPr="001069D3">
        <w:rPr>
          <w:rFonts w:ascii="Arial" w:hAnsi="Arial" w:cs="Arial"/>
          <w:b/>
          <w:sz w:val="22"/>
          <w:szCs w:val="22"/>
        </w:rPr>
        <w:t>Figure S3. Single agent treatment with B3 does not alter B16 growth in vivo</w:t>
      </w:r>
      <w:r w:rsidRPr="001069D3">
        <w:rPr>
          <w:rFonts w:ascii="Arial" w:hAnsi="Arial" w:cs="Arial"/>
          <w:sz w:val="22"/>
          <w:szCs w:val="22"/>
        </w:rPr>
        <w:t>. (</w:t>
      </w:r>
      <w:r w:rsidRPr="001069D3">
        <w:rPr>
          <w:rFonts w:ascii="Arial" w:hAnsi="Arial" w:cs="Arial"/>
          <w:b/>
          <w:sz w:val="22"/>
          <w:szCs w:val="22"/>
        </w:rPr>
        <w:t>A</w:t>
      </w:r>
      <w:r w:rsidRPr="001069D3">
        <w:rPr>
          <w:rFonts w:ascii="Arial" w:hAnsi="Arial" w:cs="Arial"/>
          <w:sz w:val="22"/>
          <w:szCs w:val="22"/>
        </w:rPr>
        <w:t>) C57BL/6 mice were inoculated with 5x10</w:t>
      </w:r>
      <w:r w:rsidRPr="001069D3">
        <w:rPr>
          <w:rFonts w:ascii="Arial" w:hAnsi="Arial" w:cs="Arial"/>
          <w:sz w:val="22"/>
          <w:szCs w:val="22"/>
          <w:vertAlign w:val="superscript"/>
        </w:rPr>
        <w:t>5</w:t>
      </w:r>
      <w:r w:rsidRPr="001069D3">
        <w:rPr>
          <w:rFonts w:ascii="Arial" w:hAnsi="Arial" w:cs="Arial"/>
          <w:sz w:val="22"/>
          <w:szCs w:val="22"/>
        </w:rPr>
        <w:t xml:space="preserve"> B16 cells subcutaneously on day 0, and vaccinated on day 0 </w:t>
      </w:r>
      <w:r w:rsidRPr="001069D3">
        <w:rPr>
          <w:rFonts w:ascii="Arial" w:hAnsi="Arial" w:cs="Arial"/>
          <w:sz w:val="22"/>
          <w:szCs w:val="22"/>
        </w:rPr>
        <w:lastRenderedPageBreak/>
        <w:t>with 5x10</w:t>
      </w:r>
      <w:r w:rsidRPr="001069D3">
        <w:rPr>
          <w:rFonts w:ascii="Arial" w:hAnsi="Arial" w:cs="Arial"/>
          <w:sz w:val="22"/>
          <w:szCs w:val="22"/>
          <w:vertAlign w:val="superscript"/>
        </w:rPr>
        <w:t>5</w:t>
      </w:r>
      <w:r w:rsidRPr="001069D3">
        <w:rPr>
          <w:rFonts w:ascii="Arial" w:hAnsi="Arial" w:cs="Arial"/>
          <w:sz w:val="22"/>
          <w:szCs w:val="22"/>
        </w:rPr>
        <w:t xml:space="preserve"> B16 cells engineered to secrete GM-CSF (GVAX). Starting on day 0, mice were treated every other day with 250 </w:t>
      </w:r>
      <w:r w:rsidRPr="001069D3">
        <w:rPr>
          <w:rFonts w:ascii="Arial" w:hAnsi="Arial" w:cs="Arial"/>
          <w:sz w:val="22"/>
          <w:szCs w:val="22"/>
        </w:rPr>
        <w:sym w:font="Symbol" w:char="F06D"/>
      </w:r>
      <w:r w:rsidRPr="001069D3">
        <w:rPr>
          <w:rFonts w:ascii="Arial" w:hAnsi="Arial" w:cs="Arial"/>
          <w:sz w:val="22"/>
          <w:szCs w:val="22"/>
        </w:rPr>
        <w:t>g of VHH CTR in PBS by intraperitoneal injection (VHH CTR) or were left untreated (PBS). (</w:t>
      </w:r>
      <w:r w:rsidRPr="001069D3">
        <w:rPr>
          <w:rFonts w:ascii="Arial" w:hAnsi="Arial" w:cs="Arial"/>
          <w:b/>
          <w:sz w:val="22"/>
          <w:szCs w:val="22"/>
        </w:rPr>
        <w:t>B</w:t>
      </w:r>
      <w:r w:rsidRPr="001069D3">
        <w:rPr>
          <w:rFonts w:ascii="Arial" w:hAnsi="Arial" w:cs="Arial"/>
          <w:sz w:val="22"/>
          <w:szCs w:val="22"/>
        </w:rPr>
        <w:t>) C57BL/6 mice were inoculated B16 as in (A), and were treated as in (A) with B3 or VHH CTR. (A-B) Tumor size was measured by precision calipers. Error bars represent SEM. N=5 for each group.</w:t>
      </w:r>
    </w:p>
    <w:p w:rsidR="001069D3" w:rsidRPr="001069D3" w:rsidRDefault="001069D3" w:rsidP="001069D3">
      <w:pPr>
        <w:pStyle w:val="Paragraph"/>
        <w:spacing w:line="480" w:lineRule="auto"/>
        <w:ind w:firstLine="0"/>
        <w:rPr>
          <w:rFonts w:ascii="Arial" w:hAnsi="Arial" w:cs="Arial"/>
          <w:sz w:val="22"/>
          <w:szCs w:val="22"/>
        </w:rPr>
      </w:pPr>
    </w:p>
    <w:p w:rsidR="001069D3" w:rsidRPr="001069D3" w:rsidRDefault="001069D3" w:rsidP="001069D3">
      <w:pPr>
        <w:spacing w:line="480" w:lineRule="auto"/>
        <w:rPr>
          <w:rFonts w:ascii="Arial" w:hAnsi="Arial" w:cs="Arial"/>
          <w:sz w:val="22"/>
          <w:szCs w:val="22"/>
        </w:rPr>
      </w:pPr>
      <w:r w:rsidRPr="001069D3">
        <w:rPr>
          <w:rFonts w:ascii="Arial" w:hAnsi="Arial" w:cs="Arial"/>
          <w:b/>
          <w:sz w:val="22"/>
          <w:szCs w:val="22"/>
        </w:rPr>
        <w:t xml:space="preserve">Figure S4. </w:t>
      </w:r>
      <w:proofErr w:type="gramStart"/>
      <w:r w:rsidRPr="001069D3">
        <w:rPr>
          <w:rFonts w:ascii="Arial" w:hAnsi="Arial" w:cs="Arial"/>
          <w:b/>
          <w:sz w:val="22"/>
          <w:szCs w:val="22"/>
        </w:rPr>
        <w:t>Lack of efficacy of B3-IL2 in KPC model and A12-GMCSF in Panc02 model.</w:t>
      </w:r>
      <w:proofErr w:type="gramEnd"/>
      <w:r w:rsidRPr="001069D3">
        <w:rPr>
          <w:rFonts w:ascii="Arial" w:hAnsi="Arial" w:cs="Arial"/>
          <w:b/>
          <w:sz w:val="22"/>
          <w:szCs w:val="22"/>
        </w:rPr>
        <w:t xml:space="preserve"> </w:t>
      </w:r>
      <w:r w:rsidRPr="001069D3">
        <w:rPr>
          <w:rFonts w:ascii="Arial" w:hAnsi="Arial" w:cs="Arial"/>
          <w:sz w:val="22"/>
          <w:szCs w:val="22"/>
        </w:rPr>
        <w:t>(</w:t>
      </w:r>
      <w:r w:rsidRPr="001069D3">
        <w:rPr>
          <w:rFonts w:ascii="Arial" w:hAnsi="Arial" w:cs="Arial"/>
          <w:b/>
          <w:sz w:val="22"/>
          <w:szCs w:val="22"/>
        </w:rPr>
        <w:t>A-B</w:t>
      </w:r>
      <w:r w:rsidRPr="001069D3">
        <w:rPr>
          <w:rFonts w:ascii="Arial" w:hAnsi="Arial" w:cs="Arial"/>
          <w:sz w:val="22"/>
          <w:szCs w:val="22"/>
        </w:rPr>
        <w:t xml:space="preserve">) 100,000 KPC cells were </w:t>
      </w:r>
      <w:proofErr w:type="spellStart"/>
      <w:r w:rsidRPr="001069D3">
        <w:rPr>
          <w:rFonts w:ascii="Arial" w:hAnsi="Arial" w:cs="Arial"/>
          <w:sz w:val="22"/>
          <w:szCs w:val="22"/>
        </w:rPr>
        <w:t>orthotopically</w:t>
      </w:r>
      <w:proofErr w:type="spellEnd"/>
      <w:r w:rsidRPr="001069D3">
        <w:rPr>
          <w:rFonts w:ascii="Arial" w:hAnsi="Arial" w:cs="Arial"/>
          <w:sz w:val="22"/>
          <w:szCs w:val="22"/>
        </w:rPr>
        <w:t xml:space="preserve"> implanted into C57BL/6 mice. Mice were treated IP with VHHCTR or B3-IL2 at 1 </w:t>
      </w:r>
      <w:r w:rsidRPr="001069D3">
        <w:rPr>
          <w:rFonts w:ascii="Symbol" w:hAnsi="Symbol" w:cs="Arial"/>
          <w:sz w:val="22"/>
          <w:szCs w:val="22"/>
        </w:rPr>
        <w:t></w:t>
      </w:r>
      <w:r w:rsidRPr="001069D3">
        <w:rPr>
          <w:rFonts w:ascii="Arial" w:hAnsi="Arial" w:cs="Arial"/>
          <w:sz w:val="22"/>
          <w:szCs w:val="22"/>
        </w:rPr>
        <w:t>g/mouse daily for 18 days. Tumors were harvested at day 21 post-implantation, weighed, digested and infiltrates analyzed by flow cytometry. N=5 mice per group. (</w:t>
      </w:r>
      <w:r w:rsidRPr="001069D3">
        <w:rPr>
          <w:rFonts w:ascii="Arial" w:hAnsi="Arial" w:cs="Arial"/>
          <w:b/>
          <w:sz w:val="22"/>
          <w:szCs w:val="22"/>
        </w:rPr>
        <w:t>C</w:t>
      </w:r>
      <w:r w:rsidRPr="001069D3">
        <w:rPr>
          <w:rFonts w:ascii="Arial" w:hAnsi="Arial" w:cs="Arial"/>
          <w:sz w:val="22"/>
          <w:szCs w:val="22"/>
        </w:rPr>
        <w:t>) A fusion of A12 and GM-CSF was purified from mammalian cell culture. To confirm that the cytokine element retained functionality, A12-GMCSF or recombinant GM-CSF was added at the indicated concentrations to mouse bone marrow cells. Dendritic cell differentiation was confirmed by flow cytometry analysis of % CD11c</w:t>
      </w:r>
      <w:r w:rsidRPr="001069D3">
        <w:rPr>
          <w:rFonts w:ascii="Arial" w:hAnsi="Arial" w:cs="Arial"/>
          <w:sz w:val="22"/>
          <w:szCs w:val="22"/>
          <w:vertAlign w:val="superscript"/>
        </w:rPr>
        <w:t>+</w:t>
      </w:r>
      <w:r w:rsidRPr="001069D3">
        <w:rPr>
          <w:rFonts w:ascii="Arial" w:hAnsi="Arial" w:cs="Arial"/>
          <w:sz w:val="22"/>
          <w:szCs w:val="22"/>
        </w:rPr>
        <w:t xml:space="preserve"> cells at day 3 of culture. Similar results were observed at culture day 8. (</w:t>
      </w:r>
      <w:r w:rsidRPr="001069D3">
        <w:rPr>
          <w:rFonts w:ascii="Arial" w:hAnsi="Arial" w:cs="Arial"/>
          <w:b/>
          <w:sz w:val="22"/>
          <w:szCs w:val="22"/>
        </w:rPr>
        <w:t>D</w:t>
      </w:r>
      <w:r w:rsidRPr="001069D3">
        <w:rPr>
          <w:rFonts w:ascii="Arial" w:hAnsi="Arial" w:cs="Arial"/>
          <w:sz w:val="22"/>
          <w:szCs w:val="22"/>
        </w:rPr>
        <w:t xml:space="preserve">) 100,000 Panc02 cells were </w:t>
      </w:r>
      <w:proofErr w:type="spellStart"/>
      <w:r w:rsidRPr="001069D3">
        <w:rPr>
          <w:rFonts w:ascii="Arial" w:hAnsi="Arial" w:cs="Arial"/>
          <w:sz w:val="22"/>
          <w:szCs w:val="22"/>
        </w:rPr>
        <w:t>orthotopically</w:t>
      </w:r>
      <w:proofErr w:type="spellEnd"/>
      <w:r w:rsidRPr="001069D3">
        <w:rPr>
          <w:rFonts w:ascii="Arial" w:hAnsi="Arial" w:cs="Arial"/>
          <w:sz w:val="22"/>
          <w:szCs w:val="22"/>
        </w:rPr>
        <w:t xml:space="preserve"> implanted into C57BL/6 mice. Mice were treated IP with VHHCTR or A12-GMCSF at 10 </w:t>
      </w:r>
      <w:r w:rsidRPr="001069D3">
        <w:rPr>
          <w:rFonts w:ascii="Symbol" w:hAnsi="Symbol" w:cs="Arial"/>
          <w:sz w:val="22"/>
          <w:szCs w:val="22"/>
        </w:rPr>
        <w:t></w:t>
      </w:r>
      <w:r w:rsidRPr="001069D3">
        <w:rPr>
          <w:rFonts w:ascii="Arial" w:hAnsi="Arial" w:cs="Arial"/>
          <w:sz w:val="22"/>
          <w:szCs w:val="22"/>
        </w:rPr>
        <w:t>g/mouse daily for 18 days. Tumors were harvested at day 21 post-implantation. N=5 mice per group.</w:t>
      </w:r>
    </w:p>
    <w:p w:rsidR="001069D3" w:rsidRPr="001069D3" w:rsidRDefault="001069D3" w:rsidP="001069D3">
      <w:pPr>
        <w:spacing w:line="480" w:lineRule="auto"/>
        <w:rPr>
          <w:rFonts w:ascii="Arial" w:hAnsi="Arial" w:cs="Arial"/>
          <w:sz w:val="22"/>
          <w:szCs w:val="22"/>
        </w:rPr>
      </w:pPr>
    </w:p>
    <w:p w:rsidR="001069D3" w:rsidRPr="001069D3" w:rsidRDefault="001069D3" w:rsidP="001069D3">
      <w:pPr>
        <w:pStyle w:val="Acknowledgement"/>
        <w:spacing w:line="480" w:lineRule="auto"/>
        <w:ind w:left="0" w:firstLine="0"/>
        <w:rPr>
          <w:rFonts w:ascii="Arial" w:hAnsi="Arial" w:cs="Arial"/>
          <w:sz w:val="22"/>
          <w:szCs w:val="22"/>
        </w:rPr>
      </w:pPr>
      <w:r w:rsidRPr="001069D3">
        <w:rPr>
          <w:rFonts w:ascii="Arial" w:hAnsi="Arial" w:cs="Arial"/>
          <w:b/>
          <w:sz w:val="22"/>
          <w:szCs w:val="22"/>
        </w:rPr>
        <w:t>Figure S5. Combination B3-IL2 and A12-IFN</w:t>
      </w:r>
      <w:r w:rsidRPr="001069D3">
        <w:rPr>
          <w:rFonts w:ascii="Symbol" w:hAnsi="Symbol" w:cs="Arial"/>
          <w:b/>
          <w:sz w:val="22"/>
          <w:szCs w:val="22"/>
        </w:rPr>
        <w:t></w:t>
      </w:r>
      <w:r w:rsidRPr="001069D3">
        <w:rPr>
          <w:rFonts w:ascii="Arial" w:hAnsi="Arial" w:cs="Arial"/>
          <w:b/>
          <w:sz w:val="22"/>
          <w:szCs w:val="22"/>
        </w:rPr>
        <w:t xml:space="preserve"> has additive benefit over either agent alone. </w:t>
      </w:r>
      <w:r w:rsidRPr="001069D3">
        <w:rPr>
          <w:rFonts w:ascii="Arial" w:hAnsi="Arial" w:cs="Arial"/>
          <w:sz w:val="22"/>
          <w:szCs w:val="22"/>
        </w:rPr>
        <w:t>(</w:t>
      </w:r>
      <w:r w:rsidRPr="001069D3">
        <w:rPr>
          <w:rFonts w:ascii="Arial" w:hAnsi="Arial" w:cs="Arial"/>
          <w:b/>
          <w:sz w:val="22"/>
          <w:szCs w:val="22"/>
        </w:rPr>
        <w:t>A</w:t>
      </w:r>
      <w:r w:rsidRPr="001069D3">
        <w:rPr>
          <w:rFonts w:ascii="Arial" w:hAnsi="Arial" w:cs="Arial"/>
          <w:sz w:val="22"/>
          <w:szCs w:val="22"/>
        </w:rPr>
        <w:t xml:space="preserve">) </w:t>
      </w:r>
      <w:r w:rsidRPr="001069D3">
        <w:rPr>
          <w:rFonts w:ascii="Arial" w:hAnsi="Arial" w:cs="Arial"/>
          <w:bCs/>
          <w:sz w:val="22"/>
          <w:szCs w:val="22"/>
        </w:rPr>
        <w:t xml:space="preserve">C57BL/6 mice were inoculated with 100,000 Panc02 cells </w:t>
      </w:r>
      <w:proofErr w:type="spellStart"/>
      <w:r w:rsidRPr="001069D3">
        <w:rPr>
          <w:rFonts w:ascii="Arial" w:hAnsi="Arial" w:cs="Arial"/>
          <w:bCs/>
          <w:sz w:val="22"/>
          <w:szCs w:val="22"/>
        </w:rPr>
        <w:t>orthotopically</w:t>
      </w:r>
      <w:proofErr w:type="spellEnd"/>
      <w:r w:rsidRPr="001069D3">
        <w:rPr>
          <w:rFonts w:ascii="Arial" w:hAnsi="Arial" w:cs="Arial"/>
          <w:bCs/>
          <w:sz w:val="22"/>
          <w:szCs w:val="22"/>
        </w:rPr>
        <w:t xml:space="preserve"> and treated with VHHCTR, A12, B3 admixed with IFN</w:t>
      </w:r>
      <w:r w:rsidRPr="001069D3">
        <w:rPr>
          <w:rFonts w:ascii="Symbol" w:hAnsi="Symbol" w:cs="Arial"/>
          <w:bCs/>
          <w:sz w:val="22"/>
          <w:szCs w:val="22"/>
        </w:rPr>
        <w:t></w:t>
      </w:r>
      <w:r w:rsidRPr="001069D3">
        <w:rPr>
          <w:rFonts w:ascii="Arial" w:hAnsi="Arial" w:cs="Arial"/>
          <w:bCs/>
          <w:sz w:val="22"/>
          <w:szCs w:val="22"/>
        </w:rPr>
        <w:t>, B3-IL2, A12-IFN</w:t>
      </w:r>
      <w:r w:rsidRPr="001069D3">
        <w:rPr>
          <w:rFonts w:ascii="Symbol" w:hAnsi="Symbol" w:cs="Arial"/>
          <w:bCs/>
          <w:sz w:val="22"/>
          <w:szCs w:val="22"/>
        </w:rPr>
        <w:t></w:t>
      </w:r>
      <w:r w:rsidRPr="001069D3">
        <w:rPr>
          <w:rFonts w:ascii="Arial" w:hAnsi="Arial" w:cs="Arial"/>
          <w:bCs/>
          <w:sz w:val="22"/>
          <w:szCs w:val="22"/>
        </w:rPr>
        <w:t>, or combination B3-IL2 and A12-IFN</w:t>
      </w:r>
      <w:r w:rsidRPr="001069D3">
        <w:rPr>
          <w:rFonts w:ascii="Symbol" w:hAnsi="Symbol" w:cs="Arial"/>
          <w:bCs/>
          <w:sz w:val="22"/>
          <w:szCs w:val="22"/>
        </w:rPr>
        <w:t></w:t>
      </w:r>
      <w:r w:rsidRPr="001069D3">
        <w:rPr>
          <w:rFonts w:ascii="Arial" w:hAnsi="Arial" w:cs="Arial"/>
          <w:bCs/>
          <w:sz w:val="22"/>
          <w:szCs w:val="22"/>
        </w:rPr>
        <w:t xml:space="preserve">. Compounds were administered daily for 18 days at 5 </w:t>
      </w:r>
      <w:r w:rsidRPr="001069D3">
        <w:rPr>
          <w:rFonts w:ascii="Symbol" w:hAnsi="Symbol" w:cs="Arial"/>
          <w:bCs/>
          <w:sz w:val="22"/>
          <w:szCs w:val="22"/>
        </w:rPr>
        <w:t></w:t>
      </w:r>
      <w:r w:rsidRPr="001069D3">
        <w:rPr>
          <w:rFonts w:ascii="Arial" w:hAnsi="Arial" w:cs="Arial"/>
          <w:bCs/>
          <w:sz w:val="22"/>
          <w:szCs w:val="22"/>
        </w:rPr>
        <w:t>g per mouse IP. (</w:t>
      </w:r>
      <w:r w:rsidRPr="001069D3">
        <w:rPr>
          <w:rFonts w:ascii="Arial" w:hAnsi="Arial" w:cs="Arial"/>
          <w:b/>
          <w:bCs/>
          <w:sz w:val="22"/>
          <w:szCs w:val="22"/>
        </w:rPr>
        <w:t>B</w:t>
      </w:r>
      <w:r w:rsidRPr="001069D3">
        <w:rPr>
          <w:rFonts w:ascii="Arial" w:hAnsi="Arial" w:cs="Arial"/>
          <w:bCs/>
          <w:sz w:val="22"/>
          <w:szCs w:val="22"/>
        </w:rPr>
        <w:t xml:space="preserve">) Draining lymph node cells from mice treated in (A) were fixed, </w:t>
      </w:r>
      <w:proofErr w:type="spellStart"/>
      <w:r w:rsidRPr="001069D3">
        <w:rPr>
          <w:rFonts w:ascii="Arial" w:hAnsi="Arial" w:cs="Arial"/>
          <w:bCs/>
          <w:sz w:val="22"/>
          <w:szCs w:val="22"/>
        </w:rPr>
        <w:t>permeablized</w:t>
      </w:r>
      <w:proofErr w:type="spellEnd"/>
      <w:r w:rsidRPr="001069D3">
        <w:rPr>
          <w:rFonts w:ascii="Arial" w:hAnsi="Arial" w:cs="Arial"/>
          <w:bCs/>
          <w:sz w:val="22"/>
          <w:szCs w:val="22"/>
        </w:rPr>
        <w:t xml:space="preserve">, and stained with antibodies to CD4 and Foxp3. </w:t>
      </w:r>
      <w:proofErr w:type="spellStart"/>
      <w:r w:rsidRPr="001069D3">
        <w:rPr>
          <w:rFonts w:ascii="Arial" w:hAnsi="Arial" w:cs="Arial"/>
          <w:bCs/>
          <w:sz w:val="22"/>
          <w:szCs w:val="22"/>
        </w:rPr>
        <w:t>Tregs</w:t>
      </w:r>
      <w:proofErr w:type="spellEnd"/>
      <w:r w:rsidRPr="001069D3">
        <w:rPr>
          <w:rFonts w:ascii="Arial" w:hAnsi="Arial" w:cs="Arial"/>
          <w:bCs/>
          <w:sz w:val="22"/>
          <w:szCs w:val="22"/>
        </w:rPr>
        <w:t xml:space="preserve"> as a percent of CD4 cells were quantified by flow cytometry. </w:t>
      </w:r>
      <w:proofErr w:type="gramStart"/>
      <w:r w:rsidRPr="001069D3">
        <w:rPr>
          <w:rFonts w:ascii="Arial" w:hAnsi="Arial" w:cs="Arial"/>
          <w:bCs/>
          <w:sz w:val="22"/>
          <w:szCs w:val="22"/>
        </w:rPr>
        <w:t>* p&lt;0.05.</w:t>
      </w:r>
      <w:proofErr w:type="gramEnd"/>
      <w:r w:rsidRPr="001069D3">
        <w:rPr>
          <w:rFonts w:ascii="Arial" w:hAnsi="Arial" w:cs="Arial"/>
          <w:bCs/>
          <w:sz w:val="22"/>
          <w:szCs w:val="22"/>
        </w:rPr>
        <w:t xml:space="preserve"> Error bars are SEM.</w:t>
      </w:r>
    </w:p>
    <w:p w:rsidR="001069D3" w:rsidRPr="001069D3" w:rsidRDefault="001069D3" w:rsidP="001069D3">
      <w:pPr>
        <w:spacing w:line="480" w:lineRule="auto"/>
        <w:rPr>
          <w:rFonts w:ascii="Arial" w:hAnsi="Arial" w:cs="Arial"/>
          <w:sz w:val="22"/>
          <w:szCs w:val="22"/>
        </w:rPr>
      </w:pPr>
    </w:p>
    <w:p w:rsidR="001069D3" w:rsidRPr="001069D3" w:rsidRDefault="001069D3" w:rsidP="001069D3">
      <w:pPr>
        <w:spacing w:line="480" w:lineRule="auto"/>
        <w:rPr>
          <w:rFonts w:ascii="Arial" w:hAnsi="Arial" w:cs="Arial"/>
          <w:b/>
          <w:sz w:val="22"/>
          <w:szCs w:val="22"/>
        </w:rPr>
      </w:pPr>
    </w:p>
    <w:p w:rsidR="001069D3" w:rsidRPr="001069D3" w:rsidRDefault="001069D3" w:rsidP="001069D3">
      <w:pPr>
        <w:pStyle w:val="Acknowledgement"/>
        <w:spacing w:line="480" w:lineRule="auto"/>
        <w:ind w:left="0" w:firstLine="0"/>
        <w:rPr>
          <w:rFonts w:ascii="Arial" w:hAnsi="Arial" w:cs="Arial"/>
          <w:bCs/>
          <w:sz w:val="22"/>
          <w:szCs w:val="22"/>
        </w:rPr>
      </w:pPr>
      <w:r w:rsidRPr="001069D3">
        <w:rPr>
          <w:rFonts w:ascii="Arial" w:hAnsi="Arial" w:cs="Arial"/>
          <w:b/>
          <w:sz w:val="22"/>
          <w:szCs w:val="22"/>
        </w:rPr>
        <w:t>Figure S6. A12-IFN</w:t>
      </w:r>
      <w:r w:rsidRPr="001069D3">
        <w:rPr>
          <w:rFonts w:ascii="Symbol" w:hAnsi="Symbol" w:cs="Arial"/>
          <w:b/>
          <w:sz w:val="22"/>
          <w:szCs w:val="22"/>
        </w:rPr>
        <w:t></w:t>
      </w:r>
      <w:r w:rsidRPr="001069D3">
        <w:rPr>
          <w:rFonts w:ascii="Arial" w:hAnsi="Arial" w:cs="Arial"/>
          <w:b/>
          <w:sz w:val="22"/>
          <w:szCs w:val="22"/>
        </w:rPr>
        <w:t xml:space="preserve"> alters the tumor microenvironment in KPC organoid model of pancreatic cancer. </w:t>
      </w:r>
      <w:r w:rsidRPr="001069D3">
        <w:rPr>
          <w:rFonts w:ascii="Arial" w:hAnsi="Arial" w:cs="Arial"/>
          <w:bCs/>
          <w:sz w:val="22"/>
          <w:szCs w:val="22"/>
        </w:rPr>
        <w:t>(</w:t>
      </w:r>
      <w:r w:rsidRPr="001069D3">
        <w:rPr>
          <w:rFonts w:ascii="Arial" w:hAnsi="Arial" w:cs="Arial"/>
          <w:b/>
          <w:bCs/>
          <w:sz w:val="22"/>
          <w:szCs w:val="22"/>
        </w:rPr>
        <w:t>A</w:t>
      </w:r>
      <w:r w:rsidRPr="001069D3">
        <w:rPr>
          <w:rFonts w:ascii="Arial" w:hAnsi="Arial" w:cs="Arial"/>
          <w:bCs/>
          <w:sz w:val="22"/>
          <w:szCs w:val="22"/>
        </w:rPr>
        <w:t xml:space="preserve">) Organoids derived from KPC mice (line M19, gift of D. </w:t>
      </w:r>
      <w:proofErr w:type="spellStart"/>
      <w:r w:rsidRPr="001069D3">
        <w:rPr>
          <w:rFonts w:ascii="Arial" w:hAnsi="Arial" w:cs="Arial"/>
          <w:bCs/>
          <w:sz w:val="22"/>
          <w:szCs w:val="22"/>
        </w:rPr>
        <w:t>Tuveson</w:t>
      </w:r>
      <w:proofErr w:type="spellEnd"/>
      <w:r w:rsidRPr="001069D3">
        <w:rPr>
          <w:rFonts w:ascii="Arial" w:hAnsi="Arial" w:cs="Arial"/>
          <w:bCs/>
          <w:sz w:val="22"/>
          <w:szCs w:val="22"/>
        </w:rPr>
        <w:t xml:space="preserve">) were inoculated </w:t>
      </w:r>
      <w:proofErr w:type="spellStart"/>
      <w:r w:rsidRPr="001069D3">
        <w:rPr>
          <w:rFonts w:ascii="Arial" w:hAnsi="Arial" w:cs="Arial"/>
          <w:bCs/>
          <w:sz w:val="22"/>
          <w:szCs w:val="22"/>
        </w:rPr>
        <w:t>orthotopically</w:t>
      </w:r>
      <w:proofErr w:type="spellEnd"/>
      <w:r w:rsidRPr="001069D3">
        <w:rPr>
          <w:rFonts w:ascii="Arial" w:hAnsi="Arial" w:cs="Arial"/>
          <w:bCs/>
          <w:sz w:val="22"/>
          <w:szCs w:val="22"/>
        </w:rPr>
        <w:t xml:space="preserve"> into C57BL/6 mice and treated with the indicated VHH constructs </w:t>
      </w:r>
      <w:proofErr w:type="gramStart"/>
      <w:r w:rsidRPr="001069D3">
        <w:rPr>
          <w:rFonts w:ascii="Arial" w:hAnsi="Arial" w:cs="Arial"/>
          <w:bCs/>
          <w:sz w:val="22"/>
          <w:szCs w:val="22"/>
        </w:rPr>
        <w:t xml:space="preserve">5 </w:t>
      </w:r>
      <w:r w:rsidRPr="001069D3">
        <w:rPr>
          <w:rFonts w:ascii="Symbol" w:hAnsi="Symbol" w:cs="Arial"/>
          <w:bCs/>
          <w:sz w:val="22"/>
          <w:szCs w:val="22"/>
        </w:rPr>
        <w:t></w:t>
      </w:r>
      <w:r w:rsidRPr="001069D3">
        <w:rPr>
          <w:rFonts w:ascii="Arial" w:hAnsi="Arial" w:cs="Arial"/>
          <w:bCs/>
          <w:sz w:val="22"/>
          <w:szCs w:val="22"/>
        </w:rPr>
        <w:t>g/mouse IP</w:t>
      </w:r>
      <w:proofErr w:type="gramEnd"/>
      <w:r w:rsidRPr="001069D3">
        <w:rPr>
          <w:rFonts w:ascii="Arial" w:hAnsi="Arial" w:cs="Arial"/>
          <w:bCs/>
          <w:sz w:val="22"/>
          <w:szCs w:val="22"/>
        </w:rPr>
        <w:t xml:space="preserve"> daily. Five weeks post-implantation, tumors were harvested and analyzed by flow cytometry for the indicated populations. N=4 mice per group. </w:t>
      </w:r>
      <w:proofErr w:type="gramStart"/>
      <w:r w:rsidRPr="001069D3">
        <w:rPr>
          <w:rFonts w:ascii="Arial" w:hAnsi="Arial" w:cs="Arial"/>
          <w:bCs/>
          <w:sz w:val="22"/>
          <w:szCs w:val="22"/>
        </w:rPr>
        <w:t>Results representative of two independent experiments.</w:t>
      </w:r>
      <w:proofErr w:type="gramEnd"/>
      <w:r w:rsidRPr="001069D3">
        <w:rPr>
          <w:rFonts w:ascii="Arial" w:hAnsi="Arial" w:cs="Arial"/>
          <w:bCs/>
          <w:sz w:val="22"/>
          <w:szCs w:val="22"/>
        </w:rPr>
        <w:t xml:space="preserve"> (</w:t>
      </w:r>
      <w:r w:rsidRPr="001069D3">
        <w:rPr>
          <w:rFonts w:ascii="Arial" w:hAnsi="Arial" w:cs="Arial"/>
          <w:b/>
          <w:bCs/>
          <w:sz w:val="22"/>
          <w:szCs w:val="22"/>
        </w:rPr>
        <w:t>B</w:t>
      </w:r>
      <w:r w:rsidRPr="001069D3">
        <w:rPr>
          <w:rFonts w:ascii="Arial" w:hAnsi="Arial" w:cs="Arial"/>
          <w:bCs/>
          <w:sz w:val="22"/>
          <w:szCs w:val="22"/>
        </w:rPr>
        <w:t>) Organoid tumor cell suspensions from (A) were gated on CD45</w:t>
      </w:r>
      <w:r w:rsidRPr="001069D3">
        <w:rPr>
          <w:rFonts w:ascii="Arial" w:hAnsi="Arial" w:cs="Arial"/>
          <w:bCs/>
          <w:sz w:val="22"/>
          <w:szCs w:val="22"/>
          <w:vertAlign w:val="superscript"/>
        </w:rPr>
        <w:t>-</w:t>
      </w:r>
      <w:r w:rsidRPr="001069D3">
        <w:rPr>
          <w:rFonts w:ascii="Arial" w:hAnsi="Arial" w:cs="Arial"/>
          <w:bCs/>
          <w:sz w:val="22"/>
          <w:szCs w:val="22"/>
        </w:rPr>
        <w:t xml:space="preserve"> </w:t>
      </w:r>
      <w:proofErr w:type="spellStart"/>
      <w:r w:rsidRPr="001069D3">
        <w:rPr>
          <w:rFonts w:ascii="Arial" w:hAnsi="Arial" w:cs="Arial"/>
          <w:bCs/>
          <w:sz w:val="22"/>
          <w:szCs w:val="22"/>
        </w:rPr>
        <w:t>FSC</w:t>
      </w:r>
      <w:r w:rsidRPr="001069D3">
        <w:rPr>
          <w:rFonts w:ascii="Arial" w:hAnsi="Arial" w:cs="Arial"/>
          <w:bCs/>
          <w:sz w:val="22"/>
          <w:szCs w:val="22"/>
          <w:vertAlign w:val="superscript"/>
        </w:rPr>
        <w:t>high</w:t>
      </w:r>
      <w:proofErr w:type="spellEnd"/>
      <w:r w:rsidRPr="001069D3">
        <w:rPr>
          <w:rFonts w:ascii="Arial" w:hAnsi="Arial" w:cs="Arial"/>
          <w:bCs/>
          <w:sz w:val="22"/>
          <w:szCs w:val="22"/>
        </w:rPr>
        <w:t xml:space="preserve"> tumor cells. Mean fluorescence intensity of MHC class II is shown. </w:t>
      </w:r>
      <w:proofErr w:type="gramStart"/>
      <w:r w:rsidRPr="001069D3">
        <w:rPr>
          <w:rFonts w:ascii="Arial" w:hAnsi="Arial" w:cs="Arial"/>
          <w:bCs/>
          <w:sz w:val="22"/>
          <w:szCs w:val="22"/>
        </w:rPr>
        <w:t>Results representative of 3 independent experiments.</w:t>
      </w:r>
      <w:proofErr w:type="gramEnd"/>
    </w:p>
    <w:p w:rsidR="004C79BA" w:rsidRPr="001069D3" w:rsidRDefault="004C79BA"/>
    <w:sectPr w:rsidR="004C79BA" w:rsidRPr="001069D3" w:rsidSect="004A10BE">
      <w:footerReference w:type="default" r:id="rId5"/>
      <w:headerReference w:type="first" r:id="rId6"/>
      <w:pgSz w:w="12240" w:h="15840"/>
      <w:pgMar w:top="1440" w:right="1440" w:bottom="1440" w:left="1440" w:header="432"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5914"/>
      <w:docPartObj>
        <w:docPartGallery w:val="Page Numbers (Bottom of Page)"/>
        <w:docPartUnique/>
      </w:docPartObj>
    </w:sdtPr>
    <w:sdtEndPr>
      <w:rPr>
        <w:noProof/>
      </w:rPr>
    </w:sdtEndPr>
    <w:sdtContent>
      <w:p w:rsidR="00CF766F" w:rsidRDefault="001069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F766F" w:rsidRDefault="001069D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66F" w:rsidRDefault="001069D3" w:rsidP="004A10BE">
    <w:pPr>
      <w:pStyle w:val="Header"/>
    </w:pPr>
    <w:r>
      <w:tab/>
    </w:r>
  </w:p>
  <w:p w:rsidR="00CF766F" w:rsidRDefault="001069D3" w:rsidP="004A10BE">
    <w:pPr>
      <w:pStyle w:val="Header"/>
    </w:pPr>
  </w:p>
  <w:p w:rsidR="00CF766F" w:rsidRPr="00204015" w:rsidRDefault="001069D3" w:rsidP="004A10BE">
    <w:pPr>
      <w:pStyle w:val="Header"/>
    </w:pPr>
    <w:r>
      <w:tab/>
    </w:r>
  </w:p>
  <w:p w:rsidR="00CF766F" w:rsidRDefault="001069D3" w:rsidP="004A10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D3"/>
    <w:rsid w:val="001069D3"/>
    <w:rsid w:val="004C79BA"/>
    <w:rsid w:val="006D2855"/>
    <w:rsid w:val="009A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D3"/>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D2855"/>
    <w:pPr>
      <w:spacing w:after="0" w:line="240" w:lineRule="auto"/>
    </w:pPr>
    <w:rPr>
      <w:rFonts w:ascii="Arial" w:hAnsi="Arial"/>
    </w:rPr>
  </w:style>
  <w:style w:type="paragraph" w:customStyle="1" w:styleId="Acknowledgement">
    <w:name w:val="Acknowledgement"/>
    <w:basedOn w:val="Normal"/>
    <w:rsid w:val="001069D3"/>
    <w:pPr>
      <w:spacing w:before="120"/>
      <w:ind w:left="720" w:hanging="720"/>
    </w:pPr>
    <w:rPr>
      <w:rFonts w:eastAsia="Times New Roman"/>
      <w:sz w:val="24"/>
      <w:szCs w:val="24"/>
    </w:rPr>
  </w:style>
  <w:style w:type="paragraph" w:customStyle="1" w:styleId="Paragraph">
    <w:name w:val="Paragraph"/>
    <w:basedOn w:val="Normal"/>
    <w:rsid w:val="001069D3"/>
    <w:pPr>
      <w:spacing w:before="120"/>
      <w:ind w:firstLine="720"/>
    </w:pPr>
    <w:rPr>
      <w:rFonts w:eastAsia="Times New Roman"/>
      <w:sz w:val="24"/>
      <w:szCs w:val="24"/>
    </w:rPr>
  </w:style>
  <w:style w:type="character" w:styleId="CommentReference">
    <w:name w:val="annotation reference"/>
    <w:rsid w:val="001069D3"/>
    <w:rPr>
      <w:sz w:val="18"/>
      <w:szCs w:val="18"/>
    </w:rPr>
  </w:style>
  <w:style w:type="paragraph" w:styleId="CommentText">
    <w:name w:val="annotation text"/>
    <w:basedOn w:val="Normal"/>
    <w:link w:val="CommentTextChar"/>
    <w:semiHidden/>
    <w:rsid w:val="001069D3"/>
    <w:rPr>
      <w:rFonts w:eastAsia="Times New Roman"/>
    </w:rPr>
  </w:style>
  <w:style w:type="character" w:customStyle="1" w:styleId="CommentTextChar">
    <w:name w:val="Comment Text Char"/>
    <w:basedOn w:val="DefaultParagraphFont"/>
    <w:link w:val="CommentText"/>
    <w:semiHidden/>
    <w:rsid w:val="001069D3"/>
    <w:rPr>
      <w:rFonts w:ascii="Times New Roman" w:eastAsia="Times New Roman" w:hAnsi="Times New Roman" w:cs="Times New Roman"/>
      <w:sz w:val="20"/>
      <w:szCs w:val="20"/>
    </w:rPr>
  </w:style>
  <w:style w:type="paragraph" w:styleId="Footer">
    <w:name w:val="footer"/>
    <w:basedOn w:val="Normal"/>
    <w:link w:val="FooterChar"/>
    <w:uiPriority w:val="99"/>
    <w:rsid w:val="001069D3"/>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1069D3"/>
    <w:rPr>
      <w:rFonts w:ascii="Times New Roman" w:eastAsia="Times New Roman" w:hAnsi="Times New Roman" w:cs="Times New Roman"/>
      <w:sz w:val="20"/>
      <w:szCs w:val="20"/>
    </w:rPr>
  </w:style>
  <w:style w:type="paragraph" w:styleId="Header">
    <w:name w:val="header"/>
    <w:basedOn w:val="Normal"/>
    <w:link w:val="HeaderChar"/>
    <w:rsid w:val="001069D3"/>
    <w:pPr>
      <w:tabs>
        <w:tab w:val="center" w:pos="4320"/>
        <w:tab w:val="right" w:pos="8640"/>
      </w:tabs>
    </w:pPr>
    <w:rPr>
      <w:rFonts w:eastAsia="Times New Roman"/>
    </w:rPr>
  </w:style>
  <w:style w:type="character" w:customStyle="1" w:styleId="HeaderChar">
    <w:name w:val="Header Char"/>
    <w:basedOn w:val="DefaultParagraphFont"/>
    <w:link w:val="Header"/>
    <w:rsid w:val="001069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69D3"/>
    <w:rPr>
      <w:rFonts w:ascii="Tahoma" w:hAnsi="Tahoma" w:cs="Tahoma"/>
      <w:sz w:val="16"/>
      <w:szCs w:val="16"/>
    </w:rPr>
  </w:style>
  <w:style w:type="character" w:customStyle="1" w:styleId="BalloonTextChar">
    <w:name w:val="Balloon Text Char"/>
    <w:basedOn w:val="DefaultParagraphFont"/>
    <w:link w:val="BalloonText"/>
    <w:uiPriority w:val="99"/>
    <w:semiHidden/>
    <w:rsid w:val="001069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D3"/>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D2855"/>
    <w:pPr>
      <w:spacing w:after="0" w:line="240" w:lineRule="auto"/>
    </w:pPr>
    <w:rPr>
      <w:rFonts w:ascii="Arial" w:hAnsi="Arial"/>
    </w:rPr>
  </w:style>
  <w:style w:type="paragraph" w:customStyle="1" w:styleId="Acknowledgement">
    <w:name w:val="Acknowledgement"/>
    <w:basedOn w:val="Normal"/>
    <w:rsid w:val="001069D3"/>
    <w:pPr>
      <w:spacing w:before="120"/>
      <w:ind w:left="720" w:hanging="720"/>
    </w:pPr>
    <w:rPr>
      <w:rFonts w:eastAsia="Times New Roman"/>
      <w:sz w:val="24"/>
      <w:szCs w:val="24"/>
    </w:rPr>
  </w:style>
  <w:style w:type="paragraph" w:customStyle="1" w:styleId="Paragraph">
    <w:name w:val="Paragraph"/>
    <w:basedOn w:val="Normal"/>
    <w:rsid w:val="001069D3"/>
    <w:pPr>
      <w:spacing w:before="120"/>
      <w:ind w:firstLine="720"/>
    </w:pPr>
    <w:rPr>
      <w:rFonts w:eastAsia="Times New Roman"/>
      <w:sz w:val="24"/>
      <w:szCs w:val="24"/>
    </w:rPr>
  </w:style>
  <w:style w:type="character" w:styleId="CommentReference">
    <w:name w:val="annotation reference"/>
    <w:rsid w:val="001069D3"/>
    <w:rPr>
      <w:sz w:val="18"/>
      <w:szCs w:val="18"/>
    </w:rPr>
  </w:style>
  <w:style w:type="paragraph" w:styleId="CommentText">
    <w:name w:val="annotation text"/>
    <w:basedOn w:val="Normal"/>
    <w:link w:val="CommentTextChar"/>
    <w:semiHidden/>
    <w:rsid w:val="001069D3"/>
    <w:rPr>
      <w:rFonts w:eastAsia="Times New Roman"/>
    </w:rPr>
  </w:style>
  <w:style w:type="character" w:customStyle="1" w:styleId="CommentTextChar">
    <w:name w:val="Comment Text Char"/>
    <w:basedOn w:val="DefaultParagraphFont"/>
    <w:link w:val="CommentText"/>
    <w:semiHidden/>
    <w:rsid w:val="001069D3"/>
    <w:rPr>
      <w:rFonts w:ascii="Times New Roman" w:eastAsia="Times New Roman" w:hAnsi="Times New Roman" w:cs="Times New Roman"/>
      <w:sz w:val="20"/>
      <w:szCs w:val="20"/>
    </w:rPr>
  </w:style>
  <w:style w:type="paragraph" w:styleId="Footer">
    <w:name w:val="footer"/>
    <w:basedOn w:val="Normal"/>
    <w:link w:val="FooterChar"/>
    <w:uiPriority w:val="99"/>
    <w:rsid w:val="001069D3"/>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1069D3"/>
    <w:rPr>
      <w:rFonts w:ascii="Times New Roman" w:eastAsia="Times New Roman" w:hAnsi="Times New Roman" w:cs="Times New Roman"/>
      <w:sz w:val="20"/>
      <w:szCs w:val="20"/>
    </w:rPr>
  </w:style>
  <w:style w:type="paragraph" w:styleId="Header">
    <w:name w:val="header"/>
    <w:basedOn w:val="Normal"/>
    <w:link w:val="HeaderChar"/>
    <w:rsid w:val="001069D3"/>
    <w:pPr>
      <w:tabs>
        <w:tab w:val="center" w:pos="4320"/>
        <w:tab w:val="right" w:pos="8640"/>
      </w:tabs>
    </w:pPr>
    <w:rPr>
      <w:rFonts w:eastAsia="Times New Roman"/>
    </w:rPr>
  </w:style>
  <w:style w:type="character" w:customStyle="1" w:styleId="HeaderChar">
    <w:name w:val="Header Char"/>
    <w:basedOn w:val="DefaultParagraphFont"/>
    <w:link w:val="Header"/>
    <w:rsid w:val="001069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69D3"/>
    <w:rPr>
      <w:rFonts w:ascii="Tahoma" w:hAnsi="Tahoma" w:cs="Tahoma"/>
      <w:sz w:val="16"/>
      <w:szCs w:val="16"/>
    </w:rPr>
  </w:style>
  <w:style w:type="character" w:customStyle="1" w:styleId="BalloonTextChar">
    <w:name w:val="Balloon Text Char"/>
    <w:basedOn w:val="DefaultParagraphFont"/>
    <w:link w:val="BalloonText"/>
    <w:uiPriority w:val="99"/>
    <w:semiHidden/>
    <w:rsid w:val="001069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2018-01-25T15:25:00Z</dcterms:created>
  <dcterms:modified xsi:type="dcterms:W3CDTF">2018-01-25T15:26:00Z</dcterms:modified>
</cp:coreProperties>
</file>