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426D" w14:textId="77777777" w:rsidR="006D5D7E" w:rsidRDefault="006D5D7E" w:rsidP="006D5D7E">
      <w:pPr>
        <w:rPr>
          <w:rFonts w:eastAsiaTheme="minorEastAsia"/>
        </w:rPr>
      </w:pPr>
    </w:p>
    <w:p w14:paraId="2B8D1EF3" w14:textId="77777777" w:rsidR="00055217" w:rsidRDefault="00055217">
      <w:pPr>
        <w:rPr>
          <w:rFonts w:eastAsiaTheme="minorEastAsia"/>
        </w:rPr>
      </w:pPr>
    </w:p>
    <w:p w14:paraId="5FE91177" w14:textId="77777777" w:rsidR="004B4C7C" w:rsidRDefault="00055217" w:rsidP="004B4C7C">
      <w:pPr>
        <w:rPr>
          <w:rFonts w:eastAsiaTheme="minorEastAsia"/>
        </w:rPr>
      </w:pPr>
      <w:r>
        <w:rPr>
          <w:rFonts w:eastAsiaTheme="minorEastAsia"/>
          <w:noProof/>
        </w:rPr>
        <w:drawing>
          <wp:inline distT="0" distB="0" distL="0" distR="0" wp14:anchorId="710B417F" wp14:editId="57DCA437">
            <wp:extent cx="6400800" cy="345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pu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3456940"/>
                    </a:xfrm>
                    <a:prstGeom prst="rect">
                      <a:avLst/>
                    </a:prstGeom>
                  </pic:spPr>
                </pic:pic>
              </a:graphicData>
            </a:graphic>
          </wp:inline>
        </w:drawing>
      </w:r>
    </w:p>
    <w:p w14:paraId="0B4FDD1F" w14:textId="77777777" w:rsidR="004B4C7C" w:rsidRPr="004B4C7C" w:rsidRDefault="004B4C7C" w:rsidP="004B4C7C">
      <w:pPr>
        <w:rPr>
          <w:rFonts w:eastAsiaTheme="minorEastAsia"/>
        </w:rPr>
      </w:pPr>
    </w:p>
    <w:p w14:paraId="11E2AE67" w14:textId="77777777" w:rsidR="00B7447E" w:rsidRDefault="0026348D">
      <w:r>
        <w:rPr>
          <w:b/>
        </w:rPr>
        <w:t>Supplementary Figure 1</w:t>
      </w:r>
      <w:r w:rsidR="00055217">
        <w:rPr>
          <w:b/>
        </w:rPr>
        <w:t xml:space="preserve">. </w:t>
      </w:r>
      <w:proofErr w:type="gramStart"/>
      <w:r w:rsidR="00055217">
        <w:t>In order to</w:t>
      </w:r>
      <w:proofErr w:type="gramEnd"/>
      <w:r w:rsidR="00055217">
        <w:t xml:space="preserve"> set thresholds for motif detection, two variables were optimized on a Naïve Adult B6 CD8 Repertoire (taken from Adaptive Biotechnologies </w:t>
      </w:r>
      <w:proofErr w:type="spellStart"/>
      <w:r w:rsidR="00055217">
        <w:t>ImmunoSeq</w:t>
      </w:r>
      <w:proofErr w:type="spellEnd"/>
      <w:r w:rsidR="00055217">
        <w:t xml:space="preserve"> Sample Data). Motif detection was completed across a range of phylogenetic distances and frequency thresholds and number of motifs detected was monitored. Since our analysis was looking for dominant motifs above what is present in an unexpanded population, we chose a frequency threshold of 0.03 and Phylogenetic Distance threshold of 0.35, at which 0 motifs were detected in Naïve B6 background. </w:t>
      </w:r>
    </w:p>
    <w:p w14:paraId="40496B7A" w14:textId="77777777" w:rsidR="00B7447E" w:rsidRDefault="00B7447E">
      <w:r>
        <w:br w:type="page"/>
      </w:r>
    </w:p>
    <w:p w14:paraId="5BACFACA" w14:textId="77777777" w:rsidR="000649CF" w:rsidRDefault="000649CF"/>
    <w:p w14:paraId="161DFE90" w14:textId="77777777" w:rsidR="00811394" w:rsidRDefault="00811394" w:rsidP="00811394">
      <w:pPr>
        <w:jc w:val="center"/>
      </w:pPr>
    </w:p>
    <w:p w14:paraId="17BB925D" w14:textId="420D74E1" w:rsidR="006D5D7E" w:rsidRPr="006D5D7E" w:rsidRDefault="006D5D7E" w:rsidP="003A3396">
      <w:r>
        <w:t xml:space="preserve"> </w:t>
      </w:r>
    </w:p>
    <w:p w14:paraId="11EAA82B" w14:textId="3FE551A9" w:rsidR="006D5D7E" w:rsidRDefault="006D5D7E"/>
    <w:p w14:paraId="72423DCE" w14:textId="3B1FFDED" w:rsidR="0013143A" w:rsidRDefault="00B7447E">
      <w:r>
        <w:rPr>
          <w:noProof/>
        </w:rPr>
        <w:drawing>
          <wp:inline distT="0" distB="0" distL="0" distR="0" wp14:anchorId="5AA474D8" wp14:editId="1CD63001">
            <wp:extent cx="6858000" cy="25457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lFigureStainingIC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2545715"/>
                    </a:xfrm>
                    <a:prstGeom prst="rect">
                      <a:avLst/>
                    </a:prstGeom>
                  </pic:spPr>
                </pic:pic>
              </a:graphicData>
            </a:graphic>
          </wp:inline>
        </w:drawing>
      </w:r>
    </w:p>
    <w:p w14:paraId="45C5327B" w14:textId="139A3B67" w:rsidR="006E567D" w:rsidRDefault="006E567D" w:rsidP="006E567D">
      <w:pPr>
        <w:jc w:val="center"/>
      </w:pPr>
      <w:r>
        <w:rPr>
          <w:noProof/>
        </w:rPr>
        <mc:AlternateContent>
          <mc:Choice Requires="wps">
            <w:drawing>
              <wp:anchor distT="45720" distB="45720" distL="114300" distR="114300" simplePos="0" relativeHeight="251669504" behindDoc="1" locked="0" layoutInCell="1" allowOverlap="1" wp14:anchorId="1A2FD19F" wp14:editId="73FE31A8">
                <wp:simplePos x="0" y="0"/>
                <wp:positionH relativeFrom="column">
                  <wp:posOffset>1959698</wp:posOffset>
                </wp:positionH>
                <wp:positionV relativeFrom="paragraph">
                  <wp:posOffset>9612</wp:posOffset>
                </wp:positionV>
                <wp:extent cx="199390" cy="1404620"/>
                <wp:effectExtent l="0" t="0" r="0" b="0"/>
                <wp:wrapTight wrapText="bothSides">
                  <wp:wrapPolygon edited="0">
                    <wp:start x="6191" y="0"/>
                    <wp:lineTo x="6191" y="20250"/>
                    <wp:lineTo x="14446" y="20250"/>
                    <wp:lineTo x="14446" y="0"/>
                    <wp:lineTo x="6191"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404620"/>
                        </a:xfrm>
                        <a:prstGeom prst="rect">
                          <a:avLst/>
                        </a:prstGeom>
                        <a:noFill/>
                        <a:ln w="9525">
                          <a:noFill/>
                          <a:miter lim="800000"/>
                          <a:headEnd/>
                          <a:tailEnd/>
                        </a:ln>
                      </wps:spPr>
                      <wps:txbx>
                        <w:txbxContent>
                          <w:p w14:paraId="22860B3B" w14:textId="3BBB2EEB" w:rsidR="006E567D" w:rsidRDefault="006E567D">
                            <w: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w:pict>
              <v:shapetype w14:anchorId="1A2FD19F" id="_x0000_t202" coordsize="21600,21600" o:spt="202" path="m,l,21600r21600,l21600,xe">
                <v:stroke joinstyle="miter"/>
                <v:path gradientshapeok="t" o:connecttype="rect"/>
              </v:shapetype>
              <v:shape id="Text Box 2" o:spid="_x0000_s1026" type="#_x0000_t202" style="position:absolute;left:0;text-align:left;margin-left:154.3pt;margin-top:.75pt;width:15.7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" filled="f" stroked="f">
                <v:textbox style="mso-fit-shape-to-text:t">
                  <w:txbxContent>
                    <w:p w14:paraId="22860B3B" w14:textId="3BBB2EEB" w:rsidR="006E567D" w:rsidRDefault="006E567D">
                      <w:r>
                        <w:t>D</w:t>
                      </w:r>
                    </w:p>
                  </w:txbxContent>
                </v:textbox>
                <w10:wrap type="tight"/>
              </v:shape>
            </w:pict>
          </mc:Fallback>
        </mc:AlternateContent>
      </w:r>
      <w:r>
        <w:rPr>
          <w:noProof/>
        </w:rPr>
        <mc:AlternateContent>
          <mc:Choice Requires="wps">
            <w:drawing>
              <wp:anchor distT="45720" distB="45720" distL="114300" distR="114300" simplePos="0" relativeHeight="251667456" behindDoc="1" locked="0" layoutInCell="1" allowOverlap="1" wp14:anchorId="69AFF3EA" wp14:editId="60C83BE9">
                <wp:simplePos x="0" y="0"/>
                <wp:positionH relativeFrom="column">
                  <wp:posOffset>1991163</wp:posOffset>
                </wp:positionH>
                <wp:positionV relativeFrom="paragraph">
                  <wp:posOffset>9678</wp:posOffset>
                </wp:positionV>
                <wp:extent cx="2360930" cy="2189480"/>
                <wp:effectExtent l="0" t="0" r="19050" b="20320"/>
                <wp:wrapTight wrapText="bothSides">
                  <wp:wrapPolygon edited="0">
                    <wp:start x="0" y="0"/>
                    <wp:lineTo x="0" y="21613"/>
                    <wp:lineTo x="21600" y="2161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89480"/>
                        </a:xfrm>
                        <a:prstGeom prst="rect">
                          <a:avLst/>
                        </a:prstGeom>
                        <a:solidFill>
                          <a:srgbClr val="FFFFFF"/>
                        </a:solidFill>
                        <a:ln w="9525">
                          <a:solidFill>
                            <a:srgbClr val="000000"/>
                          </a:solidFill>
                          <a:miter lim="800000"/>
                          <a:headEnd/>
                          <a:tailEnd/>
                        </a:ln>
                      </wps:spPr>
                      <wps:txbx>
                        <w:txbxContent>
                          <w:p w14:paraId="787AB603" w14:textId="0963F392" w:rsidR="006E567D" w:rsidRDefault="006E567D">
                            <w:r w:rsidRPr="006E567D">
                              <w:rPr>
                                <w:noProof/>
                              </w:rPr>
                              <w:drawing>
                                <wp:inline distT="0" distB="0" distL="0" distR="0" wp14:anchorId="6D845E61" wp14:editId="0A25A195">
                                  <wp:extent cx="2352894" cy="2137917"/>
                                  <wp:effectExtent l="0" t="0" r="0" b="0"/>
                                  <wp:docPr id="11"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8"/>
                                          <a:stretch>
                                            <a:fillRect/>
                                          </a:stretch>
                                        </pic:blipFill>
                                        <pic:spPr>
                                          <a:xfrm>
                                            <a:off x="0" y="0"/>
                                            <a:ext cx="2360028" cy="2144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w:pict>
              <v:shape w14:anchorId="69AFF3EA" id="_x0000_s1027" type="#_x0000_t202" style="position:absolute;left:0;text-align:left;margin-left:156.8pt;margin-top:.75pt;width:185.9pt;height:172.4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8+KA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">
                <v:textbox>
                  <w:txbxContent>
                    <w:p w14:paraId="787AB603" w14:textId="0963F392" w:rsidR="006E567D" w:rsidRDefault="006E567D">
                      <w:r w:rsidRPr="006E567D">
                        <w:drawing>
                          <wp:inline distT="0" distB="0" distL="0" distR="0" wp14:anchorId="6D845E61" wp14:editId="0A25A195">
                            <wp:extent cx="2352894" cy="2137917"/>
                            <wp:effectExtent l="0" t="0" r="0" b="0"/>
                            <wp:docPr id="11"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a:stretch>
                                      <a:fillRect/>
                                    </a:stretch>
                                  </pic:blipFill>
                                  <pic:spPr>
                                    <a:xfrm>
                                      <a:off x="0" y="0"/>
                                      <a:ext cx="2360028" cy="2144400"/>
                                    </a:xfrm>
                                    <a:prstGeom prst="rect">
                                      <a:avLst/>
                                    </a:prstGeom>
                                  </pic:spPr>
                                </pic:pic>
                              </a:graphicData>
                            </a:graphic>
                          </wp:inline>
                        </w:drawing>
                      </w:r>
                    </w:p>
                  </w:txbxContent>
                </v:textbox>
                <w10:wrap type="tight"/>
              </v:shape>
            </w:pict>
          </mc:Fallback>
        </mc:AlternateContent>
      </w:r>
    </w:p>
    <w:p w14:paraId="4414E590" w14:textId="566A8B06" w:rsidR="006E567D" w:rsidRDefault="006E567D" w:rsidP="006E567D">
      <w:pPr>
        <w:jc w:val="center"/>
      </w:pPr>
    </w:p>
    <w:p w14:paraId="4D1CC6F7" w14:textId="55714A22" w:rsidR="006E567D" w:rsidRDefault="006E567D" w:rsidP="006E567D">
      <w:pPr>
        <w:jc w:val="center"/>
      </w:pPr>
    </w:p>
    <w:p w14:paraId="65078667" w14:textId="2863B16C" w:rsidR="006E567D" w:rsidRDefault="006E567D" w:rsidP="006E567D">
      <w:pPr>
        <w:jc w:val="center"/>
      </w:pPr>
    </w:p>
    <w:p w14:paraId="030C2503" w14:textId="0BE7AF36" w:rsidR="006E567D" w:rsidRDefault="006E567D" w:rsidP="006E567D">
      <w:pPr>
        <w:jc w:val="center"/>
      </w:pPr>
    </w:p>
    <w:p w14:paraId="5B3ED224" w14:textId="77777777" w:rsidR="006E567D" w:rsidRDefault="006E567D" w:rsidP="006E567D">
      <w:pPr>
        <w:jc w:val="center"/>
      </w:pPr>
    </w:p>
    <w:p w14:paraId="5592F6BB" w14:textId="46BB83E2" w:rsidR="006E567D" w:rsidRDefault="006E567D" w:rsidP="006E567D">
      <w:pPr>
        <w:jc w:val="center"/>
      </w:pPr>
    </w:p>
    <w:p w14:paraId="7249ECE9" w14:textId="79C3DF42" w:rsidR="0035109D" w:rsidRDefault="00276893" w:rsidP="004E2C55">
      <w:r>
        <w:t xml:space="preserve"> </w:t>
      </w:r>
    </w:p>
    <w:p w14:paraId="6A58D019" w14:textId="77777777" w:rsidR="006E567D" w:rsidRDefault="006E567D" w:rsidP="004E2C55"/>
    <w:p w14:paraId="1912A833" w14:textId="37CDE8FE" w:rsidR="00B7447E" w:rsidRPr="008E6990" w:rsidRDefault="00B7447E" w:rsidP="00B7447E">
      <w:pPr>
        <w:jc w:val="both"/>
        <w:rPr>
          <w:color w:val="FF0000"/>
        </w:rPr>
      </w:pPr>
      <w:r>
        <w:rPr>
          <w:b/>
        </w:rPr>
        <w:t xml:space="preserve">Supplementary Figure 2. </w:t>
      </w:r>
      <w:r>
        <w:t>A)</w:t>
      </w:r>
      <w:r>
        <w:rPr>
          <w:b/>
        </w:rPr>
        <w:t xml:space="preserve"> </w:t>
      </w:r>
      <w:r>
        <w:t xml:space="preserve">FACS analysis of antigen-specific CD8 T cells on D7 in Naïve and Tumor-bearing lymphoid organs. B) </w:t>
      </w:r>
      <w:r w:rsidRPr="005F0618">
        <w:t>ICS staining of antigen-specific CD8 T Cells confirming specificity and functionality. C) Comparison of Dimer+ and TNF+ CD8.</w:t>
      </w:r>
      <w:r w:rsidR="00CC16CF" w:rsidRPr="005F0618">
        <w:t xml:space="preserve"> D) Antigen-specific CD8 T cells staining from splenic CD8 T cells directly ex vivo compared to unloaded </w:t>
      </w:r>
      <w:proofErr w:type="spellStart"/>
      <w:r w:rsidR="00CC16CF" w:rsidRPr="005F0618">
        <w:t>Kb</w:t>
      </w:r>
      <w:proofErr w:type="spellEnd"/>
      <w:r w:rsidR="00CC16CF" w:rsidRPr="005F0618">
        <w:t xml:space="preserve">-Ig staining. </w:t>
      </w:r>
      <w:r w:rsidR="000E3D2C" w:rsidRPr="005F0618">
        <w:t>N = 3, Statistical 2-tailed T-test.</w:t>
      </w:r>
    </w:p>
    <w:p w14:paraId="7BCB623F" w14:textId="77777777" w:rsidR="00EE1E2A" w:rsidRDefault="00EE1E2A" w:rsidP="00B7447E">
      <w:pPr>
        <w:jc w:val="both"/>
      </w:pPr>
    </w:p>
    <w:p w14:paraId="44851428" w14:textId="77777777" w:rsidR="00EE1E2A" w:rsidRDefault="00EE1E2A">
      <w:r>
        <w:object w:dxaOrig="15138" w:dyaOrig="5500" w14:anchorId="54AF9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97.25pt" o:ole="">
            <v:imagedata r:id="rId11" o:title=""/>
          </v:shape>
          <o:OLEObject Type="Embed" ProgID="Prism5.Document" ShapeID="_x0000_i1025" DrawAspect="Content" ObjectID="_1574502430" r:id="rId12"/>
        </w:object>
      </w:r>
    </w:p>
    <w:p w14:paraId="40631361" w14:textId="77777777" w:rsidR="00E74E4E" w:rsidRDefault="00EE1E2A">
      <w:r>
        <w:rPr>
          <w:b/>
        </w:rPr>
        <w:t xml:space="preserve">Supplementary Figure 3. </w:t>
      </w:r>
      <w:r>
        <w:t xml:space="preserve">V-beta usage for Naïve </w:t>
      </w:r>
      <w:proofErr w:type="spellStart"/>
      <w:r>
        <w:t>Kb</w:t>
      </w:r>
      <w:proofErr w:type="spellEnd"/>
      <w:r>
        <w:t>-SIY &amp; Kb-TRP2 Response</w:t>
      </w:r>
    </w:p>
    <w:p w14:paraId="50CE691F" w14:textId="277310AA" w:rsidR="00E74E4E" w:rsidRDefault="00E74E4E"/>
    <w:p w14:paraId="19A3BCFB" w14:textId="77777777" w:rsidR="00E74E4E" w:rsidRDefault="00E74E4E"/>
    <w:p w14:paraId="3995A02F" w14:textId="77777777" w:rsidR="002F2796" w:rsidRDefault="002F2796" w:rsidP="002F2796">
      <w:pPr>
        <w:jc w:val="center"/>
        <w:rPr>
          <w:b/>
        </w:rPr>
      </w:pPr>
      <w:r>
        <w:rPr>
          <w:b/>
          <w:noProof/>
        </w:rPr>
        <w:drawing>
          <wp:inline distT="0" distB="0" distL="0" distR="0" wp14:anchorId="6E5319E8" wp14:editId="0515C8C7">
            <wp:extent cx="5773890" cy="476084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betaLymphoidOrgans.png"/>
                    <pic:cNvPicPr/>
                  </pic:nvPicPr>
                  <pic:blipFill rotWithShape="1">
                    <a:blip r:embed="rId13" cstate="print">
                      <a:extLst>
                        <a:ext uri="{28A0092B-C50C-407E-A947-70E740481C1C}">
                          <a14:useLocalDpi xmlns:a14="http://schemas.microsoft.com/office/drawing/2010/main" val="0"/>
                        </a:ext>
                      </a:extLst>
                    </a:blip>
                    <a:srcRect l="510" t="1584" r="879" b="3538"/>
                    <a:stretch/>
                  </pic:blipFill>
                  <pic:spPr bwMode="auto">
                    <a:xfrm>
                      <a:off x="0" y="0"/>
                      <a:ext cx="5795115" cy="4778344"/>
                    </a:xfrm>
                    <a:prstGeom prst="rect">
                      <a:avLst/>
                    </a:prstGeom>
                    <a:ln>
                      <a:noFill/>
                    </a:ln>
                    <a:extLst>
                      <a:ext uri="{53640926-AAD7-44D8-BBD7-CCE9431645EC}">
                        <a14:shadowObscured xmlns:a14="http://schemas.microsoft.com/office/drawing/2010/main"/>
                      </a:ext>
                    </a:extLst>
                  </pic:spPr>
                </pic:pic>
              </a:graphicData>
            </a:graphic>
          </wp:inline>
        </w:drawing>
      </w:r>
    </w:p>
    <w:p w14:paraId="3C2EEAFD" w14:textId="77777777" w:rsidR="00E74E4E" w:rsidRDefault="00E74E4E">
      <w:r>
        <w:rPr>
          <w:b/>
        </w:rPr>
        <w:t xml:space="preserve">Supplementary Figure 4. </w:t>
      </w:r>
      <w:r>
        <w:t xml:space="preserve">V-beta usage for Tumor-Bearing </w:t>
      </w:r>
      <w:proofErr w:type="spellStart"/>
      <w:r>
        <w:t>Kb</w:t>
      </w:r>
      <w:proofErr w:type="spellEnd"/>
      <w:r>
        <w:t>-SIY &amp; Kb-TRP2 Response in Various Lymphoid Organs</w:t>
      </w:r>
    </w:p>
    <w:p w14:paraId="6EF9C36D" w14:textId="77777777" w:rsidR="008D046A" w:rsidRDefault="008D046A">
      <w:r>
        <w:br w:type="page"/>
      </w:r>
    </w:p>
    <w:p w14:paraId="7ECB0C6D" w14:textId="77777777" w:rsidR="008D046A" w:rsidRDefault="008D046A">
      <w:pPr>
        <w:rPr>
          <w:b/>
        </w:rPr>
      </w:pPr>
    </w:p>
    <w:p w14:paraId="4EA8BE16" w14:textId="77777777" w:rsidR="008D046A" w:rsidRDefault="006E6503" w:rsidP="006E6503">
      <w:pPr>
        <w:jc w:val="center"/>
      </w:pPr>
      <w:r>
        <w:object w:dxaOrig="5783" w:dyaOrig="4649" w14:anchorId="2FC4388F">
          <v:shape id="_x0000_i1026" type="#_x0000_t75" style="width:231pt;height:186.75pt" o:ole="">
            <v:imagedata r:id="rId14" o:title=""/>
          </v:shape>
          <o:OLEObject Type="Embed" ProgID="Prism5.Document" ShapeID="_x0000_i1026" DrawAspect="Content" ObjectID="_1574502431" r:id="rId15"/>
        </w:object>
      </w:r>
      <w:r>
        <w:object w:dxaOrig="5783" w:dyaOrig="4649" w14:anchorId="15BA9D9E">
          <v:shape id="_x0000_i1027" type="#_x0000_t75" style="width:231pt;height:186.75pt" o:ole="">
            <v:imagedata r:id="rId16" o:title=""/>
          </v:shape>
          <o:OLEObject Type="Embed" ProgID="Prism5.Document" ShapeID="_x0000_i1027" DrawAspect="Content" ObjectID="_1574502432" r:id="rId17"/>
        </w:object>
      </w:r>
    </w:p>
    <w:p w14:paraId="3A914203" w14:textId="77777777" w:rsidR="006E6503" w:rsidRDefault="006E6503" w:rsidP="00042D34">
      <w:pPr>
        <w:jc w:val="center"/>
      </w:pPr>
      <w:r>
        <w:object w:dxaOrig="5386" w:dyaOrig="4649" w14:anchorId="333D7DCE">
          <v:shape id="_x0000_i1028" type="#_x0000_t75" style="width:215.25pt;height:186.75pt" o:ole="">
            <v:imagedata r:id="rId18" o:title=""/>
          </v:shape>
          <o:OLEObject Type="Embed" ProgID="Prism5.Document" ShapeID="_x0000_i1028" DrawAspect="Content" ObjectID="_1574502433" r:id="rId19"/>
        </w:object>
      </w:r>
      <w:r>
        <w:object w:dxaOrig="5386" w:dyaOrig="4649" w14:anchorId="591025A5">
          <v:shape id="_x0000_i1029" type="#_x0000_t75" style="width:215.25pt;height:186.75pt" o:ole="">
            <v:imagedata r:id="rId20" o:title=""/>
          </v:shape>
          <o:OLEObject Type="Embed" ProgID="Prism5.Document" ShapeID="_x0000_i1029" DrawAspect="Content" ObjectID="_1574502434" r:id="rId21"/>
        </w:object>
      </w:r>
    </w:p>
    <w:p w14:paraId="719E35C5" w14:textId="77777777" w:rsidR="006E6503" w:rsidRDefault="006E6503" w:rsidP="00042D34">
      <w:pPr>
        <w:jc w:val="center"/>
      </w:pPr>
      <w:r>
        <w:object w:dxaOrig="5783" w:dyaOrig="4649" w14:anchorId="5B8114AA">
          <v:shape id="_x0000_i1030" type="#_x0000_t75" style="width:231pt;height:186.75pt" o:ole="">
            <v:imagedata r:id="rId22" o:title=""/>
          </v:shape>
          <o:OLEObject Type="Embed" ProgID="Prism5.Document" ShapeID="_x0000_i1030" DrawAspect="Content" ObjectID="_1574502435" r:id="rId23"/>
        </w:object>
      </w:r>
      <w:r>
        <w:object w:dxaOrig="5783" w:dyaOrig="4649" w14:anchorId="0202A2EA">
          <v:shape id="_x0000_i1031" type="#_x0000_t75" style="width:231pt;height:186.75pt" o:ole="">
            <v:imagedata r:id="rId24" o:title=""/>
          </v:shape>
          <o:OLEObject Type="Embed" ProgID="Prism5.Document" ShapeID="_x0000_i1031" DrawAspect="Content" ObjectID="_1574502436" r:id="rId25"/>
        </w:object>
      </w:r>
    </w:p>
    <w:p w14:paraId="5D81A7BF" w14:textId="77777777" w:rsidR="00042D34" w:rsidRDefault="00042D34" w:rsidP="00042D34">
      <w:pPr>
        <w:jc w:val="center"/>
        <w:rPr>
          <w:b/>
        </w:rPr>
      </w:pPr>
    </w:p>
    <w:p w14:paraId="520D3ADA" w14:textId="77777777" w:rsidR="006F7B66" w:rsidRPr="00C60E3F" w:rsidRDefault="008D046A" w:rsidP="008F7760">
      <w:pPr>
        <w:jc w:val="both"/>
      </w:pPr>
      <w:r w:rsidRPr="00C60E3F">
        <w:rPr>
          <w:b/>
        </w:rPr>
        <w:t xml:space="preserve">Supplementary Figure 5. </w:t>
      </w:r>
      <w:proofErr w:type="gramStart"/>
      <w:r w:rsidR="00042D34" w:rsidRPr="00C60E3F">
        <w:t>In order to</w:t>
      </w:r>
      <w:proofErr w:type="gramEnd"/>
      <w:r w:rsidR="00042D34" w:rsidRPr="00C60E3F">
        <w:t xml:space="preserve"> determine number of tumor-infiltrating lymphocytes that were sequenced for each patient, Adaptive reported amount of total DNA in nanograms that underwent sequencing and based on the assumption of 6.5pgDNA per cell, we were able to calculate the number of total cells that underwent sequencing. Furthermore, Adaptive ca</w:t>
      </w:r>
      <w:r w:rsidR="008E0D07" w:rsidRPr="00C60E3F">
        <w:t xml:space="preserve">lculated a %TIL metric based on </w:t>
      </w:r>
      <w:r w:rsidR="00042D34" w:rsidRPr="00C60E3F">
        <w:t xml:space="preserve">number of non-recombined to recombined sequence reads. With this information, we </w:t>
      </w:r>
      <w:proofErr w:type="gramStart"/>
      <w:r w:rsidR="00042D34" w:rsidRPr="00C60E3F">
        <w:t>were able to</w:t>
      </w:r>
      <w:proofErr w:type="gramEnd"/>
      <w:r w:rsidR="00042D34" w:rsidRPr="00C60E3F">
        <w:t xml:space="preserve"> deduce the number of starting lymphocytes that were sequenced for each patient. </w:t>
      </w:r>
    </w:p>
    <w:p w14:paraId="6097AFAF" w14:textId="77777777" w:rsidR="005936AC" w:rsidRDefault="005936AC" w:rsidP="005936AC">
      <w:pPr>
        <w:jc w:val="both"/>
        <w:rPr>
          <w:b/>
        </w:rPr>
      </w:pPr>
      <w:r>
        <w:rPr>
          <w:b/>
          <w:noProof/>
        </w:rPr>
        <w:lastRenderedPageBreak/>
        <w:drawing>
          <wp:anchor distT="0" distB="0" distL="114300" distR="114300" simplePos="0" relativeHeight="251663360" behindDoc="1" locked="0" layoutInCell="1" allowOverlap="1" wp14:anchorId="3A30A6BA" wp14:editId="7778FE7E">
            <wp:simplePos x="0" y="0"/>
            <wp:positionH relativeFrom="page">
              <wp:posOffset>4276090</wp:posOffset>
            </wp:positionH>
            <wp:positionV relativeFrom="paragraph">
              <wp:posOffset>0</wp:posOffset>
            </wp:positionV>
            <wp:extent cx="3305810" cy="2526665"/>
            <wp:effectExtent l="0" t="0" r="0" b="6985"/>
            <wp:wrapTight wrapText="bothSides">
              <wp:wrapPolygon edited="0">
                <wp:start x="20164" y="814"/>
                <wp:lineTo x="6970" y="1140"/>
                <wp:lineTo x="5726" y="1303"/>
                <wp:lineTo x="5726" y="3746"/>
                <wp:lineTo x="4108" y="6188"/>
                <wp:lineTo x="622" y="6351"/>
                <wp:lineTo x="124" y="6677"/>
                <wp:lineTo x="124" y="13843"/>
                <wp:lineTo x="622" y="14168"/>
                <wp:lineTo x="4108" y="14168"/>
                <wp:lineTo x="249" y="15308"/>
                <wp:lineTo x="249" y="16285"/>
                <wp:lineTo x="4108" y="16774"/>
                <wp:lineTo x="249" y="17751"/>
                <wp:lineTo x="249" y="18565"/>
                <wp:lineTo x="4108" y="19380"/>
                <wp:lineTo x="249" y="19705"/>
                <wp:lineTo x="249" y="20845"/>
                <wp:lineTo x="4108" y="21497"/>
                <wp:lineTo x="20538" y="21497"/>
                <wp:lineTo x="20538" y="6351"/>
                <wp:lineTo x="20040" y="3746"/>
                <wp:lineTo x="20538" y="3257"/>
                <wp:lineTo x="20911" y="1791"/>
                <wp:lineTo x="20662" y="814"/>
                <wp:lineTo x="20164" y="814"/>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05810" cy="2526665"/>
                    </a:xfrm>
                    <a:prstGeom prst="rect">
                      <a:avLst/>
                    </a:prstGeom>
                    <a:noFill/>
                  </pic:spPr>
                </pic:pic>
              </a:graphicData>
            </a:graphic>
            <wp14:sizeRelH relativeFrom="page">
              <wp14:pctWidth>0</wp14:pctWidth>
            </wp14:sizeRelH>
            <wp14:sizeRelV relativeFrom="page">
              <wp14:pctHeight>0</wp14:pctHeight>
            </wp14:sizeRelV>
          </wp:anchor>
        </w:drawing>
      </w:r>
      <w:r>
        <w:rPr>
          <w:b/>
        </w:rPr>
        <w:t>A)</w:t>
      </w:r>
    </w:p>
    <w:p w14:paraId="363BBB65" w14:textId="77777777" w:rsidR="005936AC" w:rsidRDefault="005936AC" w:rsidP="005936AC">
      <w:pPr>
        <w:jc w:val="both"/>
        <w:rPr>
          <w:b/>
        </w:rPr>
      </w:pPr>
    </w:p>
    <w:p w14:paraId="2C90DDF8" w14:textId="77777777" w:rsidR="005936AC" w:rsidRDefault="005936AC" w:rsidP="005936AC">
      <w:pPr>
        <w:jc w:val="both"/>
        <w:rPr>
          <w:b/>
        </w:rPr>
      </w:pPr>
      <w:r>
        <w:rPr>
          <w:b/>
          <w:noProof/>
        </w:rPr>
        <w:drawing>
          <wp:anchor distT="0" distB="0" distL="114300" distR="114300" simplePos="0" relativeHeight="251664384" behindDoc="1" locked="0" layoutInCell="1" allowOverlap="1" wp14:anchorId="77C81F35" wp14:editId="536222C6">
            <wp:simplePos x="0" y="0"/>
            <wp:positionH relativeFrom="margin">
              <wp:posOffset>-104775</wp:posOffset>
            </wp:positionH>
            <wp:positionV relativeFrom="paragraph">
              <wp:posOffset>288925</wp:posOffset>
            </wp:positionV>
            <wp:extent cx="3685540" cy="368300"/>
            <wp:effectExtent l="0" t="0" r="0" b="0"/>
            <wp:wrapTight wrapText="bothSides">
              <wp:wrapPolygon edited="0">
                <wp:start x="11500" y="0"/>
                <wp:lineTo x="223" y="6703"/>
                <wp:lineTo x="223" y="17876"/>
                <wp:lineTo x="11276" y="20110"/>
                <wp:lineTo x="20878" y="20110"/>
                <wp:lineTo x="21101" y="15641"/>
                <wp:lineTo x="21101" y="7821"/>
                <wp:lineTo x="20655" y="0"/>
                <wp:lineTo x="1150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5540" cy="368300"/>
                    </a:xfrm>
                    <a:prstGeom prst="rect">
                      <a:avLst/>
                    </a:prstGeom>
                    <a:noFill/>
                  </pic:spPr>
                </pic:pic>
              </a:graphicData>
            </a:graphic>
            <wp14:sizeRelH relativeFrom="margin">
              <wp14:pctWidth>0</wp14:pctWidth>
            </wp14:sizeRelH>
            <wp14:sizeRelV relativeFrom="margin">
              <wp14:pctHeight>0</wp14:pctHeight>
            </wp14:sizeRelV>
          </wp:anchor>
        </w:drawing>
      </w:r>
    </w:p>
    <w:p w14:paraId="4CA0497C" w14:textId="77777777" w:rsidR="005936AC" w:rsidRDefault="005936AC" w:rsidP="005936AC">
      <w:pPr>
        <w:jc w:val="both"/>
        <w:rPr>
          <w:b/>
        </w:rPr>
      </w:pPr>
    </w:p>
    <w:p w14:paraId="3C300472" w14:textId="77777777" w:rsidR="005936AC" w:rsidRDefault="005936AC" w:rsidP="005936AC">
      <w:pPr>
        <w:jc w:val="both"/>
        <w:rPr>
          <w:b/>
        </w:rPr>
      </w:pPr>
      <w:r>
        <w:rPr>
          <w:b/>
          <w:noProof/>
        </w:rPr>
        <w:drawing>
          <wp:anchor distT="0" distB="0" distL="114300" distR="114300" simplePos="0" relativeHeight="251665408" behindDoc="1" locked="0" layoutInCell="1" allowOverlap="1" wp14:anchorId="76DCDCC5" wp14:editId="120E5F6A">
            <wp:simplePos x="0" y="0"/>
            <wp:positionH relativeFrom="margin">
              <wp:align>left</wp:align>
            </wp:positionH>
            <wp:positionV relativeFrom="paragraph">
              <wp:posOffset>97790</wp:posOffset>
            </wp:positionV>
            <wp:extent cx="3581736" cy="442938"/>
            <wp:effectExtent l="0" t="0" r="0" b="0"/>
            <wp:wrapTight wrapText="bothSides">
              <wp:wrapPolygon edited="0">
                <wp:start x="15511" y="0"/>
                <wp:lineTo x="230" y="3719"/>
                <wp:lineTo x="230" y="10227"/>
                <wp:lineTo x="10226" y="15805"/>
                <wp:lineTo x="11374" y="19524"/>
                <wp:lineTo x="11489" y="20453"/>
                <wp:lineTo x="21485" y="20453"/>
                <wp:lineTo x="21485" y="5578"/>
                <wp:lineTo x="16200" y="0"/>
                <wp:lineTo x="15511"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81736" cy="442938"/>
                    </a:xfrm>
                    <a:prstGeom prst="rect">
                      <a:avLst/>
                    </a:prstGeom>
                    <a:noFill/>
                  </pic:spPr>
                </pic:pic>
              </a:graphicData>
            </a:graphic>
          </wp:anchor>
        </w:drawing>
      </w:r>
    </w:p>
    <w:p w14:paraId="1927608F" w14:textId="77777777" w:rsidR="005936AC" w:rsidRDefault="005936AC" w:rsidP="005936AC">
      <w:pPr>
        <w:jc w:val="both"/>
        <w:rPr>
          <w:b/>
        </w:rPr>
      </w:pPr>
    </w:p>
    <w:p w14:paraId="16B00AF2" w14:textId="77777777" w:rsidR="005936AC" w:rsidRDefault="005936AC" w:rsidP="005936AC">
      <w:pPr>
        <w:jc w:val="both"/>
        <w:rPr>
          <w:b/>
        </w:rPr>
      </w:pPr>
    </w:p>
    <w:p w14:paraId="7AA093D8" w14:textId="77777777" w:rsidR="005936AC" w:rsidRDefault="005936AC" w:rsidP="005936AC">
      <w:pPr>
        <w:jc w:val="both"/>
        <w:rPr>
          <w:b/>
        </w:rPr>
      </w:pPr>
    </w:p>
    <w:p w14:paraId="7D54AC91" w14:textId="77777777" w:rsidR="005936AC" w:rsidRDefault="005936AC" w:rsidP="005936AC">
      <w:pPr>
        <w:jc w:val="both"/>
        <w:rPr>
          <w:b/>
        </w:rPr>
      </w:pPr>
    </w:p>
    <w:p w14:paraId="346D347B" w14:textId="77777777" w:rsidR="005936AC" w:rsidRDefault="005936AC" w:rsidP="005936AC">
      <w:pPr>
        <w:jc w:val="both"/>
        <w:rPr>
          <w:b/>
        </w:rPr>
      </w:pPr>
      <w:r>
        <w:rPr>
          <w:b/>
        </w:rPr>
        <w:t xml:space="preserve">B)  </w:t>
      </w:r>
    </w:p>
    <w:p w14:paraId="5C832B9F"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for i=</w:t>
      </w:r>
      <w:proofErr w:type="gramStart"/>
      <w:r w:rsidRPr="00812795">
        <w:rPr>
          <w:rFonts w:ascii="Arial" w:eastAsia="Times New Roman" w:hAnsi="Arial" w:cs="Arial"/>
          <w:color w:val="222222"/>
          <w:sz w:val="19"/>
          <w:szCs w:val="19"/>
        </w:rPr>
        <w:t>1:size</w:t>
      </w:r>
      <w:proofErr w:type="gramEnd"/>
      <w:r w:rsidRPr="00812795">
        <w:rPr>
          <w:rFonts w:ascii="Arial" w:eastAsia="Times New Roman" w:hAnsi="Arial" w:cs="Arial"/>
          <w:color w:val="222222"/>
          <w:sz w:val="19"/>
          <w:szCs w:val="19"/>
        </w:rPr>
        <w:t>(DistanceMatrix3,1);</w:t>
      </w:r>
    </w:p>
    <w:p w14:paraId="2F2D63E8"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for j=</w:t>
      </w:r>
      <w:proofErr w:type="gramStart"/>
      <w:r w:rsidRPr="00812795">
        <w:rPr>
          <w:rFonts w:ascii="Arial" w:eastAsia="Times New Roman" w:hAnsi="Arial" w:cs="Arial"/>
          <w:color w:val="222222"/>
          <w:sz w:val="19"/>
          <w:szCs w:val="19"/>
        </w:rPr>
        <w:t>1:size</w:t>
      </w:r>
      <w:proofErr w:type="gramEnd"/>
      <w:r w:rsidRPr="00812795">
        <w:rPr>
          <w:rFonts w:ascii="Arial" w:eastAsia="Times New Roman" w:hAnsi="Arial" w:cs="Arial"/>
          <w:color w:val="222222"/>
          <w:sz w:val="19"/>
          <w:szCs w:val="19"/>
        </w:rPr>
        <w:t>(DistanceMatrix3,2);</w:t>
      </w:r>
    </w:p>
    <w:p w14:paraId="7B5E7965"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if i==j</w:t>
      </w:r>
    </w:p>
    <w:p w14:paraId="726407C8"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if Reads(i)==1</w:t>
      </w:r>
    </w:p>
    <w:p w14:paraId="028B79AC"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xml:space="preserve">                    </w:t>
      </w:r>
      <w:proofErr w:type="spellStart"/>
      <w:r w:rsidRPr="00812795">
        <w:rPr>
          <w:rFonts w:ascii="Arial" w:eastAsia="Times New Roman" w:hAnsi="Arial" w:cs="Arial"/>
          <w:color w:val="222222"/>
          <w:sz w:val="19"/>
          <w:szCs w:val="19"/>
        </w:rPr>
        <w:t>ScorePreOut</w:t>
      </w:r>
      <w:proofErr w:type="spellEnd"/>
      <w:r w:rsidRPr="00812795">
        <w:rPr>
          <w:rFonts w:ascii="Arial" w:eastAsia="Times New Roman" w:hAnsi="Arial" w:cs="Arial"/>
          <w:color w:val="222222"/>
          <w:sz w:val="19"/>
          <w:szCs w:val="19"/>
        </w:rPr>
        <w:t>(</w:t>
      </w:r>
      <w:proofErr w:type="spellStart"/>
      <w:proofErr w:type="gramStart"/>
      <w:r w:rsidRPr="00812795">
        <w:rPr>
          <w:rFonts w:ascii="Arial" w:eastAsia="Times New Roman" w:hAnsi="Arial" w:cs="Arial"/>
          <w:color w:val="222222"/>
          <w:sz w:val="19"/>
          <w:szCs w:val="19"/>
        </w:rPr>
        <w:t>i,j</w:t>
      </w:r>
      <w:proofErr w:type="spellEnd"/>
      <w:proofErr w:type="gramEnd"/>
      <w:r w:rsidRPr="00812795">
        <w:rPr>
          <w:rFonts w:ascii="Arial" w:eastAsia="Times New Roman" w:hAnsi="Arial" w:cs="Arial"/>
          <w:color w:val="222222"/>
          <w:sz w:val="19"/>
          <w:szCs w:val="19"/>
        </w:rPr>
        <w:t>)=0;</w:t>
      </w:r>
    </w:p>
    <w:p w14:paraId="3BC77242"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else</w:t>
      </w:r>
    </w:p>
    <w:p w14:paraId="6D771F59"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xml:space="preserve">                    </w:t>
      </w:r>
      <w:proofErr w:type="spellStart"/>
      <w:r w:rsidRPr="00812795">
        <w:rPr>
          <w:rFonts w:ascii="Arial" w:eastAsia="Times New Roman" w:hAnsi="Arial" w:cs="Arial"/>
          <w:color w:val="222222"/>
          <w:sz w:val="19"/>
          <w:szCs w:val="19"/>
        </w:rPr>
        <w:t>ScorePreOut</w:t>
      </w:r>
      <w:proofErr w:type="spellEnd"/>
      <w:r w:rsidRPr="00812795">
        <w:rPr>
          <w:rFonts w:ascii="Arial" w:eastAsia="Times New Roman" w:hAnsi="Arial" w:cs="Arial"/>
          <w:color w:val="222222"/>
          <w:sz w:val="19"/>
          <w:szCs w:val="19"/>
        </w:rPr>
        <w:t>(</w:t>
      </w:r>
      <w:proofErr w:type="spellStart"/>
      <w:proofErr w:type="gramStart"/>
      <w:r w:rsidRPr="00812795">
        <w:rPr>
          <w:rFonts w:ascii="Arial" w:eastAsia="Times New Roman" w:hAnsi="Arial" w:cs="Arial"/>
          <w:color w:val="222222"/>
          <w:sz w:val="19"/>
          <w:szCs w:val="19"/>
        </w:rPr>
        <w:t>i,j</w:t>
      </w:r>
      <w:proofErr w:type="spellEnd"/>
      <w:proofErr w:type="gramEnd"/>
      <w:r w:rsidRPr="00812795">
        <w:rPr>
          <w:rFonts w:ascii="Arial" w:eastAsia="Times New Roman" w:hAnsi="Arial" w:cs="Arial"/>
          <w:color w:val="222222"/>
          <w:sz w:val="19"/>
          <w:szCs w:val="19"/>
        </w:rPr>
        <w:t>)=DistanceMatrix3(</w:t>
      </w:r>
      <w:proofErr w:type="spellStart"/>
      <w:r w:rsidRPr="00812795">
        <w:rPr>
          <w:rFonts w:ascii="Arial" w:eastAsia="Times New Roman" w:hAnsi="Arial" w:cs="Arial"/>
          <w:color w:val="222222"/>
          <w:sz w:val="19"/>
          <w:szCs w:val="19"/>
        </w:rPr>
        <w:t>i,j</w:t>
      </w:r>
      <w:proofErr w:type="spellEnd"/>
      <w:r w:rsidRPr="00812795">
        <w:rPr>
          <w:rFonts w:ascii="Arial" w:eastAsia="Times New Roman" w:hAnsi="Arial" w:cs="Arial"/>
          <w:color w:val="222222"/>
          <w:sz w:val="19"/>
          <w:szCs w:val="19"/>
        </w:rPr>
        <w:t>)*</w:t>
      </w:r>
      <w:proofErr w:type="spellStart"/>
      <w:r w:rsidRPr="00812795">
        <w:rPr>
          <w:rFonts w:ascii="Arial" w:eastAsia="Times New Roman" w:hAnsi="Arial" w:cs="Arial"/>
          <w:color w:val="222222"/>
          <w:sz w:val="19"/>
          <w:szCs w:val="19"/>
        </w:rPr>
        <w:t>combntns</w:t>
      </w:r>
      <w:proofErr w:type="spellEnd"/>
      <w:r w:rsidRPr="00812795">
        <w:rPr>
          <w:rFonts w:ascii="Arial" w:eastAsia="Times New Roman" w:hAnsi="Arial" w:cs="Arial"/>
          <w:color w:val="222222"/>
          <w:sz w:val="19"/>
          <w:szCs w:val="19"/>
        </w:rPr>
        <w:t>(Reads(i),2);</w:t>
      </w:r>
    </w:p>
    <w:p w14:paraId="0DFA9438"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end</w:t>
      </w:r>
    </w:p>
    <w:p w14:paraId="6114D79F"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else</w:t>
      </w:r>
    </w:p>
    <w:p w14:paraId="77A0E033"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xml:space="preserve">                </w:t>
      </w:r>
      <w:proofErr w:type="spellStart"/>
      <w:r w:rsidRPr="00812795">
        <w:rPr>
          <w:rFonts w:ascii="Arial" w:eastAsia="Times New Roman" w:hAnsi="Arial" w:cs="Arial"/>
          <w:color w:val="222222"/>
          <w:sz w:val="19"/>
          <w:szCs w:val="19"/>
        </w:rPr>
        <w:t>ScorePreOut</w:t>
      </w:r>
      <w:proofErr w:type="spellEnd"/>
      <w:r w:rsidRPr="00812795">
        <w:rPr>
          <w:rFonts w:ascii="Arial" w:eastAsia="Times New Roman" w:hAnsi="Arial" w:cs="Arial"/>
          <w:color w:val="222222"/>
          <w:sz w:val="19"/>
          <w:szCs w:val="19"/>
        </w:rPr>
        <w:t>(</w:t>
      </w:r>
      <w:proofErr w:type="spellStart"/>
      <w:proofErr w:type="gramStart"/>
      <w:r w:rsidRPr="00812795">
        <w:rPr>
          <w:rFonts w:ascii="Arial" w:eastAsia="Times New Roman" w:hAnsi="Arial" w:cs="Arial"/>
          <w:color w:val="222222"/>
          <w:sz w:val="19"/>
          <w:szCs w:val="19"/>
        </w:rPr>
        <w:t>i,j</w:t>
      </w:r>
      <w:proofErr w:type="spellEnd"/>
      <w:proofErr w:type="gramEnd"/>
      <w:r w:rsidRPr="00812795">
        <w:rPr>
          <w:rFonts w:ascii="Arial" w:eastAsia="Times New Roman" w:hAnsi="Arial" w:cs="Arial"/>
          <w:color w:val="222222"/>
          <w:sz w:val="19"/>
          <w:szCs w:val="19"/>
        </w:rPr>
        <w:t>)=DistanceMatrix3(</w:t>
      </w:r>
      <w:proofErr w:type="spellStart"/>
      <w:r w:rsidRPr="00812795">
        <w:rPr>
          <w:rFonts w:ascii="Arial" w:eastAsia="Times New Roman" w:hAnsi="Arial" w:cs="Arial"/>
          <w:color w:val="222222"/>
          <w:sz w:val="19"/>
          <w:szCs w:val="19"/>
        </w:rPr>
        <w:t>i,j</w:t>
      </w:r>
      <w:proofErr w:type="spellEnd"/>
      <w:r w:rsidRPr="00812795">
        <w:rPr>
          <w:rFonts w:ascii="Arial" w:eastAsia="Times New Roman" w:hAnsi="Arial" w:cs="Arial"/>
          <w:color w:val="222222"/>
          <w:sz w:val="19"/>
          <w:szCs w:val="19"/>
        </w:rPr>
        <w:t>)*Reads(i)*Reads(j);</w:t>
      </w:r>
    </w:p>
    <w:p w14:paraId="71C604E0"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end</w:t>
      </w:r>
    </w:p>
    <w:p w14:paraId="54B60B6C"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end</w:t>
      </w:r>
    </w:p>
    <w:p w14:paraId="66E1066C"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sidRPr="00812795">
        <w:rPr>
          <w:rFonts w:ascii="Arial" w:eastAsia="Times New Roman" w:hAnsi="Arial" w:cs="Arial"/>
          <w:color w:val="222222"/>
          <w:sz w:val="19"/>
          <w:szCs w:val="19"/>
        </w:rPr>
        <w:t>    end</w:t>
      </w:r>
    </w:p>
    <w:p w14:paraId="61C0556B"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p>
    <w:p w14:paraId="2A99D133" w14:textId="77777777" w:rsidR="005936AC" w:rsidRPr="00812795" w:rsidRDefault="005936AC" w:rsidP="005936AC">
      <w:pPr>
        <w:shd w:val="clear" w:color="auto" w:fill="FFFFFF"/>
        <w:spacing w:after="0" w:line="240" w:lineRule="auto"/>
        <w:ind w:left="720"/>
        <w:rPr>
          <w:rFonts w:ascii="Arial" w:eastAsia="Times New Roman" w:hAnsi="Arial" w:cs="Arial"/>
          <w:color w:val="222222"/>
          <w:sz w:val="19"/>
          <w:szCs w:val="19"/>
        </w:rPr>
      </w:pPr>
      <w:r>
        <w:rPr>
          <w:rFonts w:ascii="Arial" w:eastAsia="Times New Roman" w:hAnsi="Arial" w:cs="Arial"/>
          <w:color w:val="222222"/>
          <w:sz w:val="19"/>
          <w:szCs w:val="19"/>
        </w:rPr>
        <w:t>   TCRDiversityScore=1-</w:t>
      </w:r>
      <w:r w:rsidRPr="00812795">
        <w:rPr>
          <w:rFonts w:ascii="Arial" w:eastAsia="Times New Roman" w:hAnsi="Arial" w:cs="Arial"/>
          <w:color w:val="222222"/>
          <w:sz w:val="19"/>
          <w:szCs w:val="19"/>
        </w:rPr>
        <w:t>(sum(sum(ScorePreOut))/combntns(sum(Reads),2));</w:t>
      </w:r>
    </w:p>
    <w:p w14:paraId="69FB5782" w14:textId="77777777" w:rsidR="005936AC" w:rsidRDefault="005936AC" w:rsidP="005936AC">
      <w:pPr>
        <w:jc w:val="both"/>
        <w:rPr>
          <w:b/>
        </w:rPr>
      </w:pPr>
    </w:p>
    <w:p w14:paraId="6A590917" w14:textId="77777777" w:rsidR="005936AC" w:rsidRPr="005279C0" w:rsidRDefault="005936AC" w:rsidP="005936AC">
      <w:pPr>
        <w:jc w:val="both"/>
        <w:rPr>
          <w:b/>
        </w:rPr>
      </w:pPr>
    </w:p>
    <w:p w14:paraId="74BEA2A6" w14:textId="77777777" w:rsidR="002347A0" w:rsidRPr="00C60E3F" w:rsidRDefault="005936AC" w:rsidP="005936AC">
      <w:pPr>
        <w:jc w:val="both"/>
      </w:pPr>
      <w:r w:rsidRPr="00C60E3F">
        <w:rPr>
          <w:b/>
        </w:rPr>
        <w:t xml:space="preserve">Supplementary Figure 6. Calculation of TCR Diversity Score. </w:t>
      </w:r>
      <w:r w:rsidRPr="00C60E3F">
        <w:t>A) Initially, all pair-wise distances are calculated with sequence distance based on global alignment scores. Sequence distance is then converted to a mapped sequence distance with values between 0 and 1. This Mapped Sequence Distance is defined as 0 being infinite sequence difference and 1 being identify. B) The distance matrix that is calculated is then weighted by the number of reads. The purpose of this step is to determine the average distance between every cell in the analysis. The piece of code iterates through the distance matrix calculated in A. If i==j (meaning that we are examining the same sequence against itself) and there exists only 1 read of that sequence, the new matrix calculation is 0, meaning there is no need to calculate a distance between a read and itself. If there is more than 1 read, then the new matrix entity calculation is the distance of the sequence and itself multiplied by the total number of all possible combinations of those reads. For example, if there are 10 reads of a given sequence, this new matrix entity is calculated as 1 (sequence distance) * 45 (all possible combinations of 10 reads). In all other cases, where the two sequences are different, the new matrix entity is calculated as the distance between those two sequences multiplied by the number of reads of the first sequence multiplied by the reads of the second sequence. Finally, this new matrix is summed and divided by the number of possible combinations of all reads. This number is then subtracted by 1 to give the final Mapped Sequence Distance where 0 represents identity and 1 represents infinite difference.</w:t>
      </w:r>
    </w:p>
    <w:p w14:paraId="5072BEB4" w14:textId="77777777" w:rsidR="002347A0" w:rsidRDefault="002347A0">
      <w:r>
        <w:br w:type="page"/>
      </w:r>
    </w:p>
    <w:p w14:paraId="5D0AD7BB" w14:textId="77777777" w:rsidR="00EE5DFF" w:rsidRDefault="00EE5DFF" w:rsidP="005936AC">
      <w:pPr>
        <w:jc w:val="both"/>
        <w:rPr>
          <w:i/>
        </w:rPr>
      </w:pPr>
      <w:r>
        <w:rPr>
          <w:i/>
        </w:rPr>
        <w:lastRenderedPageBreak/>
        <w:t>Naïve SIY vs. TRP2 Repertoire</w:t>
      </w:r>
    </w:p>
    <w:p w14:paraId="040300B2" w14:textId="77777777" w:rsidR="00EE5DFF" w:rsidRDefault="002D3332" w:rsidP="005936AC">
      <w:pPr>
        <w:jc w:val="both"/>
      </w:pPr>
      <w:r w:rsidRPr="002D3332">
        <w:rPr>
          <w:noProof/>
        </w:rPr>
        <w:drawing>
          <wp:inline distT="0" distB="0" distL="0" distR="0" wp14:anchorId="4C6F2413" wp14:editId="5EC7BA14">
            <wp:extent cx="6858000" cy="4174490"/>
            <wp:effectExtent l="0" t="0" r="0" b="0"/>
            <wp:docPr id="2" name="Picture 1">
              <a:extLst xmlns:a="http://schemas.openxmlformats.org/drawingml/2006/main">
                <a:ext uri="{FF2B5EF4-FFF2-40B4-BE49-F238E27FC236}">
                  <a16:creationId xmlns:a16="http://schemas.microsoft.com/office/drawing/2014/main" id="{102DA768-2A29-4326-A968-C85CA50C9C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02DA768-2A29-4326-A968-C85CA50C9C03}"/>
                        </a:ext>
                      </a:extLst>
                    </pic:cNvPr>
                    <pic:cNvPicPr>
                      <a:picLocks noChangeAspect="1"/>
                    </pic:cNvPicPr>
                  </pic:nvPicPr>
                  <pic:blipFill>
                    <a:blip r:embed="rId29"/>
                    <a:stretch>
                      <a:fillRect/>
                    </a:stretch>
                  </pic:blipFill>
                  <pic:spPr>
                    <a:xfrm>
                      <a:off x="0" y="0"/>
                      <a:ext cx="6858000" cy="4174490"/>
                    </a:xfrm>
                    <a:prstGeom prst="rect">
                      <a:avLst/>
                    </a:prstGeom>
                  </pic:spPr>
                </pic:pic>
              </a:graphicData>
            </a:graphic>
          </wp:inline>
        </w:drawing>
      </w:r>
    </w:p>
    <w:p w14:paraId="023E6564" w14:textId="77777777" w:rsidR="00927980" w:rsidRDefault="00927980" w:rsidP="005936AC">
      <w:pPr>
        <w:jc w:val="both"/>
        <w:rPr>
          <w:i/>
        </w:rPr>
      </w:pPr>
      <w:r>
        <w:rPr>
          <w:i/>
        </w:rPr>
        <w:t>Naïve vs. Tumor-Bearing SIY &amp; TRP2 Repertoire</w:t>
      </w:r>
    </w:p>
    <w:p w14:paraId="2EC44DB3" w14:textId="77777777" w:rsidR="00927980" w:rsidRPr="00A3467C" w:rsidRDefault="002C73FE" w:rsidP="005936AC">
      <w:pPr>
        <w:jc w:val="both"/>
      </w:pPr>
      <w:r w:rsidRPr="002C73FE">
        <w:rPr>
          <w:noProof/>
        </w:rPr>
        <w:drawing>
          <wp:inline distT="0" distB="0" distL="0" distR="0" wp14:anchorId="2F3A6E8D" wp14:editId="6FAFF687">
            <wp:extent cx="6858000" cy="3623310"/>
            <wp:effectExtent l="0" t="0" r="0" b="0"/>
            <wp:docPr id="7" name="Picture 1">
              <a:extLst xmlns:a="http://schemas.openxmlformats.org/drawingml/2006/main">
                <a:ext uri="{FF2B5EF4-FFF2-40B4-BE49-F238E27FC236}">
                  <a16:creationId xmlns:a16="http://schemas.microsoft.com/office/drawing/2014/main" id="{1AEB17A1-3E8F-4BB2-8B93-E7FB01E257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AEB17A1-3E8F-4BB2-8B93-E7FB01E2575C}"/>
                        </a:ext>
                      </a:extLst>
                    </pic:cNvPr>
                    <pic:cNvPicPr>
                      <a:picLocks noChangeAspect="1"/>
                    </pic:cNvPicPr>
                  </pic:nvPicPr>
                  <pic:blipFill>
                    <a:blip r:embed="rId30"/>
                    <a:stretch>
                      <a:fillRect/>
                    </a:stretch>
                  </pic:blipFill>
                  <pic:spPr>
                    <a:xfrm>
                      <a:off x="0" y="0"/>
                      <a:ext cx="6858000" cy="3623310"/>
                    </a:xfrm>
                    <a:prstGeom prst="rect">
                      <a:avLst/>
                    </a:prstGeom>
                  </pic:spPr>
                </pic:pic>
              </a:graphicData>
            </a:graphic>
          </wp:inline>
        </w:drawing>
      </w:r>
    </w:p>
    <w:p w14:paraId="3BE5917D" w14:textId="6CA6752F" w:rsidR="005936AC" w:rsidRDefault="00C67B63" w:rsidP="008F7760">
      <w:pPr>
        <w:jc w:val="both"/>
      </w:pPr>
      <w:r w:rsidRPr="00E55E02">
        <w:rPr>
          <w:b/>
        </w:rPr>
        <w:t xml:space="preserve">Supplementary Figure 7. Duplicates of Murine Experiments. </w:t>
      </w:r>
      <w:r w:rsidR="0003573C" w:rsidRPr="00E55E02">
        <w:t>Corresponding duplicate figures to Figures 2&amp;3 in main manuscript showing differences in SIY/TRP2 repertoire in na</w:t>
      </w:r>
      <w:r w:rsidR="00B37981" w:rsidRPr="00E55E02">
        <w:t xml:space="preserve">ïve and tumor-bearing setting. </w:t>
      </w:r>
    </w:p>
    <w:p w14:paraId="48EA8250" w14:textId="1E8B138F" w:rsidR="004D6468" w:rsidRDefault="00E67254" w:rsidP="008F7760">
      <w:pPr>
        <w:jc w:val="both"/>
      </w:pPr>
      <w:r>
        <w:rPr>
          <w:noProof/>
        </w:rPr>
        <w:lastRenderedPageBreak/>
        <w:drawing>
          <wp:inline distT="0" distB="0" distL="0" distR="0" wp14:anchorId="53750510" wp14:editId="087F812B">
            <wp:extent cx="6858000" cy="6988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ection_196.png"/>
                    <pic:cNvPicPr/>
                  </pic:nvPicPr>
                  <pic:blipFill>
                    <a:blip r:embed="rId31">
                      <a:extLst>
                        <a:ext uri="{28A0092B-C50C-407E-A947-70E740481C1C}">
                          <a14:useLocalDpi xmlns:a14="http://schemas.microsoft.com/office/drawing/2010/main" val="0"/>
                        </a:ext>
                      </a:extLst>
                    </a:blip>
                    <a:stretch>
                      <a:fillRect/>
                    </a:stretch>
                  </pic:blipFill>
                  <pic:spPr>
                    <a:xfrm>
                      <a:off x="0" y="0"/>
                      <a:ext cx="6858000" cy="6988175"/>
                    </a:xfrm>
                    <a:prstGeom prst="rect">
                      <a:avLst/>
                    </a:prstGeom>
                  </pic:spPr>
                </pic:pic>
              </a:graphicData>
            </a:graphic>
          </wp:inline>
        </w:drawing>
      </w:r>
    </w:p>
    <w:p w14:paraId="587A0C9F" w14:textId="5D430807" w:rsidR="00E67254" w:rsidRDefault="00E67254" w:rsidP="008F7760">
      <w:pPr>
        <w:jc w:val="both"/>
      </w:pPr>
    </w:p>
    <w:p w14:paraId="37AE852F" w14:textId="77777777" w:rsidR="00060716" w:rsidRDefault="00060716" w:rsidP="008F7760">
      <w:pPr>
        <w:jc w:val="both"/>
        <w:rPr>
          <w:b/>
        </w:rPr>
      </w:pPr>
    </w:p>
    <w:p w14:paraId="2E319DEF" w14:textId="77777777" w:rsidR="00060716" w:rsidRDefault="00060716" w:rsidP="008F7760">
      <w:pPr>
        <w:jc w:val="both"/>
        <w:rPr>
          <w:b/>
        </w:rPr>
      </w:pPr>
    </w:p>
    <w:p w14:paraId="3CBF8002" w14:textId="77777777" w:rsidR="00060716" w:rsidRDefault="00060716" w:rsidP="008F7760">
      <w:pPr>
        <w:jc w:val="both"/>
        <w:rPr>
          <w:b/>
        </w:rPr>
      </w:pPr>
    </w:p>
    <w:p w14:paraId="77F2A8A0" w14:textId="77777777" w:rsidR="00060716" w:rsidRDefault="00060716" w:rsidP="008F7760">
      <w:pPr>
        <w:jc w:val="both"/>
        <w:rPr>
          <w:b/>
        </w:rPr>
      </w:pPr>
    </w:p>
    <w:p w14:paraId="21C1B05D" w14:textId="77777777" w:rsidR="00060716" w:rsidRDefault="00060716" w:rsidP="008F7760">
      <w:pPr>
        <w:jc w:val="both"/>
        <w:rPr>
          <w:b/>
        </w:rPr>
      </w:pPr>
    </w:p>
    <w:p w14:paraId="3A634735" w14:textId="77777777" w:rsidR="00060716" w:rsidRDefault="00060716" w:rsidP="008F7760">
      <w:pPr>
        <w:jc w:val="both"/>
        <w:rPr>
          <w:b/>
        </w:rPr>
      </w:pPr>
    </w:p>
    <w:p w14:paraId="56FB995D" w14:textId="6B9248BD" w:rsidR="00060716" w:rsidRPr="00924001" w:rsidRDefault="00E67254" w:rsidP="008F7760">
      <w:pPr>
        <w:jc w:val="both"/>
        <w:rPr>
          <w:b/>
        </w:rPr>
      </w:pPr>
      <w:r w:rsidRPr="00924001">
        <w:rPr>
          <w:b/>
        </w:rPr>
        <w:lastRenderedPageBreak/>
        <w:t xml:space="preserve">Supplementary Figure </w:t>
      </w:r>
      <w:r w:rsidR="0084652C" w:rsidRPr="00924001">
        <w:rPr>
          <w:b/>
        </w:rPr>
        <w:t>8</w:t>
      </w:r>
      <w:r w:rsidRPr="00924001">
        <w:rPr>
          <w:b/>
        </w:rPr>
        <w:t xml:space="preserve">. </w:t>
      </w:r>
      <w:proofErr w:type="spellStart"/>
      <w:r w:rsidRPr="00924001">
        <w:rPr>
          <w:b/>
        </w:rPr>
        <w:t>ImmunoMap</w:t>
      </w:r>
      <w:proofErr w:type="spellEnd"/>
      <w:r w:rsidRPr="00924001">
        <w:rPr>
          <w:b/>
        </w:rPr>
        <w:t xml:space="preserve"> Graphical User Interface</w:t>
      </w:r>
      <w:r w:rsidR="00060716" w:rsidRPr="00924001">
        <w:rPr>
          <w:b/>
        </w:rPr>
        <w:t xml:space="preserve"> &amp; Instructions for Use</w:t>
      </w:r>
      <w:r w:rsidRPr="00924001">
        <w:rPr>
          <w:b/>
        </w:rPr>
        <w:t>.</w:t>
      </w:r>
    </w:p>
    <w:p w14:paraId="6F97CD55" w14:textId="274C157B" w:rsidR="00E67254" w:rsidRPr="00924001" w:rsidRDefault="00060716" w:rsidP="00060716">
      <w:pPr>
        <w:pStyle w:val="ListParagraph"/>
        <w:numPr>
          <w:ilvl w:val="0"/>
          <w:numId w:val="1"/>
        </w:numPr>
        <w:jc w:val="both"/>
      </w:pPr>
      <w:r w:rsidRPr="00924001">
        <w:t xml:space="preserve">User selects files for analysis by pressing the ‘Select Files’ button and importing </w:t>
      </w:r>
      <w:proofErr w:type="spellStart"/>
      <w:r w:rsidRPr="00924001">
        <w:t>tsv</w:t>
      </w:r>
      <w:proofErr w:type="spellEnd"/>
      <w:r w:rsidRPr="00924001">
        <w:t xml:space="preserve"> files of </w:t>
      </w:r>
      <w:proofErr w:type="spellStart"/>
      <w:r w:rsidRPr="00924001">
        <w:t>TCRSeq</w:t>
      </w:r>
      <w:proofErr w:type="spellEnd"/>
      <w:r w:rsidRPr="00924001">
        <w:t xml:space="preserve"> Data exported by Adaptive Biotechnologies. If one has a different source of </w:t>
      </w:r>
      <w:proofErr w:type="spellStart"/>
      <w:r w:rsidRPr="00924001">
        <w:t>TCRSeq</w:t>
      </w:r>
      <w:proofErr w:type="spellEnd"/>
      <w:r w:rsidRPr="00924001">
        <w:t xml:space="preserve">, one can submit a </w:t>
      </w:r>
      <w:proofErr w:type="spellStart"/>
      <w:r w:rsidRPr="00924001">
        <w:t>tsv</w:t>
      </w:r>
      <w:proofErr w:type="spellEnd"/>
      <w:r w:rsidRPr="00924001">
        <w:t xml:space="preserve"> file with the first column being nucleotide sequences, the second column being amino acid sequence, and the third column being number of counts. </w:t>
      </w:r>
    </w:p>
    <w:p w14:paraId="2CE0E0C2" w14:textId="53390B44" w:rsidR="00060716" w:rsidRPr="00924001" w:rsidRDefault="00060716" w:rsidP="00060716">
      <w:pPr>
        <w:pStyle w:val="ListParagraph"/>
        <w:numPr>
          <w:ilvl w:val="0"/>
          <w:numId w:val="1"/>
        </w:numPr>
        <w:jc w:val="both"/>
      </w:pPr>
      <w:r w:rsidRPr="00924001">
        <w:t xml:space="preserve">After importing the files, one can set a variety of </w:t>
      </w:r>
      <w:proofErr w:type="spellStart"/>
      <w:r w:rsidRPr="00924001">
        <w:t>ImmunoMap</w:t>
      </w:r>
      <w:proofErr w:type="spellEnd"/>
      <w:r w:rsidRPr="00924001">
        <w:t xml:space="preserve"> parameters including how much of the file to use, structural homology thresholds, cluster frequency thresholds as well as parameters such as the scoring matrix used and the gap penalty. </w:t>
      </w:r>
    </w:p>
    <w:p w14:paraId="4E721DEC" w14:textId="600E1058" w:rsidR="00060716" w:rsidRPr="00924001" w:rsidRDefault="00060716" w:rsidP="00060716">
      <w:pPr>
        <w:pStyle w:val="ListParagraph"/>
        <w:numPr>
          <w:ilvl w:val="0"/>
          <w:numId w:val="1"/>
        </w:numPr>
        <w:jc w:val="both"/>
      </w:pPr>
      <w:r w:rsidRPr="00924001">
        <w:t xml:space="preserve">After parameters have been set, one highlights the files under the ‘Select Files’ button they want to analyze at </w:t>
      </w:r>
      <w:bookmarkStart w:id="0" w:name="_GoBack"/>
      <w:r w:rsidRPr="00924001">
        <w:t xml:space="preserve">once. At this point, the user can press ‘Run </w:t>
      </w:r>
      <w:proofErr w:type="spellStart"/>
      <w:r w:rsidRPr="00924001">
        <w:t>Immunomap</w:t>
      </w:r>
      <w:proofErr w:type="spellEnd"/>
      <w:r w:rsidRPr="00924001">
        <w:t xml:space="preserve">’ and get a table of all relevant </w:t>
      </w:r>
      <w:proofErr w:type="spellStart"/>
      <w:r w:rsidRPr="00924001">
        <w:t>ImmunoMap</w:t>
      </w:r>
      <w:proofErr w:type="spellEnd"/>
      <w:r w:rsidRPr="00924001">
        <w:t xml:space="preserve"> metrics for </w:t>
      </w:r>
      <w:bookmarkEnd w:id="0"/>
      <w:r w:rsidRPr="00924001">
        <w:t xml:space="preserve">their respective files. </w:t>
      </w:r>
      <w:r w:rsidR="003F1483" w:rsidRPr="00924001">
        <w:t xml:space="preserve">For each file, they can view the multiple alignments of their dominant motifs by selecting the file and the motif in the window to the right and pressing ‘Visualize Dominant Motifs.’ </w:t>
      </w:r>
      <w:r w:rsidR="006F5E55" w:rsidRPr="00924001">
        <w:t xml:space="preserve">Finally, one can save a csv file with all the summarized </w:t>
      </w:r>
      <w:proofErr w:type="spellStart"/>
      <w:r w:rsidR="006F5E55" w:rsidRPr="00924001">
        <w:t>ImmunoMap</w:t>
      </w:r>
      <w:proofErr w:type="spellEnd"/>
      <w:r w:rsidR="006F5E55" w:rsidRPr="00924001">
        <w:t xml:space="preserve"> metrics by pressing the ‘Save Table to CSV’ button. This file can be opened by Microsoft Excel using a comma as the delimiter. </w:t>
      </w:r>
    </w:p>
    <w:p w14:paraId="6B842561" w14:textId="53380418" w:rsidR="003F1483" w:rsidRPr="00924001" w:rsidRDefault="00F571B2" w:rsidP="00060716">
      <w:pPr>
        <w:pStyle w:val="ListParagraph"/>
        <w:numPr>
          <w:ilvl w:val="0"/>
          <w:numId w:val="1"/>
        </w:numPr>
        <w:jc w:val="both"/>
      </w:pPr>
      <w:r w:rsidRPr="00924001">
        <w:t>If one desire</w:t>
      </w:r>
      <w:r w:rsidR="00043434" w:rsidRPr="00924001">
        <w:t>s</w:t>
      </w:r>
      <w:r w:rsidRPr="00924001">
        <w:t xml:space="preserve"> to compare multiple files by visualizing them by the Weighted Repertoire Dendrograms, they </w:t>
      </w:r>
      <w:r w:rsidR="00B62A52" w:rsidRPr="00924001">
        <w:t xml:space="preserve">can highlight the desired files for visualization in the window beneath the ‘Select Files’ button and press ‘View Weighted Repertoire Dendrogram.’ </w:t>
      </w:r>
    </w:p>
    <w:p w14:paraId="1E91A824" w14:textId="563770C2" w:rsidR="00B62A52" w:rsidRPr="00924001" w:rsidRDefault="00B62A52" w:rsidP="00060716">
      <w:pPr>
        <w:pStyle w:val="ListParagraph"/>
        <w:numPr>
          <w:ilvl w:val="0"/>
          <w:numId w:val="1"/>
        </w:numPr>
        <w:jc w:val="both"/>
      </w:pPr>
      <w:r w:rsidRPr="00924001">
        <w:t>Finally, if one desires to compare two repertoires by seeing the percent of structural overlap as well shared dominant motifs, one should select the two files</w:t>
      </w:r>
      <w:r w:rsidR="002741AA" w:rsidRPr="00924001">
        <w:t xml:space="preserve"> they want to compare in the</w:t>
      </w:r>
      <w:r w:rsidRPr="00924001">
        <w:t xml:space="preserve"> drop </w:t>
      </w:r>
      <w:proofErr w:type="gramStart"/>
      <w:r w:rsidRPr="00924001">
        <w:t>menu’s</w:t>
      </w:r>
      <w:proofErr w:type="gramEnd"/>
      <w:r w:rsidRPr="00924001">
        <w:t xml:space="preserve"> provided and press the ‘Compare Two Repertoires’ button. </w:t>
      </w:r>
    </w:p>
    <w:sectPr w:rsidR="00B62A52" w:rsidRPr="00924001" w:rsidSect="006D5D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A06"/>
    <w:multiLevelType w:val="hybridMultilevel"/>
    <w:tmpl w:val="0CC2C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1D"/>
    <w:rsid w:val="0003573C"/>
    <w:rsid w:val="00040E0A"/>
    <w:rsid w:val="00042A1D"/>
    <w:rsid w:val="00042D34"/>
    <w:rsid w:val="00043434"/>
    <w:rsid w:val="00055217"/>
    <w:rsid w:val="00060716"/>
    <w:rsid w:val="000649CF"/>
    <w:rsid w:val="0008331B"/>
    <w:rsid w:val="000C4E5D"/>
    <w:rsid w:val="000E185F"/>
    <w:rsid w:val="000E3D2C"/>
    <w:rsid w:val="00114F0B"/>
    <w:rsid w:val="0013143A"/>
    <w:rsid w:val="00137D5E"/>
    <w:rsid w:val="001D51C2"/>
    <w:rsid w:val="00223FE6"/>
    <w:rsid w:val="002347A0"/>
    <w:rsid w:val="0024104F"/>
    <w:rsid w:val="0026348D"/>
    <w:rsid w:val="002741AA"/>
    <w:rsid w:val="00276893"/>
    <w:rsid w:val="002B112A"/>
    <w:rsid w:val="002C73FE"/>
    <w:rsid w:val="002D3332"/>
    <w:rsid w:val="002E5DF8"/>
    <w:rsid w:val="002F2796"/>
    <w:rsid w:val="0035109D"/>
    <w:rsid w:val="00354DA4"/>
    <w:rsid w:val="003A3396"/>
    <w:rsid w:val="003C62B4"/>
    <w:rsid w:val="003F1483"/>
    <w:rsid w:val="004102E4"/>
    <w:rsid w:val="00430EFB"/>
    <w:rsid w:val="00471F17"/>
    <w:rsid w:val="00492F7A"/>
    <w:rsid w:val="004B4C7C"/>
    <w:rsid w:val="004D6468"/>
    <w:rsid w:val="004E2C55"/>
    <w:rsid w:val="004E40B9"/>
    <w:rsid w:val="004F0CD6"/>
    <w:rsid w:val="005411B3"/>
    <w:rsid w:val="005852CD"/>
    <w:rsid w:val="005936AC"/>
    <w:rsid w:val="005F0618"/>
    <w:rsid w:val="00614522"/>
    <w:rsid w:val="0063276F"/>
    <w:rsid w:val="006A7303"/>
    <w:rsid w:val="006B38CF"/>
    <w:rsid w:val="006D3F22"/>
    <w:rsid w:val="006D5D7E"/>
    <w:rsid w:val="006E567D"/>
    <w:rsid w:val="006E6503"/>
    <w:rsid w:val="006F2676"/>
    <w:rsid w:val="006F5E55"/>
    <w:rsid w:val="006F7B66"/>
    <w:rsid w:val="00725AE7"/>
    <w:rsid w:val="00791B10"/>
    <w:rsid w:val="007A0ADC"/>
    <w:rsid w:val="00811394"/>
    <w:rsid w:val="0084652C"/>
    <w:rsid w:val="008D046A"/>
    <w:rsid w:val="008D20FB"/>
    <w:rsid w:val="008D7EC3"/>
    <w:rsid w:val="008E0D07"/>
    <w:rsid w:val="008E6990"/>
    <w:rsid w:val="008F2054"/>
    <w:rsid w:val="008F7760"/>
    <w:rsid w:val="00924001"/>
    <w:rsid w:val="00927980"/>
    <w:rsid w:val="00940520"/>
    <w:rsid w:val="00944A1A"/>
    <w:rsid w:val="00957981"/>
    <w:rsid w:val="00963810"/>
    <w:rsid w:val="009B0305"/>
    <w:rsid w:val="00A30F4F"/>
    <w:rsid w:val="00A3467C"/>
    <w:rsid w:val="00A64598"/>
    <w:rsid w:val="00A6550D"/>
    <w:rsid w:val="00A85664"/>
    <w:rsid w:val="00B37981"/>
    <w:rsid w:val="00B420FA"/>
    <w:rsid w:val="00B62A52"/>
    <w:rsid w:val="00B72F8C"/>
    <w:rsid w:val="00B7447E"/>
    <w:rsid w:val="00BC41C3"/>
    <w:rsid w:val="00BD0BE5"/>
    <w:rsid w:val="00BE068B"/>
    <w:rsid w:val="00C376E9"/>
    <w:rsid w:val="00C56FD9"/>
    <w:rsid w:val="00C60E3F"/>
    <w:rsid w:val="00C67B63"/>
    <w:rsid w:val="00C84FF5"/>
    <w:rsid w:val="00CC16CF"/>
    <w:rsid w:val="00CC46A2"/>
    <w:rsid w:val="00D537A1"/>
    <w:rsid w:val="00DB077F"/>
    <w:rsid w:val="00DD365B"/>
    <w:rsid w:val="00E55E02"/>
    <w:rsid w:val="00E67254"/>
    <w:rsid w:val="00E74E4E"/>
    <w:rsid w:val="00EC3EE8"/>
    <w:rsid w:val="00EE1E2A"/>
    <w:rsid w:val="00EE5DFF"/>
    <w:rsid w:val="00F462A1"/>
    <w:rsid w:val="00F571B2"/>
    <w:rsid w:val="00FA1EF9"/>
    <w:rsid w:val="00FB5E62"/>
    <w:rsid w:val="00FC43BB"/>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99B4532"/>
  <w15:chartTrackingRefBased/>
  <w15:docId w15:val="{AA31A18D-2893-45B2-ABE4-6D034DCA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C7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4B4C7C"/>
    <w:rPr>
      <w:color w:val="808080"/>
    </w:rPr>
  </w:style>
  <w:style w:type="character" w:styleId="CommentReference">
    <w:name w:val="annotation reference"/>
    <w:basedOn w:val="DefaultParagraphFont"/>
    <w:uiPriority w:val="99"/>
    <w:semiHidden/>
    <w:unhideWhenUsed/>
    <w:rsid w:val="00C84FF5"/>
    <w:rPr>
      <w:sz w:val="16"/>
      <w:szCs w:val="16"/>
    </w:rPr>
  </w:style>
  <w:style w:type="paragraph" w:styleId="CommentText">
    <w:name w:val="annotation text"/>
    <w:basedOn w:val="Normal"/>
    <w:link w:val="CommentTextChar"/>
    <w:uiPriority w:val="99"/>
    <w:semiHidden/>
    <w:unhideWhenUsed/>
    <w:rsid w:val="00C84FF5"/>
    <w:pPr>
      <w:spacing w:line="240" w:lineRule="auto"/>
    </w:pPr>
    <w:rPr>
      <w:sz w:val="20"/>
      <w:szCs w:val="20"/>
    </w:rPr>
  </w:style>
  <w:style w:type="character" w:customStyle="1" w:styleId="CommentTextChar">
    <w:name w:val="Comment Text Char"/>
    <w:basedOn w:val="DefaultParagraphFont"/>
    <w:link w:val="CommentText"/>
    <w:uiPriority w:val="99"/>
    <w:semiHidden/>
    <w:rsid w:val="00C84FF5"/>
    <w:rPr>
      <w:sz w:val="20"/>
      <w:szCs w:val="20"/>
    </w:rPr>
  </w:style>
  <w:style w:type="paragraph" w:styleId="CommentSubject">
    <w:name w:val="annotation subject"/>
    <w:basedOn w:val="CommentText"/>
    <w:next w:val="CommentText"/>
    <w:link w:val="CommentSubjectChar"/>
    <w:uiPriority w:val="99"/>
    <w:semiHidden/>
    <w:unhideWhenUsed/>
    <w:rsid w:val="00C84FF5"/>
    <w:rPr>
      <w:b/>
      <w:bCs/>
    </w:rPr>
  </w:style>
  <w:style w:type="character" w:customStyle="1" w:styleId="CommentSubjectChar">
    <w:name w:val="Comment Subject Char"/>
    <w:basedOn w:val="CommentTextChar"/>
    <w:link w:val="CommentSubject"/>
    <w:uiPriority w:val="99"/>
    <w:semiHidden/>
    <w:rsid w:val="00C84FF5"/>
    <w:rPr>
      <w:b/>
      <w:bCs/>
      <w:sz w:val="20"/>
      <w:szCs w:val="20"/>
    </w:rPr>
  </w:style>
  <w:style w:type="paragraph" w:styleId="Revision">
    <w:name w:val="Revision"/>
    <w:hidden/>
    <w:uiPriority w:val="99"/>
    <w:semiHidden/>
    <w:rsid w:val="00C84FF5"/>
    <w:pPr>
      <w:spacing w:after="0" w:line="240" w:lineRule="auto"/>
    </w:pPr>
  </w:style>
  <w:style w:type="paragraph" w:styleId="BalloonText">
    <w:name w:val="Balloon Text"/>
    <w:basedOn w:val="Normal"/>
    <w:link w:val="BalloonTextChar"/>
    <w:uiPriority w:val="99"/>
    <w:semiHidden/>
    <w:unhideWhenUsed/>
    <w:rsid w:val="00C84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FF5"/>
    <w:rPr>
      <w:rFonts w:ascii="Segoe UI" w:hAnsi="Segoe UI" w:cs="Segoe UI"/>
      <w:sz w:val="18"/>
      <w:szCs w:val="18"/>
    </w:rPr>
  </w:style>
  <w:style w:type="paragraph" w:styleId="ListParagraph">
    <w:name w:val="List Paragraph"/>
    <w:basedOn w:val="Normal"/>
    <w:uiPriority w:val="34"/>
    <w:qFormat/>
    <w:rsid w:val="00060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24" Type="http://schemas.openxmlformats.org/officeDocument/2006/relationships/image" Target="media/image1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5.png"/><Relationship Id="rId10" Type="http://schemas.openxmlformats.org/officeDocument/2006/relationships/image" Target="media/image6.emf"/><Relationship Id="rId19" Type="http://schemas.openxmlformats.org/officeDocument/2006/relationships/oleObject" Target="embeddings/oleObject4.bin"/><Relationship Id="rId31" Type="http://schemas.openxmlformats.org/officeDocument/2006/relationships/image" Target="media/image18.png"/><Relationship Id="rId4" Type="http://schemas.openxmlformats.org/officeDocument/2006/relationships/settings" Target="settings.xml"/><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BB2BA-A502-4246-83B8-0AC742C9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936</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Quann, Karen</cp:lastModifiedBy>
  <cp:revision>2</cp:revision>
  <dcterms:created xsi:type="dcterms:W3CDTF">2017-12-11T18:01:00Z</dcterms:created>
  <dcterms:modified xsi:type="dcterms:W3CDTF">2017-12-11T18:01:00Z</dcterms:modified>
</cp:coreProperties>
</file>