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9D929" w14:textId="7E151173" w:rsidR="000B61D8" w:rsidRDefault="00A63BCE" w:rsidP="009426ED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094B5235" wp14:editId="3D328CC1">
            <wp:extent cx="5943600" cy="22866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up 1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86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BAD599" w14:textId="77777777" w:rsidR="000B61D8" w:rsidRDefault="000B61D8" w:rsidP="009426ED">
      <w:pPr>
        <w:jc w:val="both"/>
        <w:rPr>
          <w:b/>
          <w:sz w:val="24"/>
          <w:szCs w:val="24"/>
        </w:rPr>
      </w:pPr>
    </w:p>
    <w:p w14:paraId="19B92451" w14:textId="7C0FDD2F" w:rsidR="00A63BCE" w:rsidRDefault="00266C45" w:rsidP="009426ED">
      <w:pPr>
        <w:jc w:val="both"/>
        <w:rPr>
          <w:sz w:val="24"/>
          <w:szCs w:val="24"/>
        </w:rPr>
      </w:pPr>
      <w:r w:rsidRPr="00457652">
        <w:rPr>
          <w:b/>
          <w:sz w:val="24"/>
          <w:szCs w:val="24"/>
        </w:rPr>
        <w:t xml:space="preserve">Figure </w:t>
      </w:r>
      <w:r>
        <w:rPr>
          <w:b/>
          <w:sz w:val="24"/>
          <w:szCs w:val="24"/>
        </w:rPr>
        <w:t>S1</w:t>
      </w:r>
      <w:r w:rsidRPr="00457652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 </w:t>
      </w:r>
      <w:r w:rsidR="008359A7">
        <w:rPr>
          <w:b/>
          <w:sz w:val="24"/>
          <w:szCs w:val="24"/>
        </w:rPr>
        <w:t xml:space="preserve">TLR stimulation at the time of T-cell activation with lower affinity epitopes </w:t>
      </w:r>
      <w:r w:rsidR="008359A7">
        <w:rPr>
          <w:b/>
          <w:i/>
          <w:sz w:val="24"/>
          <w:szCs w:val="24"/>
        </w:rPr>
        <w:t xml:space="preserve">in vitro </w:t>
      </w:r>
      <w:r w:rsidR="008359A7">
        <w:rPr>
          <w:b/>
          <w:sz w:val="24"/>
          <w:szCs w:val="24"/>
        </w:rPr>
        <w:t>affects expression of PD-1.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OT-1 </w:t>
      </w:r>
      <w:proofErr w:type="spellStart"/>
      <w:r>
        <w:rPr>
          <w:sz w:val="24"/>
          <w:szCs w:val="24"/>
        </w:rPr>
        <w:t>s</w:t>
      </w:r>
      <w:r w:rsidRPr="008C2A5D">
        <w:rPr>
          <w:sz w:val="24"/>
          <w:szCs w:val="24"/>
        </w:rPr>
        <w:t>plenocytes</w:t>
      </w:r>
      <w:proofErr w:type="spellEnd"/>
      <w:r w:rsidRPr="008C2A5D">
        <w:rPr>
          <w:sz w:val="24"/>
          <w:szCs w:val="24"/>
        </w:rPr>
        <w:t xml:space="preserve"> were stimulated </w:t>
      </w:r>
      <w:r>
        <w:rPr>
          <w:sz w:val="24"/>
          <w:szCs w:val="24"/>
        </w:rPr>
        <w:t>with either the moderate affinity SIINTEKL (</w:t>
      </w:r>
      <w:r w:rsidR="003322DC">
        <w:rPr>
          <w:sz w:val="24"/>
          <w:szCs w:val="24"/>
        </w:rPr>
        <w:t xml:space="preserve">panel </w:t>
      </w:r>
      <w:r w:rsidR="001D6BB7">
        <w:rPr>
          <w:sz w:val="24"/>
          <w:szCs w:val="24"/>
        </w:rPr>
        <w:t>A) or</w:t>
      </w:r>
      <w:r>
        <w:rPr>
          <w:sz w:val="24"/>
          <w:szCs w:val="24"/>
        </w:rPr>
        <w:t xml:space="preserve"> the low affinity SIINFEKP (</w:t>
      </w:r>
      <w:r w:rsidR="003322DC">
        <w:rPr>
          <w:sz w:val="24"/>
          <w:szCs w:val="24"/>
        </w:rPr>
        <w:t xml:space="preserve">panel </w:t>
      </w:r>
      <w:r>
        <w:rPr>
          <w:sz w:val="24"/>
          <w:szCs w:val="24"/>
        </w:rPr>
        <w:t xml:space="preserve">B) peptides, alone or in combination with the designated TLR agonists. At daily intervals up to 4 days, the expression of PD-1, LAG3, and 4-1BB was assessed by flow cytometry. </w:t>
      </w:r>
      <w:r w:rsidR="00665183" w:rsidRPr="00116BB4">
        <w:rPr>
          <w:sz w:val="24"/>
          <w:szCs w:val="24"/>
        </w:rPr>
        <w:t>Asterisks indicate</w:t>
      </w:r>
      <w:r w:rsidR="00D63423">
        <w:rPr>
          <w:sz w:val="24"/>
          <w:szCs w:val="24"/>
        </w:rPr>
        <w:t xml:space="preserve"> </w:t>
      </w:r>
      <w:r w:rsidR="001D6BB7">
        <w:rPr>
          <w:sz w:val="24"/>
          <w:szCs w:val="24"/>
        </w:rPr>
        <w:t>p</w:t>
      </w:r>
      <w:r w:rsidR="00665183">
        <w:rPr>
          <w:sz w:val="24"/>
          <w:szCs w:val="24"/>
        </w:rPr>
        <w:t xml:space="preserve">&lt;0.01. </w:t>
      </w:r>
      <w:r w:rsidRPr="00572252">
        <w:rPr>
          <w:sz w:val="24"/>
          <w:szCs w:val="24"/>
        </w:rPr>
        <w:t xml:space="preserve">Results are from one experiment, with samples assessed in triplicate, and are representative of two </w:t>
      </w:r>
      <w:r w:rsidR="001D6BB7">
        <w:rPr>
          <w:sz w:val="24"/>
          <w:szCs w:val="24"/>
        </w:rPr>
        <w:t>independent</w:t>
      </w:r>
      <w:r w:rsidRPr="00572252">
        <w:rPr>
          <w:sz w:val="24"/>
          <w:szCs w:val="24"/>
        </w:rPr>
        <w:t xml:space="preserve"> experiments.</w:t>
      </w:r>
      <w:r>
        <w:rPr>
          <w:sz w:val="24"/>
          <w:szCs w:val="24"/>
        </w:rPr>
        <w:t xml:space="preserve">  </w:t>
      </w:r>
    </w:p>
    <w:p w14:paraId="6B9A12A4" w14:textId="77777777" w:rsidR="00A63BCE" w:rsidRDefault="00A63BCE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E1E1BA6" w14:textId="6AF99F17" w:rsidR="00A63BCE" w:rsidRDefault="005D0F21">
      <w:pPr>
        <w:spacing w:after="160" w:line="259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55931E4" wp14:editId="3691793D">
            <wp:extent cx="5943600" cy="213804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up 2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38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0DFC09" w14:textId="77777777" w:rsidR="00A63BCE" w:rsidRDefault="00A63BCE">
      <w:pPr>
        <w:spacing w:after="160" w:line="259" w:lineRule="auto"/>
        <w:rPr>
          <w:sz w:val="24"/>
          <w:szCs w:val="24"/>
        </w:rPr>
      </w:pPr>
    </w:p>
    <w:p w14:paraId="3F8AE64C" w14:textId="3549B582" w:rsidR="00A63BCE" w:rsidRDefault="00A63BCE" w:rsidP="00A63BCE">
      <w:pPr>
        <w:jc w:val="both"/>
        <w:rPr>
          <w:sz w:val="24"/>
          <w:szCs w:val="24"/>
        </w:rPr>
      </w:pPr>
      <w:r w:rsidRPr="00457652">
        <w:rPr>
          <w:b/>
          <w:sz w:val="24"/>
          <w:szCs w:val="24"/>
        </w:rPr>
        <w:t xml:space="preserve">Figure </w:t>
      </w:r>
      <w:r>
        <w:rPr>
          <w:b/>
          <w:sz w:val="24"/>
          <w:szCs w:val="24"/>
        </w:rPr>
        <w:t>S2</w:t>
      </w:r>
      <w:r w:rsidRPr="00457652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 TLR stimulation at the time of T-cell activation </w:t>
      </w:r>
      <w:r>
        <w:rPr>
          <w:b/>
          <w:i/>
          <w:sz w:val="24"/>
          <w:szCs w:val="24"/>
        </w:rPr>
        <w:t xml:space="preserve">in vitro </w:t>
      </w:r>
      <w:r>
        <w:rPr>
          <w:b/>
          <w:sz w:val="24"/>
          <w:szCs w:val="24"/>
        </w:rPr>
        <w:t xml:space="preserve">does not reduce </w:t>
      </w:r>
      <w:r>
        <w:rPr>
          <w:b/>
          <w:sz w:val="24"/>
          <w:szCs w:val="24"/>
        </w:rPr>
        <w:t xml:space="preserve">expression of </w:t>
      </w:r>
      <w:r>
        <w:rPr>
          <w:b/>
          <w:sz w:val="24"/>
          <w:szCs w:val="24"/>
        </w:rPr>
        <w:t>other T-cell checkpoint mo</w:t>
      </w:r>
      <w:r w:rsidR="00671925">
        <w:rPr>
          <w:b/>
          <w:sz w:val="24"/>
          <w:szCs w:val="24"/>
        </w:rPr>
        <w:t>l</w:t>
      </w:r>
      <w:r>
        <w:rPr>
          <w:b/>
          <w:sz w:val="24"/>
          <w:szCs w:val="24"/>
        </w:rPr>
        <w:t>ecules</w:t>
      </w:r>
      <w:r>
        <w:rPr>
          <w:b/>
          <w:sz w:val="24"/>
          <w:szCs w:val="24"/>
        </w:rPr>
        <w:t xml:space="preserve">.  </w:t>
      </w:r>
      <w:r>
        <w:rPr>
          <w:sz w:val="24"/>
          <w:szCs w:val="24"/>
        </w:rPr>
        <w:t xml:space="preserve">OT-1 </w:t>
      </w:r>
      <w:proofErr w:type="spellStart"/>
      <w:r>
        <w:rPr>
          <w:sz w:val="24"/>
          <w:szCs w:val="24"/>
        </w:rPr>
        <w:t>s</w:t>
      </w:r>
      <w:r w:rsidRPr="008C2A5D">
        <w:rPr>
          <w:sz w:val="24"/>
          <w:szCs w:val="24"/>
        </w:rPr>
        <w:t>plenocytes</w:t>
      </w:r>
      <w:proofErr w:type="spellEnd"/>
      <w:r w:rsidRPr="008C2A5D">
        <w:rPr>
          <w:sz w:val="24"/>
          <w:szCs w:val="24"/>
        </w:rPr>
        <w:t xml:space="preserve"> were stimulated </w:t>
      </w:r>
      <w:r>
        <w:rPr>
          <w:i/>
          <w:sz w:val="24"/>
          <w:szCs w:val="24"/>
        </w:rPr>
        <w:t xml:space="preserve">in vitro </w:t>
      </w:r>
      <w:r>
        <w:rPr>
          <w:sz w:val="24"/>
          <w:szCs w:val="24"/>
        </w:rPr>
        <w:t xml:space="preserve">with </w:t>
      </w:r>
      <w:r>
        <w:rPr>
          <w:sz w:val="24"/>
          <w:szCs w:val="24"/>
        </w:rPr>
        <w:t xml:space="preserve">SIINFEKL peptide </w:t>
      </w:r>
      <w:r>
        <w:rPr>
          <w:sz w:val="24"/>
          <w:szCs w:val="24"/>
        </w:rPr>
        <w:t xml:space="preserve">alone or in combination with the designated TLR agonists. At daily intervals up to 4 days, the expression of </w:t>
      </w:r>
      <w:r w:rsidR="005D0F21">
        <w:rPr>
          <w:sz w:val="24"/>
          <w:szCs w:val="24"/>
        </w:rPr>
        <w:t xml:space="preserve">additional </w:t>
      </w:r>
      <w:r>
        <w:rPr>
          <w:sz w:val="24"/>
          <w:szCs w:val="24"/>
        </w:rPr>
        <w:t xml:space="preserve">immune checkpoints (CTLA-4, TIM3, VISTA, CD244.2, TIGIT, and CD160) was assessed by flow cytometry. </w:t>
      </w:r>
      <w:r w:rsidRPr="00116BB4">
        <w:rPr>
          <w:sz w:val="24"/>
          <w:szCs w:val="24"/>
        </w:rPr>
        <w:t>Asterisks indicate</w:t>
      </w:r>
      <w:r>
        <w:rPr>
          <w:sz w:val="24"/>
          <w:szCs w:val="24"/>
        </w:rPr>
        <w:t xml:space="preserve"> p&lt;0.01. </w:t>
      </w:r>
      <w:r w:rsidRPr="00572252">
        <w:rPr>
          <w:sz w:val="24"/>
          <w:szCs w:val="24"/>
        </w:rPr>
        <w:t xml:space="preserve">Results are from one experiment, with samples assessed in triplicate, and are representative of two </w:t>
      </w:r>
      <w:r>
        <w:rPr>
          <w:sz w:val="24"/>
          <w:szCs w:val="24"/>
        </w:rPr>
        <w:t>independent</w:t>
      </w:r>
      <w:r w:rsidRPr="00572252">
        <w:rPr>
          <w:sz w:val="24"/>
          <w:szCs w:val="24"/>
        </w:rPr>
        <w:t xml:space="preserve"> experiments.</w:t>
      </w:r>
      <w:r>
        <w:rPr>
          <w:sz w:val="24"/>
          <w:szCs w:val="24"/>
        </w:rPr>
        <w:t xml:space="preserve">  </w:t>
      </w:r>
    </w:p>
    <w:p w14:paraId="3A4BDB29" w14:textId="6417B1D4" w:rsidR="00A63BCE" w:rsidRDefault="00A63BCE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  <w:bookmarkStart w:id="0" w:name="_GoBack"/>
      <w:bookmarkEnd w:id="0"/>
    </w:p>
    <w:p w14:paraId="34C2D4F5" w14:textId="77777777" w:rsidR="00266C45" w:rsidRDefault="00266C45" w:rsidP="009426ED">
      <w:pPr>
        <w:jc w:val="both"/>
        <w:rPr>
          <w:sz w:val="24"/>
          <w:szCs w:val="24"/>
        </w:rPr>
      </w:pPr>
    </w:p>
    <w:p w14:paraId="6EB2E967" w14:textId="37E3D4E6" w:rsidR="000B61D8" w:rsidRDefault="003322DC" w:rsidP="009426ED">
      <w:pPr>
        <w:spacing w:after="160" w:line="259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3A6B47C2" wp14:editId="712FE589">
            <wp:extent cx="5943600" cy="1704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pplemental anti-CD80.tif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359"/>
                    <a:stretch/>
                  </pic:blipFill>
                  <pic:spPr bwMode="auto">
                    <a:xfrm>
                      <a:off x="0" y="0"/>
                      <a:ext cx="5943600" cy="1704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1FC53B" w14:textId="599E0F79" w:rsidR="00266C45" w:rsidRDefault="00266C45" w:rsidP="009426ED">
      <w:pPr>
        <w:jc w:val="both"/>
        <w:rPr>
          <w:sz w:val="24"/>
          <w:szCs w:val="24"/>
        </w:rPr>
      </w:pPr>
    </w:p>
    <w:p w14:paraId="5E9E94BD" w14:textId="04BD09AE" w:rsidR="000B61D8" w:rsidRDefault="000B61D8" w:rsidP="009426ED">
      <w:pPr>
        <w:jc w:val="both"/>
        <w:rPr>
          <w:sz w:val="24"/>
          <w:szCs w:val="24"/>
        </w:rPr>
      </w:pPr>
    </w:p>
    <w:p w14:paraId="632904B7" w14:textId="77777777" w:rsidR="000B61D8" w:rsidRDefault="000B61D8" w:rsidP="009426ED">
      <w:pPr>
        <w:jc w:val="both"/>
        <w:rPr>
          <w:sz w:val="24"/>
          <w:szCs w:val="24"/>
        </w:rPr>
      </w:pPr>
    </w:p>
    <w:p w14:paraId="4D4506D7" w14:textId="77777777" w:rsidR="00404D70" w:rsidRDefault="005D0F21" w:rsidP="009426ED">
      <w:pPr>
        <w:jc w:val="both"/>
      </w:pPr>
    </w:p>
    <w:p w14:paraId="6C2436F3" w14:textId="27C27335" w:rsidR="00065B8F" w:rsidRDefault="00065B8F" w:rsidP="009426ED">
      <w:pPr>
        <w:jc w:val="both"/>
        <w:rPr>
          <w:sz w:val="24"/>
          <w:szCs w:val="24"/>
        </w:rPr>
      </w:pPr>
      <w:r w:rsidRPr="00457652">
        <w:rPr>
          <w:b/>
          <w:sz w:val="24"/>
          <w:szCs w:val="24"/>
        </w:rPr>
        <w:t xml:space="preserve">Figure </w:t>
      </w:r>
      <w:r w:rsidR="009A7893">
        <w:rPr>
          <w:b/>
          <w:sz w:val="24"/>
          <w:szCs w:val="24"/>
        </w:rPr>
        <w:t>S</w:t>
      </w:r>
      <w:r w:rsidR="00A63BCE">
        <w:rPr>
          <w:b/>
          <w:sz w:val="24"/>
          <w:szCs w:val="24"/>
        </w:rPr>
        <w:t>3</w:t>
      </w:r>
      <w:r w:rsidRPr="00457652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 TLR stimulation at the time of T-cell activation </w:t>
      </w:r>
      <w:r>
        <w:rPr>
          <w:b/>
          <w:i/>
          <w:sz w:val="24"/>
          <w:szCs w:val="24"/>
        </w:rPr>
        <w:t xml:space="preserve">in vitro </w:t>
      </w:r>
      <w:r>
        <w:rPr>
          <w:b/>
          <w:sz w:val="24"/>
          <w:szCs w:val="24"/>
        </w:rPr>
        <w:t xml:space="preserve">affects expression of </w:t>
      </w:r>
      <w:r w:rsidR="001E1A06">
        <w:rPr>
          <w:b/>
          <w:sz w:val="24"/>
          <w:szCs w:val="24"/>
        </w:rPr>
        <w:t>PD-1 that is not affected by blockade of CD80, CD86, or OX40</w:t>
      </w:r>
      <w:r w:rsidR="005175CD">
        <w:rPr>
          <w:b/>
          <w:sz w:val="24"/>
          <w:szCs w:val="24"/>
        </w:rPr>
        <w:t>L</w:t>
      </w:r>
      <w:r>
        <w:rPr>
          <w:b/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Splenocytes</w:t>
      </w:r>
      <w:proofErr w:type="spellEnd"/>
      <w:r>
        <w:rPr>
          <w:sz w:val="24"/>
          <w:szCs w:val="24"/>
        </w:rPr>
        <w:t xml:space="preserve"> were prepared from the spleens of OT-1 mice and stimulated </w:t>
      </w:r>
      <w:r w:rsidRPr="002237D6">
        <w:rPr>
          <w:i/>
          <w:sz w:val="24"/>
          <w:szCs w:val="24"/>
        </w:rPr>
        <w:t>in vitro</w:t>
      </w:r>
      <w:r>
        <w:rPr>
          <w:sz w:val="24"/>
          <w:szCs w:val="24"/>
        </w:rPr>
        <w:t xml:space="preserve"> with the SIINFEKL (OVA) peptide in the presence or absence of specific TLR agonists </w:t>
      </w:r>
      <w:r w:rsidRPr="00202408">
        <w:rPr>
          <w:sz w:val="24"/>
          <w:szCs w:val="24"/>
        </w:rPr>
        <w:t xml:space="preserve">(TLR </w:t>
      </w:r>
      <w:r>
        <w:rPr>
          <w:sz w:val="24"/>
          <w:szCs w:val="24"/>
        </w:rPr>
        <w:t>1/2</w:t>
      </w:r>
      <w:r w:rsidRPr="00202408">
        <w:rPr>
          <w:sz w:val="24"/>
          <w:szCs w:val="24"/>
        </w:rPr>
        <w:t xml:space="preserve"> </w:t>
      </w:r>
      <w:r>
        <w:rPr>
          <w:sz w:val="24"/>
          <w:szCs w:val="24"/>
        </w:rPr>
        <w:t>(Pam3CSK4) or</w:t>
      </w:r>
      <w:r w:rsidRPr="0020240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TLR 9 (ODN1826), or blocking antibodies for </w:t>
      </w:r>
      <w:bookmarkStart w:id="1" w:name="OLE_LINK1"/>
      <w:r>
        <w:rPr>
          <w:sz w:val="24"/>
          <w:szCs w:val="24"/>
        </w:rPr>
        <w:t>OX40L (</w:t>
      </w:r>
      <w:r w:rsidRPr="00065B8F">
        <w:rPr>
          <w:sz w:val="24"/>
          <w:szCs w:val="24"/>
        </w:rPr>
        <w:t>0.05 µg/mL</w:t>
      </w:r>
      <w:r>
        <w:rPr>
          <w:sz w:val="24"/>
          <w:szCs w:val="24"/>
        </w:rPr>
        <w:t>), CD80 (</w:t>
      </w:r>
      <w:r w:rsidRPr="00065B8F">
        <w:rPr>
          <w:sz w:val="24"/>
          <w:szCs w:val="24"/>
        </w:rPr>
        <w:t>0.6 µg/mL</w:t>
      </w:r>
      <w:r>
        <w:rPr>
          <w:sz w:val="24"/>
          <w:szCs w:val="24"/>
        </w:rPr>
        <w:t>), or CD86 (</w:t>
      </w:r>
      <w:r w:rsidRPr="00065B8F">
        <w:rPr>
          <w:sz w:val="24"/>
          <w:szCs w:val="24"/>
        </w:rPr>
        <w:t>5 µg/mL</w:t>
      </w:r>
      <w:r>
        <w:rPr>
          <w:sz w:val="24"/>
          <w:szCs w:val="24"/>
        </w:rPr>
        <w:t>)</w:t>
      </w:r>
      <w:bookmarkEnd w:id="1"/>
      <w:r w:rsidRPr="00202408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Shown is the MFI of PD-1 </w:t>
      </w:r>
      <w:r w:rsidR="003322DC">
        <w:rPr>
          <w:sz w:val="24"/>
          <w:szCs w:val="24"/>
        </w:rPr>
        <w:t xml:space="preserve">(panel A) and 4-1BB (panel B) </w:t>
      </w:r>
      <w:r>
        <w:rPr>
          <w:sz w:val="24"/>
          <w:szCs w:val="24"/>
        </w:rPr>
        <w:t xml:space="preserve">on CD3+CD4-CD8+ T-cells collected daily for 4 days. </w:t>
      </w:r>
      <w:r w:rsidR="00665183" w:rsidRPr="00116BB4">
        <w:rPr>
          <w:sz w:val="24"/>
          <w:szCs w:val="24"/>
        </w:rPr>
        <w:t>Asterisks indicate</w:t>
      </w:r>
      <w:r w:rsidR="00665183">
        <w:rPr>
          <w:sz w:val="24"/>
          <w:szCs w:val="24"/>
        </w:rPr>
        <w:t xml:space="preserve"> </w:t>
      </w:r>
      <w:r w:rsidR="00945963">
        <w:rPr>
          <w:sz w:val="24"/>
          <w:szCs w:val="24"/>
        </w:rPr>
        <w:t>p</w:t>
      </w:r>
      <w:r w:rsidR="00665183">
        <w:rPr>
          <w:sz w:val="24"/>
          <w:szCs w:val="24"/>
        </w:rPr>
        <w:t>&lt;0.01.</w:t>
      </w:r>
      <w:r w:rsidR="00B4094C">
        <w:rPr>
          <w:sz w:val="24"/>
          <w:szCs w:val="24"/>
        </w:rPr>
        <w:t xml:space="preserve"> </w:t>
      </w:r>
      <w:r w:rsidR="00665183">
        <w:rPr>
          <w:sz w:val="24"/>
          <w:szCs w:val="24"/>
        </w:rPr>
        <w:t xml:space="preserve"> </w:t>
      </w:r>
      <w:r w:rsidRPr="00116BB4">
        <w:rPr>
          <w:sz w:val="24"/>
          <w:szCs w:val="24"/>
        </w:rPr>
        <w:t xml:space="preserve">Results are from one experiment, with samples assessed in triplicate, and are representative of </w:t>
      </w:r>
      <w:r>
        <w:rPr>
          <w:sz w:val="24"/>
          <w:szCs w:val="24"/>
        </w:rPr>
        <w:t>two</w:t>
      </w:r>
      <w:r w:rsidRPr="00116BB4">
        <w:rPr>
          <w:sz w:val="24"/>
          <w:szCs w:val="24"/>
        </w:rPr>
        <w:t xml:space="preserve"> similar </w:t>
      </w:r>
      <w:r w:rsidR="00945963">
        <w:rPr>
          <w:sz w:val="24"/>
          <w:szCs w:val="24"/>
        </w:rPr>
        <w:t xml:space="preserve">independent </w:t>
      </w:r>
      <w:r w:rsidRPr="00116BB4">
        <w:rPr>
          <w:sz w:val="24"/>
          <w:szCs w:val="24"/>
        </w:rPr>
        <w:t>experiments.</w:t>
      </w:r>
      <w:r w:rsidR="005175CD">
        <w:rPr>
          <w:sz w:val="24"/>
          <w:szCs w:val="24"/>
        </w:rPr>
        <w:t xml:space="preserve">  </w:t>
      </w:r>
    </w:p>
    <w:p w14:paraId="445D081B" w14:textId="37A6DCA3" w:rsidR="000B61D8" w:rsidRDefault="000B61D8" w:rsidP="009426ED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74172AA" w14:textId="3EA3A287" w:rsidR="000B61D8" w:rsidRDefault="007E627D" w:rsidP="009426ED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269ED99B" wp14:editId="15857C6E">
            <wp:extent cx="5443729" cy="4139184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upplemental tumor study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3729" cy="4139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35EE01" w14:textId="0BF856D0" w:rsidR="000B61D8" w:rsidRDefault="000B61D8" w:rsidP="009426ED">
      <w:pPr>
        <w:jc w:val="both"/>
        <w:rPr>
          <w:sz w:val="24"/>
          <w:szCs w:val="24"/>
        </w:rPr>
      </w:pPr>
    </w:p>
    <w:p w14:paraId="512710C0" w14:textId="77777777" w:rsidR="000B61D8" w:rsidRDefault="000B61D8" w:rsidP="009426ED">
      <w:pPr>
        <w:jc w:val="both"/>
        <w:rPr>
          <w:sz w:val="24"/>
          <w:szCs w:val="24"/>
        </w:rPr>
      </w:pPr>
    </w:p>
    <w:p w14:paraId="680EC0C5" w14:textId="528E0D91" w:rsidR="00E809C1" w:rsidRDefault="00E809C1" w:rsidP="009426ED">
      <w:pPr>
        <w:jc w:val="both"/>
        <w:rPr>
          <w:sz w:val="24"/>
          <w:szCs w:val="24"/>
        </w:rPr>
      </w:pPr>
      <w:r w:rsidRPr="00E95D64">
        <w:rPr>
          <w:b/>
          <w:sz w:val="24"/>
          <w:szCs w:val="24"/>
        </w:rPr>
        <w:t xml:space="preserve">Figure </w:t>
      </w:r>
      <w:r w:rsidR="00A63BCE">
        <w:rPr>
          <w:b/>
          <w:sz w:val="24"/>
          <w:szCs w:val="24"/>
        </w:rPr>
        <w:t>S4</w:t>
      </w:r>
      <w:r w:rsidRPr="00E95D64">
        <w:rPr>
          <w:b/>
          <w:sz w:val="24"/>
          <w:szCs w:val="24"/>
        </w:rPr>
        <w:t xml:space="preserve">. </w:t>
      </w:r>
      <w:r w:rsidR="002F2302">
        <w:rPr>
          <w:b/>
          <w:sz w:val="24"/>
          <w:szCs w:val="24"/>
        </w:rPr>
        <w:t xml:space="preserve"> TLR1/2 or TLR7 ligand adjuvants alone do not have significant anti-tumor efficacy in the absence of antigen-specific T-cell activation</w:t>
      </w:r>
      <w:r>
        <w:rPr>
          <w:sz w:val="24"/>
          <w:szCs w:val="24"/>
        </w:rPr>
        <w:t>: O</w:t>
      </w:r>
      <w:r w:rsidRPr="00202408">
        <w:rPr>
          <w:sz w:val="24"/>
          <w:szCs w:val="24"/>
        </w:rPr>
        <w:t>valbumin-expressing E</w:t>
      </w:r>
      <w:r>
        <w:rPr>
          <w:sz w:val="24"/>
          <w:szCs w:val="24"/>
        </w:rPr>
        <w:t>.</w:t>
      </w:r>
      <w:r w:rsidRPr="00202408">
        <w:rPr>
          <w:sz w:val="24"/>
          <w:szCs w:val="24"/>
        </w:rPr>
        <w:t>G7 cells were implanted in C57BL/6 mice and permitted to grow until palpable (</w:t>
      </w:r>
      <w:r>
        <w:rPr>
          <w:sz w:val="24"/>
          <w:szCs w:val="24"/>
        </w:rPr>
        <w:t xml:space="preserve">~14 days). </w:t>
      </w:r>
      <w:r w:rsidR="002F2302">
        <w:rPr>
          <w:sz w:val="24"/>
          <w:szCs w:val="24"/>
        </w:rPr>
        <w:t xml:space="preserve"> </w:t>
      </w:r>
      <w:r w:rsidRPr="00202408">
        <w:rPr>
          <w:sz w:val="24"/>
          <w:szCs w:val="24"/>
        </w:rPr>
        <w:t>OT-1 T cells were then adoptively transferred and</w:t>
      </w:r>
      <w:r>
        <w:rPr>
          <w:sz w:val="24"/>
          <w:szCs w:val="24"/>
        </w:rPr>
        <w:t xml:space="preserve"> mice were</w:t>
      </w:r>
      <w:r w:rsidRPr="00202408">
        <w:rPr>
          <w:sz w:val="24"/>
          <w:szCs w:val="24"/>
        </w:rPr>
        <w:t xml:space="preserve"> immunized the following day with SIIN</w:t>
      </w:r>
      <w:r>
        <w:rPr>
          <w:sz w:val="24"/>
          <w:szCs w:val="24"/>
        </w:rPr>
        <w:t xml:space="preserve">FEKL (OVA) or non-specific (NS) peptide, alone or with TLR1/2 </w:t>
      </w:r>
      <w:r w:rsidR="002F2302">
        <w:rPr>
          <w:sz w:val="24"/>
          <w:szCs w:val="24"/>
        </w:rPr>
        <w:t xml:space="preserve">(Pam3) </w:t>
      </w:r>
      <w:r>
        <w:rPr>
          <w:sz w:val="24"/>
          <w:szCs w:val="24"/>
        </w:rPr>
        <w:t xml:space="preserve">or TLR7 </w:t>
      </w:r>
      <w:r w:rsidR="002F2302">
        <w:rPr>
          <w:sz w:val="24"/>
          <w:szCs w:val="24"/>
        </w:rPr>
        <w:t xml:space="preserve">(Gard) </w:t>
      </w:r>
      <w:r>
        <w:rPr>
          <w:sz w:val="24"/>
          <w:szCs w:val="24"/>
        </w:rPr>
        <w:t xml:space="preserve">agonist.  Shown are the tumor growth curves (median +/- standard error, n=5 animals per group). </w:t>
      </w:r>
      <w:r w:rsidR="00665183" w:rsidRPr="00116BB4">
        <w:rPr>
          <w:sz w:val="24"/>
          <w:szCs w:val="24"/>
        </w:rPr>
        <w:t>Asterisks indicate</w:t>
      </w:r>
      <w:r w:rsidR="00D63423">
        <w:rPr>
          <w:sz w:val="24"/>
          <w:szCs w:val="24"/>
        </w:rPr>
        <w:t xml:space="preserve"> </w:t>
      </w:r>
      <w:r w:rsidR="00665183" w:rsidRPr="00116BB4">
        <w:rPr>
          <w:sz w:val="24"/>
          <w:szCs w:val="24"/>
        </w:rPr>
        <w:t>P&lt;0.001</w:t>
      </w:r>
      <w:r w:rsidR="00665183">
        <w:rPr>
          <w:sz w:val="24"/>
          <w:szCs w:val="24"/>
        </w:rPr>
        <w:t xml:space="preserve"> </w:t>
      </w:r>
      <w:r w:rsidRPr="00A86200">
        <w:rPr>
          <w:sz w:val="24"/>
          <w:szCs w:val="24"/>
        </w:rPr>
        <w:t>Results are from one experiment, with N=6 mice/group</w:t>
      </w:r>
      <w:r>
        <w:rPr>
          <w:sz w:val="24"/>
          <w:szCs w:val="24"/>
        </w:rPr>
        <w:t xml:space="preserve">. </w:t>
      </w:r>
    </w:p>
    <w:p w14:paraId="190623AE" w14:textId="77777777" w:rsidR="00E809C1" w:rsidRDefault="00E809C1" w:rsidP="009426ED">
      <w:pPr>
        <w:jc w:val="both"/>
        <w:rPr>
          <w:sz w:val="24"/>
          <w:szCs w:val="24"/>
        </w:rPr>
      </w:pPr>
    </w:p>
    <w:p w14:paraId="1B938316" w14:textId="77777777" w:rsidR="001733A5" w:rsidRDefault="001733A5" w:rsidP="009426ED">
      <w:pPr>
        <w:jc w:val="both"/>
        <w:rPr>
          <w:sz w:val="24"/>
          <w:szCs w:val="24"/>
        </w:rPr>
      </w:pPr>
    </w:p>
    <w:p w14:paraId="0518914D" w14:textId="2B50D835" w:rsidR="001733A5" w:rsidRDefault="001733A5" w:rsidP="009426ED">
      <w:pPr>
        <w:jc w:val="both"/>
      </w:pPr>
    </w:p>
    <w:sectPr w:rsidR="001733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BF8"/>
    <w:rsid w:val="00065B8F"/>
    <w:rsid w:val="000B0C1B"/>
    <w:rsid w:val="000B61D8"/>
    <w:rsid w:val="001733A5"/>
    <w:rsid w:val="001D6BB7"/>
    <w:rsid w:val="001E1A06"/>
    <w:rsid w:val="00266C45"/>
    <w:rsid w:val="002F2302"/>
    <w:rsid w:val="003322DC"/>
    <w:rsid w:val="003C30FA"/>
    <w:rsid w:val="005175CD"/>
    <w:rsid w:val="005D0F21"/>
    <w:rsid w:val="00656BC5"/>
    <w:rsid w:val="00665183"/>
    <w:rsid w:val="00671925"/>
    <w:rsid w:val="00674672"/>
    <w:rsid w:val="00736B79"/>
    <w:rsid w:val="007E627D"/>
    <w:rsid w:val="008359A7"/>
    <w:rsid w:val="00893281"/>
    <w:rsid w:val="00904AC8"/>
    <w:rsid w:val="00910CE8"/>
    <w:rsid w:val="009426ED"/>
    <w:rsid w:val="00945963"/>
    <w:rsid w:val="009A7893"/>
    <w:rsid w:val="00A63BCE"/>
    <w:rsid w:val="00AB5126"/>
    <w:rsid w:val="00B4094C"/>
    <w:rsid w:val="00B9437E"/>
    <w:rsid w:val="00C67C6D"/>
    <w:rsid w:val="00D14BF8"/>
    <w:rsid w:val="00D5109F"/>
    <w:rsid w:val="00D63423"/>
    <w:rsid w:val="00E809C1"/>
    <w:rsid w:val="00ED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57FC5"/>
  <w15:chartTrackingRefBased/>
  <w15:docId w15:val="{1464FC4F-A486-4281-8AE9-1D2C9AD4E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C4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rsid w:val="00266C4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266C45"/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6C4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C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C45"/>
    <w:rPr>
      <w:rFonts w:ascii="Segoe UI" w:eastAsia="Calibr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1A06"/>
    <w:rPr>
      <w:rFonts w:eastAsia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1A06"/>
    <w:rPr>
      <w:rFonts w:ascii="Times New Roman" w:eastAsia="Calibri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B61D8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4" Type="http://schemas.openxmlformats.org/officeDocument/2006/relationships/image" Target="media/image1.tif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Medicine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Zahm</dc:creator>
  <cp:keywords/>
  <dc:description/>
  <cp:lastModifiedBy>Douglas G. McNeel</cp:lastModifiedBy>
  <cp:revision>5</cp:revision>
  <cp:lastPrinted>2018-04-10T17:17:00Z</cp:lastPrinted>
  <dcterms:created xsi:type="dcterms:W3CDTF">2018-04-10T17:04:00Z</dcterms:created>
  <dcterms:modified xsi:type="dcterms:W3CDTF">2018-04-10T17:47:00Z</dcterms:modified>
</cp:coreProperties>
</file>