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BE30D" w14:textId="77777777" w:rsidR="00892F7E" w:rsidRDefault="00892F7E" w:rsidP="00BE075C">
      <w:pPr>
        <w:jc w:val="both"/>
        <w:outlineLvl w:val="0"/>
        <w:rPr>
          <w:rFonts w:cstheme="minorHAnsi"/>
          <w:b/>
          <w:lang w:val="en-US"/>
        </w:rPr>
      </w:pPr>
    </w:p>
    <w:p w14:paraId="3042354C" w14:textId="4D8D64BB" w:rsidR="008B4DCB" w:rsidRPr="00B82496" w:rsidRDefault="008B4DCB" w:rsidP="00BE075C">
      <w:pPr>
        <w:jc w:val="both"/>
        <w:outlineLvl w:val="0"/>
        <w:rPr>
          <w:rFonts w:cstheme="minorHAnsi"/>
          <w:lang w:val="en-US"/>
        </w:rPr>
      </w:pPr>
      <w:r w:rsidRPr="00B82496">
        <w:rPr>
          <w:rFonts w:cstheme="minorHAnsi"/>
          <w:b/>
          <w:lang w:val="en-US"/>
        </w:rPr>
        <w:t>Supplementary figure legends</w:t>
      </w:r>
      <w:r w:rsidR="001A03F5" w:rsidRPr="00B82496">
        <w:rPr>
          <w:rFonts w:cstheme="minorHAnsi"/>
          <w:lang w:val="en-US"/>
        </w:rPr>
        <w:t xml:space="preserve"> </w:t>
      </w:r>
    </w:p>
    <w:p w14:paraId="576B14C0" w14:textId="2BE1D2FE" w:rsidR="008B4DCB" w:rsidRPr="00B82496" w:rsidRDefault="008B4DCB" w:rsidP="008B4DCB">
      <w:pPr>
        <w:jc w:val="both"/>
        <w:rPr>
          <w:rFonts w:cstheme="minorHAnsi"/>
          <w:lang w:val="en-US"/>
        </w:rPr>
      </w:pPr>
      <w:r w:rsidRPr="00B82496">
        <w:rPr>
          <w:rFonts w:cstheme="minorHAnsi"/>
          <w:lang w:val="en-US"/>
        </w:rPr>
        <w:t>Fig. S1. Representative flow cytometry plots of IFNγ+, TNFα+, GZB+ and double positive TNFα+IFNγ+ CD8 T cells after in-vitro re-stimulation</w:t>
      </w:r>
      <w:r w:rsidR="00BE075C" w:rsidRPr="00B82496">
        <w:rPr>
          <w:rFonts w:cstheme="minorHAnsi"/>
          <w:lang w:val="en-US"/>
        </w:rPr>
        <w:t>.</w:t>
      </w:r>
      <w:r w:rsidRPr="00B82496">
        <w:rPr>
          <w:rFonts w:cstheme="minorHAnsi"/>
          <w:lang w:val="en-US"/>
        </w:rPr>
        <w:t xml:space="preserve"> </w:t>
      </w:r>
      <w:r w:rsidR="00EE3559" w:rsidRPr="00B82496">
        <w:rPr>
          <w:rFonts w:cstheme="minorHAnsi"/>
          <w:lang w:val="en-US"/>
        </w:rPr>
        <w:t xml:space="preserve">Representative flow cytometry analyses of IFNγ+, TNFα+, GZB+ and double positive TNFα+IFNγ+ CD8 T cells. </w:t>
      </w:r>
      <w:r w:rsidRPr="00B82496">
        <w:rPr>
          <w:rFonts w:cstheme="minorHAnsi"/>
          <w:lang w:val="en-US"/>
        </w:rPr>
        <w:t>Populations are gated on single cell live CD3+CD8+ lymphocytes.</w:t>
      </w:r>
      <w:r w:rsidR="00B23489" w:rsidRPr="00B82496">
        <w:rPr>
          <w:rFonts w:cstheme="minorHAnsi"/>
          <w:lang w:val="en-US"/>
        </w:rPr>
        <w:t xml:space="preserve"> </w:t>
      </w:r>
      <w:r w:rsidRPr="00B82496">
        <w:rPr>
          <w:rFonts w:cstheme="minorHAnsi"/>
          <w:lang w:val="en-US"/>
        </w:rPr>
        <w:t>0.5x10</w:t>
      </w:r>
      <w:r w:rsidRPr="00B82496">
        <w:rPr>
          <w:rFonts w:cstheme="minorHAnsi"/>
          <w:vertAlign w:val="superscript"/>
          <w:lang w:val="en-US"/>
        </w:rPr>
        <w:t>6</w:t>
      </w:r>
      <w:r w:rsidRPr="00B82496">
        <w:rPr>
          <w:rFonts w:cstheme="minorHAnsi"/>
          <w:lang w:val="en-US"/>
        </w:rPr>
        <w:t xml:space="preserve"> TC-1 cells were implanted into the flank of the mice at day 0. The vaccine and the control treatments were administered at day 1</w:t>
      </w:r>
      <w:r w:rsidR="00CD780A" w:rsidRPr="00B82496">
        <w:rPr>
          <w:rFonts w:cstheme="minorHAnsi"/>
          <w:lang w:val="en-US"/>
        </w:rPr>
        <w:t xml:space="preserve">2 when the mean tumor size was </w:t>
      </w:r>
      <w:r w:rsidR="009931F9" w:rsidRPr="00B82496">
        <w:rPr>
          <w:rFonts w:cstheme="minorHAnsi"/>
          <w:lang w:val="en-US"/>
        </w:rPr>
        <w:sym w:font="Symbol" w:char="F07E"/>
      </w:r>
      <w:r w:rsidRPr="00B82496">
        <w:rPr>
          <w:rFonts w:cstheme="minorHAnsi"/>
          <w:lang w:val="en-US"/>
        </w:rPr>
        <w:t>100</w:t>
      </w:r>
      <w:r w:rsidR="00CD780A" w:rsidRPr="00B82496">
        <w:rPr>
          <w:rFonts w:cstheme="minorHAnsi"/>
          <w:lang w:val="en-US"/>
        </w:rPr>
        <w:t xml:space="preserve"> </w:t>
      </w:r>
      <w:r w:rsidRPr="00B82496">
        <w:rPr>
          <w:rFonts w:cstheme="minorHAnsi"/>
          <w:lang w:val="en-US"/>
        </w:rPr>
        <w:t>mm</w:t>
      </w:r>
      <w:r w:rsidRPr="00B82496">
        <w:rPr>
          <w:rFonts w:cstheme="minorHAnsi"/>
          <w:vertAlign w:val="superscript"/>
          <w:lang w:val="en-US"/>
        </w:rPr>
        <w:t>3</w:t>
      </w:r>
      <w:r w:rsidRPr="00B82496">
        <w:rPr>
          <w:rFonts w:cstheme="minorHAnsi"/>
          <w:lang w:val="en-US"/>
        </w:rPr>
        <w:t>. Mice received subcutaneous injections of PBS (n=8), or 15</w:t>
      </w:r>
      <w:r w:rsidR="00CD780A" w:rsidRPr="00B82496">
        <w:rPr>
          <w:rFonts w:cstheme="minorHAnsi"/>
          <w:lang w:val="en-US"/>
        </w:rPr>
        <w:t xml:space="preserve"> </w:t>
      </w:r>
      <w:r w:rsidRPr="00B82496">
        <w:rPr>
          <w:rFonts w:eastAsia="Times New Roman" w:cstheme="minorHAnsi"/>
          <w:bCs/>
          <w:lang w:val="en-US"/>
        </w:rPr>
        <w:t>μ</w:t>
      </w:r>
      <w:r w:rsidRPr="00B82496">
        <w:rPr>
          <w:rFonts w:cstheme="minorHAnsi"/>
          <w:lang w:val="en-US"/>
        </w:rPr>
        <w:t xml:space="preserve">g </w:t>
      </w:r>
      <w:r w:rsidR="00197B13" w:rsidRPr="00B82496">
        <w:rPr>
          <w:rFonts w:cstheme="minorHAnsi"/>
          <w:lang w:val="en-US"/>
        </w:rPr>
        <w:t>of E7LP either in a free form (F</w:t>
      </w:r>
      <w:r w:rsidRPr="00B82496">
        <w:rPr>
          <w:rFonts w:cstheme="minorHAnsi"/>
          <w:lang w:val="en-US"/>
        </w:rPr>
        <w:t>ree E7LP, n=8) or conjugated to NPs (NP-E7LP, n=8); both vaccinated groups also received 20</w:t>
      </w:r>
      <w:r w:rsidR="00CD780A" w:rsidRPr="00B82496">
        <w:rPr>
          <w:rFonts w:cstheme="minorHAnsi"/>
          <w:lang w:val="en-US"/>
        </w:rPr>
        <w:t xml:space="preserve"> </w:t>
      </w:r>
      <w:r w:rsidRPr="00B82496">
        <w:rPr>
          <w:rFonts w:eastAsia="Times New Roman" w:cstheme="minorHAnsi"/>
          <w:bCs/>
          <w:lang w:val="en-US"/>
        </w:rPr>
        <w:t>μ</w:t>
      </w:r>
      <w:r w:rsidRPr="00B82496">
        <w:rPr>
          <w:rFonts w:cstheme="minorHAnsi"/>
          <w:lang w:val="en-US"/>
        </w:rPr>
        <w:t>g of CpG as adjuvant. Mice were sacrificed 9 days after immunization and spleens were harvested for analyses. Whole splenocytes were re-stimulated in vitro with the HPV16 E7 CD8 peptide RAHYNIVTF and intracellular staining for IFNγ, TNFα and GZB was performed.</w:t>
      </w:r>
    </w:p>
    <w:p w14:paraId="11681E29" w14:textId="77777777" w:rsidR="00BE075C" w:rsidRPr="00B82496" w:rsidRDefault="00BE075C" w:rsidP="008B4DCB">
      <w:pPr>
        <w:jc w:val="both"/>
        <w:rPr>
          <w:rFonts w:cstheme="minorHAnsi"/>
          <w:lang w:val="en-US"/>
        </w:rPr>
      </w:pPr>
    </w:p>
    <w:p w14:paraId="6259D419" w14:textId="1E83632B" w:rsidR="00BE075C" w:rsidRPr="00B82496" w:rsidRDefault="00BE075C" w:rsidP="008B4DCB">
      <w:pPr>
        <w:jc w:val="both"/>
        <w:rPr>
          <w:rFonts w:cstheme="minorHAnsi"/>
          <w:lang w:val="en-US"/>
        </w:rPr>
      </w:pPr>
      <w:r w:rsidRPr="00B82496">
        <w:rPr>
          <w:rFonts w:cstheme="minorHAnsi"/>
          <w:lang w:val="en-US"/>
        </w:rPr>
        <w:t>Fig. S2. Mean TC-1 tumor volumes.</w:t>
      </w:r>
      <w:r w:rsidRPr="00B82496">
        <w:rPr>
          <w:rFonts w:eastAsiaTheme="minorEastAsia" w:hAnsi="Calibri"/>
          <w:color w:val="000000" w:themeColor="text1"/>
          <w:kern w:val="24"/>
          <w:sz w:val="36"/>
          <w:szCs w:val="36"/>
          <w:lang w:val="en-US" w:eastAsia="it-IT"/>
        </w:rPr>
        <w:t xml:space="preserve"> </w:t>
      </w:r>
      <w:r w:rsidRPr="00B82496">
        <w:rPr>
          <w:rFonts w:cstheme="minorHAnsi"/>
          <w:lang w:val="en-US"/>
        </w:rPr>
        <w:t>The comparison was stopped when the first mouse in any of the groups reached a veterinary endpoint. Significant differences were present only at the last timepoint (day 22): PBS vs Free E7LP = n.s.; NP-E7LP vs NP-E7LP 2x = n.s.; PBS vs NP-E7LP/NP-E7LP 2x = p&lt;0.0001; Free E7LP vs NP-E7LP/NP-E7LP 2x = p&lt;0.0001; Previous timepoint were all n.s.. Statistics: *p &lt; 0.05; **p &lt; 0.01; ***p &lt; 0.001; ****p&lt;0.0001; n.s. = not significant.</w:t>
      </w:r>
    </w:p>
    <w:p w14:paraId="4207E5D6" w14:textId="77777777" w:rsidR="008B4DCB" w:rsidRPr="00B82496" w:rsidRDefault="008B4DCB" w:rsidP="008B4DCB">
      <w:pPr>
        <w:jc w:val="both"/>
        <w:rPr>
          <w:rFonts w:cstheme="minorHAnsi"/>
          <w:lang w:val="en-US"/>
        </w:rPr>
      </w:pPr>
    </w:p>
    <w:p w14:paraId="31803340" w14:textId="77777777" w:rsidR="00BE075C" w:rsidRPr="00B82496" w:rsidRDefault="00BE075C" w:rsidP="00BE075C">
      <w:pPr>
        <w:jc w:val="both"/>
        <w:rPr>
          <w:rFonts w:cstheme="minorHAnsi"/>
          <w:lang w:val="en-US"/>
        </w:rPr>
      </w:pPr>
      <w:r w:rsidRPr="00B82496">
        <w:rPr>
          <w:rFonts w:cstheme="minorHAnsi"/>
          <w:lang w:val="en-US"/>
        </w:rPr>
        <w:t>Fig. S3</w:t>
      </w:r>
      <w:r w:rsidR="008B4DCB" w:rsidRPr="00B82496">
        <w:rPr>
          <w:rFonts w:cstheme="minorHAnsi"/>
          <w:lang w:val="en-US"/>
        </w:rPr>
        <w:t xml:space="preserve">. Survival of subcutaneous TC-1 tumor-bearing mice and TC-1 tumor growth curves. </w:t>
      </w:r>
      <w:r w:rsidR="00790099" w:rsidRPr="00B82496">
        <w:rPr>
          <w:rFonts w:cstheme="minorHAnsi"/>
          <w:lang w:val="en-US"/>
        </w:rPr>
        <w:t>(A) Mice survival. Statistics: PBS vs NP-E7LP p=0.0001, PBS vs NP-E7LP+anti-CD4 p&lt;0.0001, PBS vs NP-E7LP+anti-CD8 p=0.7944, PBS vs NP-E7LP+anti-CD4+anti-CD8 p=0.0684, NP-E7LP vs NP-E7LP+anti-CD4 p=1, NP-E7LP vs NP-E7LP+anti-CD8 p=0.0004, NP-E7LP vs NP-E7LP+anti-CD4+anti-CD8 p=0.0002, NP-E7LP+anti-CD4 vs NP-E7LP+anti-CD8 p=0.0002, NP-E7LP+anti-CD8 vs NP-E7LP+anti-CD4+anti-CD8 p=0.0505, NP-E7LP+anti-CD4 vs NP-E7LP+anti-CD4+anti-CD8 p&lt;0.0001. (B) Individual TC-1 tumor growth curves. (C) Mean TC-1 tumor volumes.</w:t>
      </w:r>
      <w:r w:rsidR="00790099" w:rsidRPr="00B82496">
        <w:rPr>
          <w:rFonts w:eastAsiaTheme="minorEastAsia" w:cstheme="minorHAnsi"/>
          <w:color w:val="000000" w:themeColor="text1"/>
          <w:kern w:val="24"/>
          <w:lang w:val="en-US" w:eastAsia="it-IT"/>
        </w:rPr>
        <w:t xml:space="preserve"> </w:t>
      </w:r>
      <w:r w:rsidRPr="00B82496">
        <w:rPr>
          <w:rFonts w:cstheme="minorHAnsi"/>
          <w:lang w:val="en-US"/>
        </w:rPr>
        <w:t xml:space="preserve">The comparison was stopped when the first mouse in any of the groups reached a veterinary endpoint. </w:t>
      </w:r>
      <w:r w:rsidR="00B2617C" w:rsidRPr="00B82496">
        <w:rPr>
          <w:rFonts w:cstheme="minorHAnsi"/>
          <w:lang w:val="en-US"/>
        </w:rPr>
        <w:t>Significant</w:t>
      </w:r>
      <w:r w:rsidR="00790099" w:rsidRPr="00B82496">
        <w:rPr>
          <w:rFonts w:cstheme="minorHAnsi"/>
          <w:lang w:val="en-US"/>
        </w:rPr>
        <w:t xml:space="preserve"> differences were present only at the last 2 timepoints (day 19 and 22): PBS vs NP</w:t>
      </w:r>
      <w:r w:rsidR="004A1DED" w:rsidRPr="00B82496">
        <w:rPr>
          <w:rFonts w:cstheme="minorHAnsi"/>
          <w:lang w:val="en-US"/>
        </w:rPr>
        <w:t>-E7LP</w:t>
      </w:r>
      <w:r w:rsidR="00790099" w:rsidRPr="00B82496">
        <w:rPr>
          <w:rFonts w:cstheme="minorHAnsi"/>
          <w:lang w:val="en-US"/>
        </w:rPr>
        <w:t>+anti-CD8 / NP</w:t>
      </w:r>
      <w:r w:rsidR="004A1DED" w:rsidRPr="00B82496">
        <w:rPr>
          <w:rFonts w:cstheme="minorHAnsi"/>
          <w:lang w:val="en-US"/>
        </w:rPr>
        <w:t>-E7LP</w:t>
      </w:r>
      <w:r w:rsidR="00790099" w:rsidRPr="00B82496">
        <w:rPr>
          <w:rFonts w:cstheme="minorHAnsi"/>
          <w:lang w:val="en-US"/>
        </w:rPr>
        <w:t>+anti-CD8+anti-CD4 = n.s.; NP</w:t>
      </w:r>
      <w:r w:rsidR="004A1DED" w:rsidRPr="00B82496">
        <w:rPr>
          <w:rFonts w:cstheme="minorHAnsi"/>
          <w:lang w:val="en-US"/>
        </w:rPr>
        <w:t>-E7LP</w:t>
      </w:r>
      <w:r w:rsidR="00790099" w:rsidRPr="00B82496">
        <w:rPr>
          <w:rFonts w:cstheme="minorHAnsi"/>
          <w:lang w:val="en-US"/>
        </w:rPr>
        <w:t xml:space="preserve"> vs NP</w:t>
      </w:r>
      <w:r w:rsidR="004A1DED" w:rsidRPr="00B82496">
        <w:rPr>
          <w:rFonts w:cstheme="minorHAnsi"/>
          <w:lang w:val="en-US"/>
        </w:rPr>
        <w:t>-E7LP</w:t>
      </w:r>
      <w:r w:rsidR="00790099" w:rsidRPr="00B82496">
        <w:rPr>
          <w:rFonts w:cstheme="minorHAnsi"/>
          <w:lang w:val="en-US"/>
        </w:rPr>
        <w:t>+anti-CD4 = n.s.; NP</w:t>
      </w:r>
      <w:r w:rsidR="004A1DED" w:rsidRPr="00B82496">
        <w:rPr>
          <w:rFonts w:cstheme="minorHAnsi"/>
          <w:lang w:val="en-US"/>
        </w:rPr>
        <w:t>-E7LP</w:t>
      </w:r>
      <w:r w:rsidR="00790099" w:rsidRPr="00B82496">
        <w:rPr>
          <w:rFonts w:cstheme="minorHAnsi"/>
          <w:lang w:val="en-US"/>
        </w:rPr>
        <w:t xml:space="preserve"> vs PBS / NP</w:t>
      </w:r>
      <w:r w:rsidR="004A1DED" w:rsidRPr="00B82496">
        <w:rPr>
          <w:rFonts w:cstheme="minorHAnsi"/>
          <w:lang w:val="en-US"/>
        </w:rPr>
        <w:t>-E7LP</w:t>
      </w:r>
      <w:r w:rsidR="00790099" w:rsidRPr="00B82496">
        <w:rPr>
          <w:rFonts w:cstheme="minorHAnsi"/>
          <w:lang w:val="en-US"/>
        </w:rPr>
        <w:t>+anti-CD8 / NP</w:t>
      </w:r>
      <w:r w:rsidR="004A1DED" w:rsidRPr="00B82496">
        <w:rPr>
          <w:rFonts w:cstheme="minorHAnsi"/>
          <w:lang w:val="en-US"/>
        </w:rPr>
        <w:t>-E7LP</w:t>
      </w:r>
      <w:r w:rsidR="00790099" w:rsidRPr="00B82496">
        <w:rPr>
          <w:rFonts w:cstheme="minorHAnsi"/>
          <w:lang w:val="en-US"/>
        </w:rPr>
        <w:t>+anti-CD8+anti-CD4 = p&lt;0.0001 (for both timepoints); NP</w:t>
      </w:r>
      <w:r w:rsidR="004A1DED" w:rsidRPr="00B82496">
        <w:rPr>
          <w:rFonts w:cstheme="minorHAnsi"/>
          <w:lang w:val="en-US"/>
        </w:rPr>
        <w:t>-E7LP</w:t>
      </w:r>
      <w:r w:rsidR="00790099" w:rsidRPr="00B82496">
        <w:rPr>
          <w:rFonts w:cstheme="minorHAnsi"/>
          <w:lang w:val="en-US"/>
        </w:rPr>
        <w:t>+anti-CD4 vs PBS / NP</w:t>
      </w:r>
      <w:r w:rsidR="004A1DED" w:rsidRPr="00B82496">
        <w:rPr>
          <w:rFonts w:cstheme="minorHAnsi"/>
          <w:lang w:val="en-US"/>
        </w:rPr>
        <w:t>-E7LP</w:t>
      </w:r>
      <w:r w:rsidR="00790099" w:rsidRPr="00B82496">
        <w:rPr>
          <w:rFonts w:cstheme="minorHAnsi"/>
          <w:lang w:val="en-US"/>
        </w:rPr>
        <w:t>+anti-CD8 / NP</w:t>
      </w:r>
      <w:r w:rsidR="004A1DED" w:rsidRPr="00B82496">
        <w:rPr>
          <w:rFonts w:cstheme="minorHAnsi"/>
          <w:lang w:val="en-US"/>
        </w:rPr>
        <w:t>-E7LP</w:t>
      </w:r>
      <w:r w:rsidR="00790099" w:rsidRPr="00B82496">
        <w:rPr>
          <w:rFonts w:cstheme="minorHAnsi"/>
          <w:lang w:val="en-US"/>
        </w:rPr>
        <w:t>+anti-CD8+anti-CD4 = p&lt;0.0001</w:t>
      </w:r>
      <w:r w:rsidR="00B2617C" w:rsidRPr="00B82496">
        <w:rPr>
          <w:rFonts w:cstheme="minorHAnsi"/>
          <w:lang w:val="en-US"/>
        </w:rPr>
        <w:t xml:space="preserve"> </w:t>
      </w:r>
      <w:r w:rsidR="00790099" w:rsidRPr="00B82496">
        <w:rPr>
          <w:rFonts w:cstheme="minorHAnsi"/>
          <w:lang w:val="en-US"/>
        </w:rPr>
        <w:t xml:space="preserve">(for both timepoints); Previous timepoint were all n.s.. </w:t>
      </w:r>
      <w:r w:rsidR="008B4DCB" w:rsidRPr="00B82496">
        <w:rPr>
          <w:rFonts w:cstheme="minorHAnsi"/>
          <w:lang w:val="en-US"/>
        </w:rPr>
        <w:t>0.5x10</w:t>
      </w:r>
      <w:r w:rsidR="008B4DCB" w:rsidRPr="00B82496">
        <w:rPr>
          <w:rFonts w:cstheme="minorHAnsi"/>
          <w:vertAlign w:val="superscript"/>
          <w:lang w:val="en-US"/>
        </w:rPr>
        <w:t>6</w:t>
      </w:r>
      <w:r w:rsidR="008B4DCB" w:rsidRPr="00B82496">
        <w:rPr>
          <w:rFonts w:cstheme="minorHAnsi"/>
          <w:lang w:val="en-US"/>
        </w:rPr>
        <w:t xml:space="preserve"> TC-1 cells were implanted into the flank of the mice at day 0. The vaccine and the control treatments were administered when </w:t>
      </w:r>
      <w:r w:rsidR="00CD780A" w:rsidRPr="00B82496">
        <w:rPr>
          <w:rFonts w:cstheme="minorHAnsi"/>
          <w:lang w:val="en-US"/>
        </w:rPr>
        <w:t xml:space="preserve">the mean tumor size was </w:t>
      </w:r>
      <w:r w:rsidR="009931F9" w:rsidRPr="00B82496">
        <w:rPr>
          <w:rFonts w:cstheme="minorHAnsi"/>
          <w:lang w:val="en-US"/>
        </w:rPr>
        <w:sym w:font="Symbol" w:char="F07E"/>
      </w:r>
      <w:r w:rsidR="008B4DCB" w:rsidRPr="00B82496">
        <w:rPr>
          <w:rFonts w:cstheme="minorHAnsi"/>
          <w:lang w:val="en-US"/>
        </w:rPr>
        <w:t>100</w:t>
      </w:r>
      <w:r w:rsidR="00CD780A" w:rsidRPr="00B82496">
        <w:rPr>
          <w:rFonts w:cstheme="minorHAnsi"/>
          <w:lang w:val="en-US"/>
        </w:rPr>
        <w:t xml:space="preserve"> </w:t>
      </w:r>
      <w:r w:rsidR="008B4DCB" w:rsidRPr="00B82496">
        <w:rPr>
          <w:rFonts w:cstheme="minorHAnsi"/>
          <w:lang w:val="en-US"/>
        </w:rPr>
        <w:t>mm</w:t>
      </w:r>
      <w:r w:rsidR="008B4DCB" w:rsidRPr="00B82496">
        <w:rPr>
          <w:rFonts w:cstheme="minorHAnsi"/>
          <w:vertAlign w:val="superscript"/>
          <w:lang w:val="en-US"/>
        </w:rPr>
        <w:t>3</w:t>
      </w:r>
      <w:r w:rsidR="008B4DCB" w:rsidRPr="00B82496">
        <w:rPr>
          <w:rFonts w:cstheme="minorHAnsi"/>
          <w:lang w:val="en-US"/>
        </w:rPr>
        <w:t>. Mice received subcutaneous injections of PBS (n=8) or 15</w:t>
      </w:r>
      <w:r w:rsidR="00CD780A" w:rsidRPr="00B82496">
        <w:rPr>
          <w:rFonts w:cstheme="minorHAnsi"/>
          <w:lang w:val="en-US"/>
        </w:rPr>
        <w:t xml:space="preserve"> </w:t>
      </w:r>
      <w:r w:rsidR="008B4DCB" w:rsidRPr="00B82496">
        <w:rPr>
          <w:rFonts w:eastAsia="Times New Roman" w:cstheme="minorHAnsi"/>
          <w:bCs/>
          <w:lang w:val="en-US"/>
        </w:rPr>
        <w:t>μ</w:t>
      </w:r>
      <w:r w:rsidR="008B4DCB" w:rsidRPr="00B82496">
        <w:rPr>
          <w:rFonts w:cstheme="minorHAnsi"/>
          <w:lang w:val="en-US"/>
        </w:rPr>
        <w:t>g of E7LP conjugated to NPs (NP-E7LP, n=28) combined with 20</w:t>
      </w:r>
      <w:r w:rsidR="00CD780A" w:rsidRPr="00B82496">
        <w:rPr>
          <w:rFonts w:cstheme="minorHAnsi"/>
          <w:lang w:val="en-US"/>
        </w:rPr>
        <w:t xml:space="preserve"> </w:t>
      </w:r>
      <w:r w:rsidR="008B4DCB" w:rsidRPr="00B82496">
        <w:rPr>
          <w:rFonts w:eastAsia="Times New Roman" w:cstheme="minorHAnsi"/>
          <w:bCs/>
          <w:lang w:val="en-US"/>
        </w:rPr>
        <w:t>μ</w:t>
      </w:r>
      <w:r w:rsidR="008B4DCB" w:rsidRPr="00B82496">
        <w:rPr>
          <w:rFonts w:cstheme="minorHAnsi"/>
          <w:lang w:val="en-US"/>
        </w:rPr>
        <w:t>g of CpG as adjuvant. The NP-E7LP treated mice were then split into 4 different groups that remained untreated (n=7), received 10</w:t>
      </w:r>
      <w:r w:rsidR="00CD780A" w:rsidRPr="00B82496">
        <w:rPr>
          <w:rFonts w:cstheme="minorHAnsi"/>
          <w:lang w:val="en-US"/>
        </w:rPr>
        <w:t xml:space="preserve"> </w:t>
      </w:r>
      <w:r w:rsidR="008B4DCB" w:rsidRPr="00B82496">
        <w:rPr>
          <w:rFonts w:cstheme="minorHAnsi"/>
          <w:lang w:val="en-US"/>
        </w:rPr>
        <w:t>mg/kg of anti-CD8 depleting antibody (n=6) every 4 days, or 10</w:t>
      </w:r>
      <w:r w:rsidR="00CD780A" w:rsidRPr="00B82496">
        <w:rPr>
          <w:rFonts w:cstheme="minorHAnsi"/>
          <w:lang w:val="en-US"/>
        </w:rPr>
        <w:t xml:space="preserve"> </w:t>
      </w:r>
      <w:r w:rsidR="008B4DCB" w:rsidRPr="00B82496">
        <w:rPr>
          <w:rFonts w:cstheme="minorHAnsi"/>
          <w:lang w:val="en-US"/>
        </w:rPr>
        <w:t xml:space="preserve">mg/kg of anti-CD4 depleting antibody (n=8) every 4 days, or both (n=7). Mice were monitored to follow tumor growth and survival. Mice that showed CD4 or CD8 T cell depletion less than 95% were excluded from the analyses. </w:t>
      </w:r>
      <w:r w:rsidRPr="00B82496">
        <w:rPr>
          <w:rFonts w:cstheme="minorHAnsi"/>
          <w:lang w:val="en-US"/>
        </w:rPr>
        <w:t>Statistics: *p &lt; 0.05; **p &lt; 0.01; ***p &lt; 0.001; ****p&lt;0.0001; n.s. = not significant.</w:t>
      </w:r>
    </w:p>
    <w:p w14:paraId="440925A6" w14:textId="0CE9E191" w:rsidR="008B4DCB" w:rsidRPr="00B82496" w:rsidRDefault="008B4DCB" w:rsidP="008B4DCB">
      <w:pPr>
        <w:jc w:val="both"/>
        <w:rPr>
          <w:rFonts w:cstheme="minorHAnsi"/>
          <w:lang w:val="en-US"/>
        </w:rPr>
      </w:pPr>
    </w:p>
    <w:p w14:paraId="56890BA2" w14:textId="77777777" w:rsidR="008B4DCB" w:rsidRPr="00B82496" w:rsidRDefault="008B4DCB" w:rsidP="008B4DCB">
      <w:pPr>
        <w:jc w:val="both"/>
        <w:rPr>
          <w:rFonts w:cstheme="minorHAnsi"/>
          <w:lang w:val="en-US"/>
        </w:rPr>
      </w:pPr>
    </w:p>
    <w:p w14:paraId="62901B0B" w14:textId="0BAC0C0E" w:rsidR="008B4DCB" w:rsidRPr="00B82496" w:rsidRDefault="008B4DCB" w:rsidP="008B4DCB">
      <w:pPr>
        <w:jc w:val="both"/>
        <w:rPr>
          <w:rFonts w:cstheme="minorHAnsi"/>
          <w:lang w:val="en-US"/>
        </w:rPr>
      </w:pPr>
      <w:r w:rsidRPr="00B82496">
        <w:rPr>
          <w:rFonts w:cstheme="minorHAnsi"/>
          <w:lang w:val="en-US"/>
        </w:rPr>
        <w:t>Fig.</w:t>
      </w:r>
      <w:r w:rsidR="00BE075C" w:rsidRPr="00B82496">
        <w:rPr>
          <w:rFonts w:cstheme="minorHAnsi"/>
          <w:lang w:val="en-US"/>
        </w:rPr>
        <w:t xml:space="preserve"> S4</w:t>
      </w:r>
      <w:r w:rsidRPr="00B82496">
        <w:rPr>
          <w:rFonts w:cstheme="minorHAnsi"/>
          <w:lang w:val="en-US"/>
        </w:rPr>
        <w:t>. Tumor growth curves of early-immunized TC-1 tumor-bearing mice. 0.5x10</w:t>
      </w:r>
      <w:r w:rsidRPr="00B82496">
        <w:rPr>
          <w:rFonts w:cstheme="minorHAnsi"/>
          <w:vertAlign w:val="superscript"/>
          <w:lang w:val="en-US"/>
        </w:rPr>
        <w:t>6</w:t>
      </w:r>
      <w:r w:rsidRPr="00B82496">
        <w:rPr>
          <w:rFonts w:cstheme="minorHAnsi"/>
          <w:lang w:val="en-US"/>
        </w:rPr>
        <w:t xml:space="preserve"> TC-1 cells were implanted into the flank of the mice at day 0. The vaccine and the control treatments were administered at day 7 when the mean detectable tumor volume was 22</w:t>
      </w:r>
      <w:r w:rsidR="00CD780A" w:rsidRPr="00B82496">
        <w:rPr>
          <w:rFonts w:cstheme="minorHAnsi"/>
          <w:lang w:val="en-US"/>
        </w:rPr>
        <w:t xml:space="preserve"> </w:t>
      </w:r>
      <w:r w:rsidRPr="00B82496">
        <w:rPr>
          <w:rFonts w:cstheme="minorHAnsi"/>
          <w:lang w:val="en-US"/>
        </w:rPr>
        <w:t>mm</w:t>
      </w:r>
      <w:r w:rsidRPr="00B82496">
        <w:rPr>
          <w:rFonts w:cstheme="minorHAnsi"/>
          <w:vertAlign w:val="superscript"/>
          <w:lang w:val="en-US"/>
        </w:rPr>
        <w:t>3</w:t>
      </w:r>
      <w:r w:rsidRPr="00B82496">
        <w:rPr>
          <w:rFonts w:cstheme="minorHAnsi"/>
          <w:lang w:val="en-US"/>
        </w:rPr>
        <w:t>, and 32% of the mice lacked a palpable mass. Mice received subcutaneous injections of PBS (n=5) or 15</w:t>
      </w:r>
      <w:r w:rsidR="00CD780A" w:rsidRPr="00B82496">
        <w:rPr>
          <w:rFonts w:cstheme="minorHAnsi"/>
          <w:lang w:val="en-US"/>
        </w:rPr>
        <w:t xml:space="preserve"> </w:t>
      </w:r>
      <w:r w:rsidRPr="00B82496">
        <w:rPr>
          <w:rFonts w:eastAsia="Times New Roman" w:cstheme="minorHAnsi"/>
          <w:bCs/>
          <w:lang w:val="en-US"/>
        </w:rPr>
        <w:t>μ</w:t>
      </w:r>
      <w:r w:rsidRPr="00B82496">
        <w:rPr>
          <w:rFonts w:cstheme="minorHAnsi"/>
          <w:lang w:val="en-US"/>
        </w:rPr>
        <w:t xml:space="preserve">g </w:t>
      </w:r>
      <w:r w:rsidR="00197B13" w:rsidRPr="00B82496">
        <w:rPr>
          <w:rFonts w:cstheme="minorHAnsi"/>
          <w:lang w:val="en-US"/>
        </w:rPr>
        <w:t>of E7LP either in a free form (F</w:t>
      </w:r>
      <w:r w:rsidRPr="00B82496">
        <w:rPr>
          <w:rFonts w:cstheme="minorHAnsi"/>
          <w:lang w:val="en-US"/>
        </w:rPr>
        <w:t>ree E7LP, n=4) or conjugated to NPs (NP-E7LP, n=10); both vaccinated groups also received 20</w:t>
      </w:r>
      <w:r w:rsidR="00CD780A" w:rsidRPr="00B82496">
        <w:rPr>
          <w:rFonts w:cstheme="minorHAnsi"/>
          <w:lang w:val="en-US"/>
        </w:rPr>
        <w:t xml:space="preserve"> </w:t>
      </w:r>
      <w:r w:rsidRPr="00B82496">
        <w:rPr>
          <w:rFonts w:eastAsia="Times New Roman" w:cstheme="minorHAnsi"/>
          <w:bCs/>
          <w:lang w:val="en-US"/>
        </w:rPr>
        <w:t>μ</w:t>
      </w:r>
      <w:r w:rsidRPr="00B82496">
        <w:rPr>
          <w:rFonts w:cstheme="minorHAnsi"/>
          <w:lang w:val="en-US"/>
        </w:rPr>
        <w:t xml:space="preserve">g of CpG as adjuvant. (A) Mean tumor volume per group. (B) Individual </w:t>
      </w:r>
      <w:r w:rsidRPr="00B82496">
        <w:rPr>
          <w:rFonts w:cstheme="minorHAnsi"/>
          <w:lang w:val="en-US"/>
        </w:rPr>
        <w:lastRenderedPageBreak/>
        <w:t xml:space="preserve">tumor volumes. </w:t>
      </w:r>
      <w:r w:rsidR="00486FC5" w:rsidRPr="00B82496">
        <w:rPr>
          <w:rFonts w:cstheme="minorHAnsi"/>
          <w:lang w:val="en-US"/>
        </w:rPr>
        <w:t>Black stars refer to Free</w:t>
      </w:r>
      <w:r w:rsidR="00A33AB3" w:rsidRPr="00B82496">
        <w:rPr>
          <w:rFonts w:cstheme="minorHAnsi"/>
          <w:lang w:val="en-US"/>
        </w:rPr>
        <w:t xml:space="preserve"> E7LP</w:t>
      </w:r>
      <w:r w:rsidR="00486FC5" w:rsidRPr="00B82496">
        <w:rPr>
          <w:rFonts w:cstheme="minorHAnsi"/>
          <w:lang w:val="en-US"/>
        </w:rPr>
        <w:t xml:space="preserve"> vs NP</w:t>
      </w:r>
      <w:r w:rsidR="00A33AB3" w:rsidRPr="00B82496">
        <w:rPr>
          <w:rFonts w:cstheme="minorHAnsi"/>
          <w:lang w:val="en-US"/>
        </w:rPr>
        <w:t>-</w:t>
      </w:r>
      <w:r w:rsidR="00382C4B" w:rsidRPr="00B82496">
        <w:rPr>
          <w:rFonts w:cstheme="minorHAnsi"/>
          <w:lang w:val="en-US"/>
        </w:rPr>
        <w:t>E7LP</w:t>
      </w:r>
      <w:r w:rsidR="00486FC5" w:rsidRPr="00B82496">
        <w:rPr>
          <w:rFonts w:cstheme="minorHAnsi"/>
          <w:lang w:val="en-US"/>
        </w:rPr>
        <w:t>, Green stars refer to Free</w:t>
      </w:r>
      <w:r w:rsidR="00A33AB3" w:rsidRPr="00B82496">
        <w:rPr>
          <w:rFonts w:cstheme="minorHAnsi"/>
          <w:lang w:val="en-US"/>
        </w:rPr>
        <w:t xml:space="preserve"> E7LP</w:t>
      </w:r>
      <w:r w:rsidR="00486FC5" w:rsidRPr="00B82496">
        <w:rPr>
          <w:rFonts w:cstheme="minorHAnsi"/>
          <w:lang w:val="en-US"/>
        </w:rPr>
        <w:t xml:space="preserve"> vs PBS and blue stars refer to NP</w:t>
      </w:r>
      <w:r w:rsidR="00A33AB3" w:rsidRPr="00B82496">
        <w:rPr>
          <w:rFonts w:cstheme="minorHAnsi"/>
          <w:lang w:val="en-US"/>
        </w:rPr>
        <w:t>-E7LP</w:t>
      </w:r>
      <w:r w:rsidR="00486FC5" w:rsidRPr="00B82496">
        <w:rPr>
          <w:rFonts w:cstheme="minorHAnsi"/>
          <w:lang w:val="en-US"/>
        </w:rPr>
        <w:t xml:space="preserve"> vs PBS. Statistics: *p &lt; 0.05; **p &lt; 0.01; ***p &lt; 0.001; ****p&lt;0.0001; n.s. = not significant.</w:t>
      </w:r>
    </w:p>
    <w:p w14:paraId="04288E36" w14:textId="77777777" w:rsidR="00A33AB3" w:rsidRPr="00B82496" w:rsidRDefault="00A33AB3" w:rsidP="008B4DCB">
      <w:pPr>
        <w:jc w:val="both"/>
        <w:rPr>
          <w:rFonts w:cstheme="minorHAnsi"/>
          <w:lang w:val="en-US"/>
        </w:rPr>
      </w:pPr>
    </w:p>
    <w:p w14:paraId="719B527C" w14:textId="54B52171" w:rsidR="004C66B7" w:rsidRPr="00B82496" w:rsidRDefault="002A14FC" w:rsidP="008B4DCB">
      <w:pPr>
        <w:jc w:val="both"/>
        <w:rPr>
          <w:rFonts w:cstheme="minorHAnsi"/>
          <w:lang w:val="en-US"/>
        </w:rPr>
      </w:pPr>
      <w:r w:rsidRPr="00B82496">
        <w:rPr>
          <w:rFonts w:cstheme="minorHAnsi"/>
          <w:lang w:val="en-US"/>
        </w:rPr>
        <w:t>Fig. S5. Quantification of intra-tumoral CD8 T cells performed on histological sections</w:t>
      </w:r>
      <w:r w:rsidR="009733C2" w:rsidRPr="00B82496">
        <w:rPr>
          <w:rFonts w:cstheme="minorHAnsi"/>
          <w:lang w:val="en-US"/>
        </w:rPr>
        <w:t xml:space="preserve"> of subcutaneous TC-1 tumors</w:t>
      </w:r>
      <w:r w:rsidRPr="00B82496">
        <w:rPr>
          <w:rFonts w:cstheme="minorHAnsi"/>
          <w:lang w:val="en-US"/>
        </w:rPr>
        <w:t>. The values are calculated as the percentage of the DAPI+ CD8 T cell nuclei area on the total DAPI+ area. Each mouse is represented by a data point obtained by the mea</w:t>
      </w:r>
      <w:r w:rsidR="00602F4A" w:rsidRPr="00B82496">
        <w:rPr>
          <w:rFonts w:cstheme="minorHAnsi"/>
          <w:lang w:val="en-US"/>
        </w:rPr>
        <w:t>n calculated between every field.</w:t>
      </w:r>
      <w:r w:rsidRPr="00B82496">
        <w:rPr>
          <w:rFonts w:cstheme="minorHAnsi"/>
          <w:lang w:val="en-US"/>
        </w:rPr>
        <w:t xml:space="preserve"> 4 samples per group were stained and 2 fields per sam</w:t>
      </w:r>
      <w:r w:rsidR="004C66B7" w:rsidRPr="00B82496">
        <w:rPr>
          <w:rFonts w:cstheme="minorHAnsi"/>
          <w:lang w:val="en-US"/>
        </w:rPr>
        <w:t xml:space="preserve">ples were analyzed using Fiji. </w:t>
      </w:r>
      <w:r w:rsidRPr="00B82496">
        <w:rPr>
          <w:rFonts w:cstheme="minorHAnsi"/>
          <w:lang w:val="en-US"/>
        </w:rPr>
        <w:t>Statistics: *p &lt; 0.05; **p &lt; 0.01; ***p &lt; 0.001; ****p&lt;0.0001; n.s. = not significant.</w:t>
      </w:r>
    </w:p>
    <w:p w14:paraId="18F17A92" w14:textId="77777777" w:rsidR="002A14FC" w:rsidRPr="00B82496" w:rsidRDefault="002A14FC" w:rsidP="008B4DCB">
      <w:pPr>
        <w:jc w:val="both"/>
        <w:rPr>
          <w:rFonts w:cstheme="minorHAnsi"/>
          <w:lang w:val="en-US"/>
        </w:rPr>
      </w:pPr>
    </w:p>
    <w:p w14:paraId="7A27B57C" w14:textId="310C8F22" w:rsidR="008B4DCB" w:rsidRPr="00B82496" w:rsidRDefault="002A14FC" w:rsidP="008B4DCB">
      <w:pPr>
        <w:jc w:val="both"/>
        <w:rPr>
          <w:rFonts w:cstheme="minorHAnsi"/>
          <w:lang w:val="en-US"/>
        </w:rPr>
      </w:pPr>
      <w:r w:rsidRPr="00B82496">
        <w:rPr>
          <w:rFonts w:cstheme="minorHAnsi"/>
          <w:lang w:val="en-US"/>
        </w:rPr>
        <w:t>Fig. S6</w:t>
      </w:r>
      <w:r w:rsidR="008B4DCB" w:rsidRPr="00B82496">
        <w:rPr>
          <w:rFonts w:cstheme="minorHAnsi"/>
          <w:lang w:val="en-US"/>
        </w:rPr>
        <w:t>. Flow cytometry analyses of intra-tumoral (A) CD11b+F4/80+ macrophages, (B) CD206+CD11b+F4/80+ “M2 like” macrophages, C) CD11b</w:t>
      </w:r>
      <w:r w:rsidR="008B4DCB" w:rsidRPr="00B82496">
        <w:rPr>
          <w:rFonts w:cstheme="minorHAnsi"/>
          <w:vertAlign w:val="superscript"/>
          <w:lang w:val="en-US"/>
        </w:rPr>
        <w:t>High</w:t>
      </w:r>
      <w:r w:rsidR="008B4DCB" w:rsidRPr="00B82496">
        <w:rPr>
          <w:rFonts w:cstheme="minorHAnsi"/>
          <w:lang w:val="en-US"/>
        </w:rPr>
        <w:t>Ly6C+Ly6G- monocytes, (D) CD11b</w:t>
      </w:r>
      <w:r w:rsidR="008B4DCB" w:rsidRPr="00B82496">
        <w:rPr>
          <w:rFonts w:cstheme="minorHAnsi"/>
          <w:vertAlign w:val="superscript"/>
          <w:lang w:val="en-US"/>
        </w:rPr>
        <w:t>High</w:t>
      </w:r>
      <w:r w:rsidR="008B4DCB" w:rsidRPr="00B82496">
        <w:rPr>
          <w:rFonts w:cstheme="minorHAnsi"/>
          <w:lang w:val="en-US"/>
        </w:rPr>
        <w:t xml:space="preserve"> Ly6C- Ly6G+ neutrophils, (E) F4/80-CD11b+CD11C+ DCs and (F) F4/80-CD11b-CD11C+ DCs. 0.5x10</w:t>
      </w:r>
      <w:r w:rsidR="008B4DCB" w:rsidRPr="00B82496">
        <w:rPr>
          <w:rFonts w:cstheme="minorHAnsi"/>
          <w:vertAlign w:val="superscript"/>
          <w:lang w:val="en-US"/>
        </w:rPr>
        <w:t>6</w:t>
      </w:r>
      <w:r w:rsidR="008B4DCB" w:rsidRPr="00B82496">
        <w:rPr>
          <w:rFonts w:cstheme="minorHAnsi"/>
          <w:lang w:val="en-US"/>
        </w:rPr>
        <w:t xml:space="preserve"> TC-1 cells were implanted into a flank of each mouse at day 0. The vaccine and the control treatments were administere</w:t>
      </w:r>
      <w:r w:rsidR="00CD780A" w:rsidRPr="00B82496">
        <w:rPr>
          <w:rFonts w:cstheme="minorHAnsi"/>
          <w:lang w:val="en-US"/>
        </w:rPr>
        <w:t xml:space="preserve">d when the mean tumor size was </w:t>
      </w:r>
      <w:r w:rsidR="009931F9" w:rsidRPr="00B82496">
        <w:rPr>
          <w:rFonts w:cstheme="minorHAnsi"/>
          <w:lang w:val="en-US"/>
        </w:rPr>
        <w:sym w:font="Symbol" w:char="F07E"/>
      </w:r>
      <w:r w:rsidR="008B4DCB" w:rsidRPr="00B82496">
        <w:rPr>
          <w:rFonts w:cstheme="minorHAnsi"/>
          <w:lang w:val="en-US"/>
        </w:rPr>
        <w:t>100</w:t>
      </w:r>
      <w:r w:rsidR="00CD780A" w:rsidRPr="00B82496">
        <w:rPr>
          <w:rFonts w:cstheme="minorHAnsi"/>
          <w:lang w:val="en-US"/>
        </w:rPr>
        <w:t xml:space="preserve"> </w:t>
      </w:r>
      <w:r w:rsidR="008B4DCB" w:rsidRPr="00B82496">
        <w:rPr>
          <w:rFonts w:cstheme="minorHAnsi"/>
          <w:lang w:val="en-US"/>
        </w:rPr>
        <w:t>mm</w:t>
      </w:r>
      <w:r w:rsidR="008B4DCB" w:rsidRPr="00B82496">
        <w:rPr>
          <w:rFonts w:cstheme="minorHAnsi"/>
          <w:vertAlign w:val="superscript"/>
          <w:lang w:val="en-US"/>
        </w:rPr>
        <w:t>3</w:t>
      </w:r>
      <w:r w:rsidR="008B4DCB" w:rsidRPr="00B82496">
        <w:rPr>
          <w:rFonts w:cstheme="minorHAnsi"/>
          <w:lang w:val="en-US"/>
        </w:rPr>
        <w:t>. Mice received subcutaneous injections of PBS (n=8) or 15</w:t>
      </w:r>
      <w:r w:rsidR="00CD780A" w:rsidRPr="00B82496">
        <w:rPr>
          <w:rFonts w:cstheme="minorHAnsi"/>
          <w:lang w:val="en-US"/>
        </w:rPr>
        <w:t xml:space="preserve"> </w:t>
      </w:r>
      <w:r w:rsidR="008B4DCB" w:rsidRPr="00B82496">
        <w:rPr>
          <w:rFonts w:eastAsia="Times New Roman" w:cstheme="minorHAnsi"/>
          <w:bCs/>
          <w:lang w:val="en-US"/>
        </w:rPr>
        <w:t>μ</w:t>
      </w:r>
      <w:r w:rsidR="008B4DCB" w:rsidRPr="00B82496">
        <w:rPr>
          <w:rFonts w:cstheme="minorHAnsi"/>
          <w:lang w:val="en-US"/>
        </w:rPr>
        <w:t>g of E7LP either in a free fo</w:t>
      </w:r>
      <w:r w:rsidR="00197B13" w:rsidRPr="00B82496">
        <w:rPr>
          <w:rFonts w:cstheme="minorHAnsi"/>
          <w:lang w:val="en-US"/>
        </w:rPr>
        <w:t>rm (F</w:t>
      </w:r>
      <w:r w:rsidR="008B4DCB" w:rsidRPr="00B82496">
        <w:rPr>
          <w:rFonts w:cstheme="minorHAnsi"/>
          <w:lang w:val="en-US"/>
        </w:rPr>
        <w:t>ree E7LP, n=8) or conjugated to NPs (NP-E7LP, n=8); both vaccinated groups also received 20</w:t>
      </w:r>
      <w:r w:rsidR="00CD780A" w:rsidRPr="00B82496">
        <w:rPr>
          <w:rFonts w:cstheme="minorHAnsi"/>
          <w:lang w:val="en-US"/>
        </w:rPr>
        <w:t xml:space="preserve"> </w:t>
      </w:r>
      <w:r w:rsidR="008B4DCB" w:rsidRPr="00B82496">
        <w:rPr>
          <w:rFonts w:eastAsia="Times New Roman" w:cstheme="minorHAnsi"/>
          <w:bCs/>
          <w:lang w:val="en-US"/>
        </w:rPr>
        <w:t>μ</w:t>
      </w:r>
      <w:r w:rsidR="008B4DCB" w:rsidRPr="00B82496">
        <w:rPr>
          <w:rFonts w:cstheme="minorHAnsi"/>
          <w:lang w:val="en-US"/>
        </w:rPr>
        <w:t>g of CpG as adjuvant. Mice were sacrificed 9 days after immunization and tumors were harvested and processed for flow cytometry analyses. All the cells were gated on single, live cells.</w:t>
      </w:r>
      <w:r w:rsidRPr="00B82496">
        <w:rPr>
          <w:rFonts w:cstheme="minorHAnsi"/>
          <w:lang w:val="en-US"/>
        </w:rPr>
        <w:t xml:space="preserve"> </w:t>
      </w:r>
      <w:r w:rsidR="008B4DCB" w:rsidRPr="00B82496">
        <w:rPr>
          <w:rFonts w:cstheme="minorHAnsi"/>
          <w:lang w:val="en-US"/>
        </w:rPr>
        <w:t>Statistics: *p &lt; 0.05; **p &lt; 0.01; ***p &lt; 0.001; ****p&lt;0.0001; n.s. = not significant.</w:t>
      </w:r>
    </w:p>
    <w:p w14:paraId="2E091B97" w14:textId="77777777" w:rsidR="004C66B7" w:rsidRPr="00B82496" w:rsidRDefault="004C66B7" w:rsidP="008B4DCB">
      <w:pPr>
        <w:jc w:val="both"/>
        <w:rPr>
          <w:rFonts w:cstheme="minorHAnsi"/>
          <w:lang w:val="en-US"/>
        </w:rPr>
      </w:pPr>
    </w:p>
    <w:p w14:paraId="2E743E4F" w14:textId="29C41DE8" w:rsidR="004C66B7" w:rsidRPr="00B82496" w:rsidRDefault="004C66B7" w:rsidP="008B4DCB">
      <w:pPr>
        <w:jc w:val="both"/>
        <w:rPr>
          <w:rFonts w:cstheme="minorHAnsi"/>
          <w:lang w:val="en-US"/>
        </w:rPr>
      </w:pPr>
      <w:r w:rsidRPr="00B82496">
        <w:rPr>
          <w:rFonts w:cstheme="minorHAnsi"/>
          <w:lang w:val="en-US"/>
        </w:rPr>
        <w:t>Fig. S7. Quantification of intra-tumoral CD8 T cells performed on histological sections. The values are calculated as the percentage of the DAPI+ CD8 T cell nuclei area on the total DAPI+ area. Each mouse is represented by a data point obtained by quantification performed on the whole tissue section. (A) Intravaginal TC-1 tumors: 3 (PBS and NP-E7LP) or 4 (Free E7LP) samples were stained and images of the whole tissue were acquired and analyzed using Fiji. (B) TC-1 lung metastases: 4 (PBS) or 8 (Free E7LP and NP-E7LP) samples were stained and images of the whole tissue were acquired. All the lung metastases identified on each sample were selected and analyzed using Fiji. Statistics: *p &lt; 0.05; **p &lt; 0.01; ***p &lt; 0.001; ****p&lt;0.0001; n.s. = not significant.</w:t>
      </w:r>
    </w:p>
    <w:p w14:paraId="199746D4" w14:textId="77777777" w:rsidR="008B4DCB" w:rsidRPr="00B82496" w:rsidRDefault="008B4DCB" w:rsidP="008B4DCB">
      <w:pPr>
        <w:jc w:val="both"/>
        <w:rPr>
          <w:rFonts w:cstheme="minorHAnsi"/>
          <w:lang w:val="en-US"/>
        </w:rPr>
      </w:pPr>
    </w:p>
    <w:p w14:paraId="5B84EE95" w14:textId="7914DC19" w:rsidR="008B4DCB" w:rsidRPr="00B82496" w:rsidRDefault="004C66B7" w:rsidP="008B4DCB">
      <w:pPr>
        <w:jc w:val="both"/>
        <w:rPr>
          <w:rFonts w:cstheme="minorHAnsi"/>
          <w:lang w:val="en-US"/>
        </w:rPr>
      </w:pPr>
      <w:r w:rsidRPr="00B82496">
        <w:rPr>
          <w:rFonts w:cstheme="minorHAnsi"/>
          <w:lang w:val="en-US"/>
        </w:rPr>
        <w:t>Fig. S8</w:t>
      </w:r>
      <w:r w:rsidR="008B4DCB" w:rsidRPr="00B82496">
        <w:rPr>
          <w:rFonts w:cstheme="minorHAnsi"/>
          <w:lang w:val="en-US"/>
        </w:rPr>
        <w:t>.</w:t>
      </w:r>
      <w:r w:rsidR="00B018B0" w:rsidRPr="00B82496">
        <w:rPr>
          <w:rFonts w:cstheme="minorHAnsi"/>
          <w:lang w:val="en-US"/>
        </w:rPr>
        <w:t xml:space="preserve"> </w:t>
      </w:r>
      <w:r w:rsidR="00E44AFD" w:rsidRPr="00B82496">
        <w:rPr>
          <w:rFonts w:cstheme="minorHAnsi"/>
          <w:lang w:val="en-US"/>
        </w:rPr>
        <w:t xml:space="preserve">Analyses of relapsing tumors. </w:t>
      </w:r>
      <w:r w:rsidR="00B018B0" w:rsidRPr="00B82496">
        <w:rPr>
          <w:rFonts w:cstheme="minorHAnsi"/>
          <w:lang w:val="en-US"/>
        </w:rPr>
        <w:t>(A) Tumor growth curve of TC-1 tumor treated with NP-E7LP vaccine, depicting response, stable disease and relapse phase. (B</w:t>
      </w:r>
      <w:r w:rsidR="008B4DCB" w:rsidRPr="00B82496">
        <w:rPr>
          <w:rFonts w:cstheme="minorHAnsi"/>
          <w:lang w:val="en-US"/>
        </w:rPr>
        <w:t xml:space="preserve">) Gene expression and </w:t>
      </w:r>
      <w:r w:rsidR="008B4DCB" w:rsidRPr="00B82496">
        <w:rPr>
          <w:rFonts w:cstheme="minorHAnsi"/>
          <w:i/>
          <w:lang w:val="en-US"/>
        </w:rPr>
        <w:t>E7</w:t>
      </w:r>
      <w:r w:rsidR="008B4DCB" w:rsidRPr="00B82496">
        <w:rPr>
          <w:rFonts w:cstheme="minorHAnsi"/>
          <w:lang w:val="en-US"/>
        </w:rPr>
        <w:t xml:space="preserve"> sequence analysis comparing untreated TC-1 tumors with TC-1 tumors after relapsing from NP-E7LP treatment. </w:t>
      </w:r>
      <w:r w:rsidR="008B4DCB" w:rsidRPr="00B82496">
        <w:rPr>
          <w:rFonts w:cstheme="minorHAnsi"/>
          <w:i/>
          <w:lang w:val="en-US"/>
        </w:rPr>
        <w:t xml:space="preserve">E7, H2Db, B2M, TAP1 </w:t>
      </w:r>
      <w:r w:rsidR="008B4DCB" w:rsidRPr="00B82496">
        <w:rPr>
          <w:rFonts w:cstheme="minorHAnsi"/>
          <w:lang w:val="en-US"/>
        </w:rPr>
        <w:t>and</w:t>
      </w:r>
      <w:r w:rsidR="008B4DCB" w:rsidRPr="00B82496">
        <w:rPr>
          <w:rFonts w:cstheme="minorHAnsi"/>
          <w:i/>
          <w:lang w:val="en-US"/>
        </w:rPr>
        <w:t xml:space="preserve"> PSMB5</w:t>
      </w:r>
      <w:r w:rsidR="008B4DCB" w:rsidRPr="00B82496">
        <w:rPr>
          <w:rFonts w:cstheme="minorHAnsi"/>
          <w:lang w:val="en-US"/>
        </w:rPr>
        <w:t xml:space="preserve"> gene expression of TC-1 (n=3) and TC-1 relapse (n=6) tumors were determined by real time PCR. The </w:t>
      </w:r>
      <w:r w:rsidR="008B4DCB" w:rsidRPr="00B82496">
        <w:rPr>
          <w:rFonts w:cstheme="minorHAnsi"/>
          <w:i/>
          <w:lang w:val="en-US"/>
        </w:rPr>
        <w:t>E7</w:t>
      </w:r>
      <w:r w:rsidR="008B4DCB" w:rsidRPr="00B82496">
        <w:rPr>
          <w:rFonts w:cstheme="minorHAnsi"/>
          <w:lang w:val="en-US"/>
        </w:rPr>
        <w:t xml:space="preserve"> sequence encoding for the MHC-I restricted CD8 peptide of 8 relapsing TC-1 tumors was sequenced by Sanger sequencing (5 clones per tumor). </w:t>
      </w:r>
      <w:r w:rsidR="002A14FC" w:rsidRPr="00B82496">
        <w:rPr>
          <w:rFonts w:cstheme="minorHAnsi"/>
          <w:lang w:val="en-US"/>
        </w:rPr>
        <w:t>Statistics: *p &lt; 0.05; **p &lt; 0.01; ***p &lt; 0.001; ****p&lt;0.0001; n.s. = not significant.</w:t>
      </w:r>
    </w:p>
    <w:p w14:paraId="15C1B37B" w14:textId="77777777" w:rsidR="008B4DCB" w:rsidRPr="00B82496" w:rsidRDefault="008B4DCB" w:rsidP="008B4DCB">
      <w:pPr>
        <w:jc w:val="both"/>
        <w:rPr>
          <w:rFonts w:cstheme="minorHAnsi"/>
          <w:lang w:val="en-US"/>
        </w:rPr>
      </w:pPr>
    </w:p>
    <w:p w14:paraId="430F37FF" w14:textId="765827FC" w:rsidR="008B4DCB" w:rsidRPr="00B82496" w:rsidRDefault="00BE075C" w:rsidP="008B4DCB">
      <w:pPr>
        <w:jc w:val="both"/>
        <w:rPr>
          <w:rFonts w:cstheme="minorHAnsi"/>
          <w:lang w:val="en-US"/>
        </w:rPr>
      </w:pPr>
      <w:r w:rsidRPr="00B82496">
        <w:rPr>
          <w:rFonts w:cstheme="minorHAnsi"/>
          <w:lang w:val="en-US"/>
        </w:rPr>
        <w:t>Fig</w:t>
      </w:r>
      <w:r w:rsidR="004C66B7" w:rsidRPr="00B82496">
        <w:rPr>
          <w:rFonts w:cstheme="minorHAnsi"/>
          <w:lang w:val="en-US"/>
        </w:rPr>
        <w:t>. S9</w:t>
      </w:r>
      <w:r w:rsidR="008B4DCB" w:rsidRPr="00B82496">
        <w:rPr>
          <w:rFonts w:cstheme="minorHAnsi"/>
          <w:lang w:val="en-US"/>
        </w:rPr>
        <w:t xml:space="preserve">. Quantification of immunological markers evaluated by immuno-histology on tumor tissue sections at different phases of therapeutic response. As the tumor sections were very homogeneous in cell distribution and staining intensity in each separate treatment phase, three representative fields per sample were imaged and subsequently analyzed using Fiji. Each mouse tumor is represented as a data point averaging the values calculated for each field for that tumor. The panels show A) mean CD8 T cells infiltrates per field, calculated as the percentage of the DAPI+/CD8+ area relative to the total DAPI+ nuclear area; and the mean staining intensity per field for: </w:t>
      </w:r>
      <w:r w:rsidR="00CD780A" w:rsidRPr="00B82496">
        <w:rPr>
          <w:rFonts w:cstheme="minorHAnsi"/>
          <w:lang w:val="en-US"/>
        </w:rPr>
        <w:t>(</w:t>
      </w:r>
      <w:r w:rsidR="008B4DCB" w:rsidRPr="00B82496">
        <w:rPr>
          <w:rFonts w:cstheme="minorHAnsi"/>
          <w:lang w:val="en-US"/>
        </w:rPr>
        <w:t xml:space="preserve">B) ICOS; </w:t>
      </w:r>
      <w:r w:rsidR="00CD780A" w:rsidRPr="00B82496">
        <w:rPr>
          <w:rFonts w:cstheme="minorHAnsi"/>
          <w:lang w:val="en-US"/>
        </w:rPr>
        <w:t>(</w:t>
      </w:r>
      <w:r w:rsidR="001E5F5E" w:rsidRPr="00B82496">
        <w:rPr>
          <w:rFonts w:cstheme="minorHAnsi"/>
          <w:lang w:val="en-US"/>
        </w:rPr>
        <w:t>C) F4/80.</w:t>
      </w:r>
      <w:r w:rsidR="003922A6" w:rsidRPr="00B82496">
        <w:rPr>
          <w:rFonts w:cstheme="minorHAnsi"/>
          <w:lang w:val="en-US"/>
        </w:rPr>
        <w:t xml:space="preserve"> Treatment groups: PBS n=2; Response n=4; Stable n=4; Relapse n=4.</w:t>
      </w:r>
    </w:p>
    <w:p w14:paraId="39E401F6" w14:textId="77777777" w:rsidR="008B4DCB" w:rsidRPr="00B82496" w:rsidRDefault="008B4DCB" w:rsidP="008B4DCB">
      <w:pPr>
        <w:jc w:val="both"/>
        <w:rPr>
          <w:rFonts w:cstheme="minorHAnsi"/>
          <w:lang w:val="en-US"/>
        </w:rPr>
      </w:pPr>
      <w:r w:rsidRPr="00B82496">
        <w:rPr>
          <w:rFonts w:cstheme="minorHAnsi"/>
          <w:lang w:val="en-US"/>
        </w:rPr>
        <w:t>Statistics: *p &lt; 0.05; **p &lt; 0.01; ***p &lt; 0.001; ****p&lt;0.0001; n.s. = not significant.</w:t>
      </w:r>
    </w:p>
    <w:p w14:paraId="7B2C096A" w14:textId="77777777" w:rsidR="008B4DCB" w:rsidRPr="00B82496" w:rsidRDefault="008B4DCB" w:rsidP="008B4DCB">
      <w:pPr>
        <w:jc w:val="both"/>
        <w:rPr>
          <w:rFonts w:cstheme="minorHAnsi"/>
          <w:lang w:val="en-US"/>
        </w:rPr>
      </w:pPr>
      <w:r w:rsidRPr="00B82496">
        <w:rPr>
          <w:rFonts w:cstheme="minorHAnsi"/>
          <w:lang w:val="en-US"/>
        </w:rPr>
        <w:lastRenderedPageBreak/>
        <w:t>Additional statistics:</w:t>
      </w:r>
    </w:p>
    <w:p w14:paraId="6372198C" w14:textId="77777777" w:rsidR="008B4DCB" w:rsidRPr="00B82496" w:rsidRDefault="008B4DCB" w:rsidP="008B4DCB">
      <w:pPr>
        <w:jc w:val="both"/>
        <w:rPr>
          <w:rFonts w:cstheme="minorHAnsi"/>
          <w:lang w:val="en-US"/>
        </w:rPr>
      </w:pPr>
      <w:r w:rsidRPr="00B82496">
        <w:rPr>
          <w:rFonts w:cstheme="minorHAnsi"/>
          <w:lang w:val="en-US"/>
        </w:rPr>
        <w:t xml:space="preserve">CD8: PBS vs Response p=0.0011, PBS vs Stable p=0.0026, PBS vs Relapse p=0.0843. </w:t>
      </w:r>
    </w:p>
    <w:p w14:paraId="2B4AFB62" w14:textId="77777777" w:rsidR="008B4DCB" w:rsidRPr="00B82496" w:rsidRDefault="008B4DCB" w:rsidP="008B4DCB">
      <w:pPr>
        <w:jc w:val="both"/>
        <w:rPr>
          <w:rFonts w:cstheme="minorHAnsi"/>
          <w:lang w:val="en-US"/>
        </w:rPr>
      </w:pPr>
      <w:r w:rsidRPr="00B82496">
        <w:rPr>
          <w:rFonts w:cstheme="minorHAnsi"/>
          <w:lang w:val="en-US"/>
        </w:rPr>
        <w:t>ICOS: PBS vs Response p=0.0131, PBS vs Stable p=0.6762, PBS vs Relapse p=0.8011.</w:t>
      </w:r>
    </w:p>
    <w:p w14:paraId="769AAB2D" w14:textId="77777777" w:rsidR="008B4DCB" w:rsidRPr="00B82496" w:rsidRDefault="008B4DCB" w:rsidP="008B4DCB">
      <w:pPr>
        <w:jc w:val="both"/>
        <w:rPr>
          <w:rFonts w:cstheme="minorHAnsi"/>
          <w:lang w:val="en-US"/>
        </w:rPr>
      </w:pPr>
      <w:r w:rsidRPr="00B82496">
        <w:rPr>
          <w:rFonts w:cstheme="minorHAnsi"/>
          <w:lang w:val="en-US"/>
        </w:rPr>
        <w:t>F4/80: PBS vs Response p=0.0265, PBS vs Stable p=0.0182, PBS vs Relapse p=0.4305.</w:t>
      </w:r>
    </w:p>
    <w:p w14:paraId="6C8BDB87" w14:textId="77777777" w:rsidR="008B4DCB" w:rsidRPr="00B82496" w:rsidRDefault="008B4DCB" w:rsidP="008B4DCB">
      <w:pPr>
        <w:jc w:val="both"/>
        <w:rPr>
          <w:rFonts w:cstheme="minorHAnsi"/>
          <w:lang w:val="en-US"/>
        </w:rPr>
      </w:pPr>
    </w:p>
    <w:p w14:paraId="4C71BF61" w14:textId="4E1696BB" w:rsidR="008B4DCB" w:rsidRPr="00B82496" w:rsidRDefault="004C66B7" w:rsidP="008B4DCB">
      <w:pPr>
        <w:jc w:val="both"/>
        <w:rPr>
          <w:rFonts w:cstheme="minorHAnsi"/>
          <w:lang w:val="en-US"/>
        </w:rPr>
      </w:pPr>
      <w:r w:rsidRPr="00B82496">
        <w:rPr>
          <w:rFonts w:cstheme="minorHAnsi"/>
          <w:lang w:val="en-US"/>
        </w:rPr>
        <w:t>Fig. S10</w:t>
      </w:r>
      <w:r w:rsidR="008B4DCB" w:rsidRPr="00B82496">
        <w:rPr>
          <w:rFonts w:cstheme="minorHAnsi"/>
          <w:lang w:val="en-US"/>
        </w:rPr>
        <w:t>. Magnified images of macrophages in the tumor microenvironment at different stages of disease progression. Images are derived</w:t>
      </w:r>
      <w:r w:rsidR="00B018B0" w:rsidRPr="00B82496">
        <w:rPr>
          <w:rFonts w:cstheme="minorHAnsi"/>
          <w:lang w:val="en-US"/>
        </w:rPr>
        <w:t xml:space="preserve"> from the fields shown In Fig. 5</w:t>
      </w:r>
      <w:r w:rsidR="008B4DCB" w:rsidRPr="00B82496">
        <w:rPr>
          <w:rFonts w:cstheme="minorHAnsi"/>
          <w:lang w:val="en-US"/>
        </w:rPr>
        <w:t>. Immuno-fluorescent staining for F4/80, CD11c and MRC1 is shown in 10</w:t>
      </w:r>
      <w:r w:rsidR="00CD780A" w:rsidRPr="00B82496">
        <w:rPr>
          <w:rFonts w:cstheme="minorHAnsi"/>
          <w:lang w:val="en-US"/>
        </w:rPr>
        <w:t xml:space="preserve"> </w:t>
      </w:r>
      <w:r w:rsidR="00CD780A" w:rsidRPr="00B82496">
        <w:rPr>
          <w:rFonts w:eastAsia="Times New Roman" w:cstheme="minorHAnsi"/>
          <w:lang w:val="en-US" w:eastAsia="it-IT"/>
        </w:rPr>
        <w:t>μ</w:t>
      </w:r>
      <w:r w:rsidR="008B4DCB" w:rsidRPr="00B82496">
        <w:rPr>
          <w:rFonts w:cstheme="minorHAnsi"/>
          <w:lang w:val="en-US"/>
        </w:rPr>
        <w:t>m sections derived from frozen OCT-embedded tumors that were collected at the ind</w:t>
      </w:r>
      <w:r w:rsidR="00C95285" w:rsidRPr="00B82496">
        <w:rPr>
          <w:rFonts w:cstheme="minorHAnsi"/>
          <w:lang w:val="en-US"/>
        </w:rPr>
        <w:t>icated time-points as in Fig S8</w:t>
      </w:r>
      <w:r w:rsidR="00B018B0" w:rsidRPr="00B82496">
        <w:rPr>
          <w:rFonts w:cstheme="minorHAnsi"/>
          <w:lang w:val="en-US"/>
        </w:rPr>
        <w:t>A</w:t>
      </w:r>
      <w:r w:rsidR="008B4DCB" w:rsidRPr="00B82496">
        <w:rPr>
          <w:rFonts w:cstheme="minorHAnsi"/>
          <w:lang w:val="en-US"/>
        </w:rPr>
        <w:t>. PBS treated tumors were collected at the endpoint. Scale bars are 50</w:t>
      </w:r>
      <w:r w:rsidR="00CD780A" w:rsidRPr="00B82496">
        <w:rPr>
          <w:rFonts w:cstheme="minorHAnsi"/>
          <w:lang w:val="en-US"/>
        </w:rPr>
        <w:t xml:space="preserve"> </w:t>
      </w:r>
      <w:r w:rsidR="008B4DCB" w:rsidRPr="00B82496">
        <w:rPr>
          <w:rFonts w:eastAsia="Times New Roman" w:cstheme="minorHAnsi"/>
          <w:lang w:val="en-US" w:eastAsia="it-IT"/>
        </w:rPr>
        <w:t>μ</w:t>
      </w:r>
      <w:r w:rsidR="008B4DCB" w:rsidRPr="00B82496">
        <w:rPr>
          <w:rFonts w:cstheme="minorHAnsi"/>
          <w:lang w:val="en-US"/>
        </w:rPr>
        <w:t xml:space="preserve">m. Single channel images of F4/80, CD11c, MRC1 (top lane and bottom left) and overlays of F4/80+CD11c and F4/80+MRC1 (bottom center and bottom right) are shown. </w:t>
      </w:r>
    </w:p>
    <w:p w14:paraId="62BDE825" w14:textId="77777777" w:rsidR="001E5F5E" w:rsidRPr="00B82496" w:rsidRDefault="001E5F5E" w:rsidP="008B4DCB">
      <w:pPr>
        <w:jc w:val="both"/>
        <w:rPr>
          <w:rFonts w:cstheme="minorHAnsi"/>
          <w:lang w:val="en-US"/>
        </w:rPr>
      </w:pPr>
    </w:p>
    <w:p w14:paraId="7F04F660" w14:textId="01C741D6" w:rsidR="001E5F5E" w:rsidRPr="00B82496" w:rsidRDefault="001E5F5E" w:rsidP="001E5F5E">
      <w:pPr>
        <w:jc w:val="both"/>
        <w:rPr>
          <w:rFonts w:cstheme="minorHAnsi"/>
          <w:lang w:val="en-US"/>
        </w:rPr>
      </w:pPr>
      <w:r w:rsidRPr="00B82496">
        <w:rPr>
          <w:rFonts w:cstheme="minorHAnsi"/>
          <w:lang w:val="en-US"/>
        </w:rPr>
        <w:t>Fig. S11. Quantification of immunological markers evaluated by immuno-histology on tumor tissue sections at different phases of therapeutic response. As the tumor sections were very homogeneous in cell distribution and staining intensity in each separate treatment phase, three representative fields per sample were imaged and subsequently analyzed using Fiji. Each mouse tumor is represented as a data point averaging the values calculated for each field for that tumor. The panels show the mean staining intensity per field for: (A) CD11c; (B) MRC1; and (C) PDL1.</w:t>
      </w:r>
      <w:r w:rsidR="003922A6" w:rsidRPr="00B82496">
        <w:rPr>
          <w:rFonts w:cstheme="minorHAnsi"/>
          <w:lang w:val="en-US"/>
        </w:rPr>
        <w:t xml:space="preserve"> Treatment groups: PBS n=2; Response n=4; Stable n=4; Relapse n=4.</w:t>
      </w:r>
    </w:p>
    <w:p w14:paraId="7C6CCBB7" w14:textId="77777777" w:rsidR="001E5F5E" w:rsidRPr="00B82496" w:rsidRDefault="001E5F5E" w:rsidP="001E5F5E">
      <w:pPr>
        <w:jc w:val="both"/>
        <w:rPr>
          <w:rFonts w:cstheme="minorHAnsi"/>
          <w:lang w:val="en-US"/>
        </w:rPr>
      </w:pPr>
      <w:r w:rsidRPr="00B82496">
        <w:rPr>
          <w:rFonts w:cstheme="minorHAnsi"/>
          <w:lang w:val="en-US"/>
        </w:rPr>
        <w:t>Statistics: *p &lt; 0.05; **p &lt; 0.01; ***p &lt; 0.001; ****p&lt;0.0001; n.s. = not significant.</w:t>
      </w:r>
    </w:p>
    <w:p w14:paraId="74D01BA5" w14:textId="77777777" w:rsidR="001E5F5E" w:rsidRPr="00B82496" w:rsidRDefault="001E5F5E" w:rsidP="001E5F5E">
      <w:pPr>
        <w:jc w:val="both"/>
        <w:rPr>
          <w:rFonts w:cstheme="minorHAnsi"/>
          <w:lang w:val="en-US"/>
        </w:rPr>
      </w:pPr>
      <w:r w:rsidRPr="00B82496">
        <w:rPr>
          <w:rFonts w:cstheme="minorHAnsi"/>
          <w:lang w:val="en-US"/>
        </w:rPr>
        <w:t>Additional statistics:</w:t>
      </w:r>
    </w:p>
    <w:p w14:paraId="5C5CF291" w14:textId="77777777" w:rsidR="001E5F5E" w:rsidRPr="00B82496" w:rsidRDefault="001E5F5E" w:rsidP="001E5F5E">
      <w:pPr>
        <w:jc w:val="both"/>
        <w:rPr>
          <w:rFonts w:cstheme="minorHAnsi"/>
          <w:lang w:val="en-US"/>
        </w:rPr>
      </w:pPr>
      <w:r w:rsidRPr="00B82496">
        <w:rPr>
          <w:rFonts w:cstheme="minorHAnsi"/>
          <w:lang w:val="en-US"/>
        </w:rPr>
        <w:t>CD11c: PBS vs Response p=0.0053, PBS vs Stable p=0.0012, PBS vs Relapse p=0.0596.</w:t>
      </w:r>
    </w:p>
    <w:p w14:paraId="74D28D7F" w14:textId="77777777" w:rsidR="001E5F5E" w:rsidRPr="00B82496" w:rsidRDefault="001E5F5E" w:rsidP="001E5F5E">
      <w:pPr>
        <w:jc w:val="both"/>
        <w:rPr>
          <w:rFonts w:cstheme="minorHAnsi"/>
          <w:lang w:val="en-US"/>
        </w:rPr>
      </w:pPr>
      <w:r w:rsidRPr="00B82496">
        <w:rPr>
          <w:rFonts w:cstheme="minorHAnsi"/>
          <w:lang w:val="en-US"/>
        </w:rPr>
        <w:t>MRC1: PBS vs Response p=0.0222, PBS vs Stable p=0.0192, PBS vs Relapse p=0.0716.</w:t>
      </w:r>
    </w:p>
    <w:p w14:paraId="2A7FAC62" w14:textId="160010CD" w:rsidR="001E5F5E" w:rsidRPr="00B82496" w:rsidRDefault="001E5F5E" w:rsidP="008B4DCB">
      <w:pPr>
        <w:jc w:val="both"/>
        <w:rPr>
          <w:rFonts w:cstheme="minorHAnsi"/>
          <w:lang w:val="en-US"/>
        </w:rPr>
      </w:pPr>
      <w:r w:rsidRPr="00B82496">
        <w:rPr>
          <w:rFonts w:cstheme="minorHAnsi"/>
          <w:lang w:val="en-US"/>
        </w:rPr>
        <w:t>PDL1: PBS vs Response p=0.0753, PBS vs Stable p=0.1279, PBS vs Relapse p=0.2043.</w:t>
      </w:r>
    </w:p>
    <w:p w14:paraId="0CE11CBE" w14:textId="4F2FEBBF" w:rsidR="006A71EB" w:rsidRPr="00B82496" w:rsidRDefault="006A71EB" w:rsidP="008B4DCB">
      <w:pPr>
        <w:rPr>
          <w:lang w:val="en-US"/>
        </w:rPr>
      </w:pPr>
    </w:p>
    <w:p w14:paraId="5999588E" w14:textId="6FD9DF23" w:rsidR="0091763F" w:rsidRPr="00B82496" w:rsidRDefault="001E5F5E" w:rsidP="00BE075C">
      <w:pPr>
        <w:jc w:val="both"/>
        <w:rPr>
          <w:rFonts w:cstheme="minorHAnsi"/>
          <w:lang w:val="en-US"/>
        </w:rPr>
      </w:pPr>
      <w:r w:rsidRPr="00B82496">
        <w:rPr>
          <w:lang w:val="en-US"/>
        </w:rPr>
        <w:t>Fig. S12</w:t>
      </w:r>
      <w:r w:rsidR="0091763F" w:rsidRPr="00B82496">
        <w:rPr>
          <w:lang w:val="en-US"/>
        </w:rPr>
        <w:t xml:space="preserve">. </w:t>
      </w:r>
      <w:r w:rsidR="004A1DED" w:rsidRPr="00B82496">
        <w:rPr>
          <w:lang w:val="en-US"/>
        </w:rPr>
        <w:t xml:space="preserve">Mean TC-1 tumor volumes </w:t>
      </w:r>
      <w:r w:rsidR="00BE075C" w:rsidRPr="00B82496">
        <w:rPr>
          <w:lang w:val="en-US"/>
        </w:rPr>
        <w:t xml:space="preserve">in mice treated with </w:t>
      </w:r>
      <w:r w:rsidR="0091763F" w:rsidRPr="00B82496">
        <w:rPr>
          <w:rFonts w:cstheme="minorHAnsi"/>
          <w:lang w:val="en-US"/>
        </w:rPr>
        <w:t>the agonistic antibody anti-41BB.</w:t>
      </w:r>
      <w:r w:rsidR="004A1DED" w:rsidRPr="00B82496">
        <w:rPr>
          <w:rFonts w:cstheme="minorHAnsi"/>
          <w:lang w:val="en-US"/>
        </w:rPr>
        <w:t xml:space="preserve"> </w:t>
      </w:r>
      <w:r w:rsidR="00BE075C" w:rsidRPr="00B82496">
        <w:rPr>
          <w:rFonts w:cstheme="minorHAnsi"/>
          <w:lang w:val="en-US"/>
        </w:rPr>
        <w:t xml:space="preserve">The comparison was stopped when the first mouse in any of the groups reached a veterinary endpoint. </w:t>
      </w:r>
      <w:r w:rsidR="004A1DED" w:rsidRPr="00B82496">
        <w:rPr>
          <w:rFonts w:cstheme="minorHAnsi"/>
          <w:lang w:val="en-US"/>
        </w:rPr>
        <w:t xml:space="preserve"> Significant differences were present only at the last </w:t>
      </w:r>
      <w:r w:rsidR="00B2617C" w:rsidRPr="00B82496">
        <w:rPr>
          <w:rFonts w:cstheme="minorHAnsi"/>
          <w:lang w:val="en-US"/>
        </w:rPr>
        <w:t>timepoint (day 18</w:t>
      </w:r>
      <w:r w:rsidR="004A1DED" w:rsidRPr="00B82496">
        <w:rPr>
          <w:rFonts w:cstheme="minorHAnsi"/>
          <w:lang w:val="en-US"/>
        </w:rPr>
        <w:t>): Free E7LP vs Free E7LP+anti-41BB = n.s.; NP-E7LP vs NP-E7LP+anti-41BB = p=0.0124; Free E7LP vs NP = n.s.; Free E7LP+anti-41BB vs NP-E7LP+anti-41BB = n.s.; Free E7LP+anti-41BB vs NP-E7LP = n.s.; Previous timepoint were all n.s..</w:t>
      </w:r>
      <w:r w:rsidR="00BE075C" w:rsidRPr="00B82496">
        <w:rPr>
          <w:rFonts w:cstheme="minorHAnsi"/>
          <w:lang w:val="en-US"/>
        </w:rPr>
        <w:t xml:space="preserve"> </w:t>
      </w:r>
    </w:p>
    <w:p w14:paraId="6AE71BBF" w14:textId="77777777" w:rsidR="0091763F" w:rsidRPr="00B82496" w:rsidRDefault="0091763F" w:rsidP="0091763F">
      <w:pPr>
        <w:rPr>
          <w:rFonts w:cstheme="minorHAnsi"/>
          <w:lang w:val="en-US"/>
        </w:rPr>
      </w:pPr>
    </w:p>
    <w:p w14:paraId="38414304" w14:textId="7D0C3C2A" w:rsidR="00BE075C" w:rsidRPr="00B82496" w:rsidRDefault="001E5F5E" w:rsidP="00BE075C">
      <w:pPr>
        <w:jc w:val="both"/>
        <w:rPr>
          <w:rFonts w:cstheme="minorHAnsi"/>
          <w:lang w:val="en-US"/>
        </w:rPr>
      </w:pPr>
      <w:r w:rsidRPr="00B82496">
        <w:rPr>
          <w:lang w:val="en-US"/>
        </w:rPr>
        <w:t>Fig. S13</w:t>
      </w:r>
      <w:r w:rsidR="00BE075C" w:rsidRPr="00B82496">
        <w:rPr>
          <w:lang w:val="en-US"/>
        </w:rPr>
        <w:t xml:space="preserve">. Analyses of intra-tumoral adaptive immune cell infiltrates upon </w:t>
      </w:r>
      <w:r w:rsidR="00BE075C" w:rsidRPr="00B82496">
        <w:rPr>
          <w:rFonts w:cstheme="minorHAnsi"/>
          <w:lang w:val="en-US"/>
        </w:rPr>
        <w:t>therapeutic vaccination in combination with the agonistic antibody anti-41BB. (A) Flow cytometry analyses of intra-tumoral E7-specific CD8 T cells using tetramers recognizing the HPV16 E7 CD8 peptide RAHYNIVTF. (B, C) CD44+KLRG1+ terminal effector E7 specific CD8 T cells. (D) Intra-tumoral CD8 T cell to Treg ratio.  (E-H) Flow cytometry analyses of 41BB (E), GITR (F), ICOS (G) and OX-40 (H) expression on E7 specific CD8 T cells. (I-K) Flow cytometry analyses of IFNγ (I), TNFα (J) and GZB (K) production by CD8 T cells after in-vitro re-stimulation with the HPV16 E7 CD8 peptide RAHYNIVTF. 0.5x10</w:t>
      </w:r>
      <w:r w:rsidR="00BE075C" w:rsidRPr="00B82496">
        <w:rPr>
          <w:rFonts w:cstheme="minorHAnsi"/>
          <w:vertAlign w:val="superscript"/>
          <w:lang w:val="en-US"/>
        </w:rPr>
        <w:t>6</w:t>
      </w:r>
      <w:r w:rsidR="00BE075C" w:rsidRPr="00B82496">
        <w:rPr>
          <w:rFonts w:cstheme="minorHAnsi"/>
          <w:lang w:val="en-US"/>
        </w:rPr>
        <w:t xml:space="preserve"> TC-1 cells were implanted into the flank of the mice at day 0. Mice were immunized when mean tumor volume was </w:t>
      </w:r>
      <w:r w:rsidR="00BE075C" w:rsidRPr="00B82496">
        <w:rPr>
          <w:rFonts w:cstheme="minorHAnsi"/>
          <w:lang w:val="en-US"/>
        </w:rPr>
        <w:sym w:font="Symbol" w:char="F07E"/>
      </w:r>
      <w:r w:rsidR="00BE075C" w:rsidRPr="00B82496">
        <w:rPr>
          <w:rFonts w:cstheme="minorHAnsi"/>
          <w:lang w:val="en-US"/>
        </w:rPr>
        <w:t>170mm</w:t>
      </w:r>
      <w:r w:rsidR="00BE075C" w:rsidRPr="00B82496">
        <w:rPr>
          <w:rFonts w:cstheme="minorHAnsi"/>
          <w:vertAlign w:val="superscript"/>
          <w:lang w:val="en-US"/>
        </w:rPr>
        <w:t>3</w:t>
      </w:r>
      <w:r w:rsidR="00BE075C" w:rsidRPr="00B82496">
        <w:rPr>
          <w:rFonts w:cstheme="minorHAnsi"/>
          <w:lang w:val="en-US"/>
        </w:rPr>
        <w:t xml:space="preserve"> and sacrificed at day 9. Selected groups also received 3 doses of anti-41BB I.P. every 3 days starting on the day of immunization. Groups: Free E7LP (n=6), NP-E7LP (n=5), Free E7LP+anti-41BB (n=6) and NP-E7LP+anti41BB (n=3).</w:t>
      </w:r>
    </w:p>
    <w:p w14:paraId="3AB4B397" w14:textId="77777777" w:rsidR="00BE075C" w:rsidRPr="00B82496" w:rsidRDefault="00BE075C" w:rsidP="00BE075C">
      <w:pPr>
        <w:jc w:val="both"/>
        <w:rPr>
          <w:rFonts w:cstheme="minorHAnsi"/>
          <w:lang w:val="en-US"/>
        </w:rPr>
      </w:pPr>
      <w:r w:rsidRPr="00B82496">
        <w:rPr>
          <w:rFonts w:cstheme="minorHAnsi"/>
          <w:lang w:val="en-US"/>
        </w:rPr>
        <w:t xml:space="preserve">Statistics: *p &lt; 0.05; **p &lt; 0.01; ***p &lt; 0.001; ****p&lt;0.0001; n.s. = not significant. </w:t>
      </w:r>
    </w:p>
    <w:p w14:paraId="449A12F5" w14:textId="70CEF038" w:rsidR="00BE075C" w:rsidRPr="00B82496" w:rsidRDefault="00BE075C" w:rsidP="00E524A4">
      <w:pPr>
        <w:jc w:val="both"/>
        <w:rPr>
          <w:rFonts w:cstheme="minorHAnsi"/>
          <w:lang w:val="en-US"/>
        </w:rPr>
      </w:pPr>
      <w:r w:rsidRPr="00B82496">
        <w:rPr>
          <w:rFonts w:cstheme="minorHAnsi"/>
          <w:lang w:val="en-US"/>
        </w:rPr>
        <w:t>Additional statistics: (B) NP-E7LP vs Free E7LP: p=0.0095; (C) NP-E7LP vs Free E7LP: p=0.9179; (D) NP-E7LP vs Free E7LP: p=0.008; (E) NP-E7LP vs Free E7LP: p=0.0376; (L) NP-E7LP vs Free E7LP: p=0.0111; (M) NP-E7LP vs Free E7LP: p=0.0155; (N) NP-E7LP vs Free E7LP: p=0.0131.</w:t>
      </w:r>
      <w:bookmarkStart w:id="0" w:name="_GoBack"/>
      <w:bookmarkEnd w:id="0"/>
    </w:p>
    <w:sectPr w:rsidR="00BE075C" w:rsidRPr="00B82496" w:rsidSect="00A00CE0">
      <w:footerReference w:type="even" r:id="rId8"/>
      <w:footerReference w:type="default" r:id="rId9"/>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AF686" w14:textId="77777777" w:rsidR="007E29F3" w:rsidRDefault="007E29F3" w:rsidP="00AC5BF5">
      <w:r>
        <w:separator/>
      </w:r>
    </w:p>
  </w:endnote>
  <w:endnote w:type="continuationSeparator" w:id="0">
    <w:p w14:paraId="230BD7A2" w14:textId="77777777" w:rsidR="007E29F3" w:rsidRDefault="007E29F3" w:rsidP="00AC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455031363"/>
      <w:docPartObj>
        <w:docPartGallery w:val="Page Numbers (Bottom of Page)"/>
        <w:docPartUnique/>
      </w:docPartObj>
    </w:sdtPr>
    <w:sdtEndPr>
      <w:rPr>
        <w:rStyle w:val="Numeropagina"/>
      </w:rPr>
    </w:sdtEndPr>
    <w:sdtContent>
      <w:p w14:paraId="090B4467" w14:textId="47F30733" w:rsidR="00A00CE0" w:rsidRDefault="00A00CE0" w:rsidP="0029632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8FCE5DE" w14:textId="77777777" w:rsidR="00A00CE0" w:rsidRDefault="00A00CE0" w:rsidP="00A00CE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15841616"/>
      <w:docPartObj>
        <w:docPartGallery w:val="Page Numbers (Bottom of Page)"/>
        <w:docPartUnique/>
      </w:docPartObj>
    </w:sdtPr>
    <w:sdtEndPr>
      <w:rPr>
        <w:rStyle w:val="Numeropagina"/>
      </w:rPr>
    </w:sdtEndPr>
    <w:sdtContent>
      <w:p w14:paraId="0D135702" w14:textId="1FFBC535" w:rsidR="00A00CE0" w:rsidRDefault="00A00CE0" w:rsidP="0029632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014C10">
          <w:rPr>
            <w:rStyle w:val="Numeropagina"/>
            <w:noProof/>
          </w:rPr>
          <w:t>5</w:t>
        </w:r>
        <w:r>
          <w:rPr>
            <w:rStyle w:val="Numeropagina"/>
          </w:rPr>
          <w:fldChar w:fldCharType="end"/>
        </w:r>
      </w:p>
    </w:sdtContent>
  </w:sdt>
  <w:p w14:paraId="4A71DC0A" w14:textId="77777777" w:rsidR="00A00CE0" w:rsidRDefault="00A00CE0" w:rsidP="00A00CE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F0E83" w14:textId="77777777" w:rsidR="007E29F3" w:rsidRDefault="007E29F3" w:rsidP="00AC5BF5">
      <w:r>
        <w:separator/>
      </w:r>
    </w:p>
  </w:footnote>
  <w:footnote w:type="continuationSeparator" w:id="0">
    <w:p w14:paraId="26FE410B" w14:textId="77777777" w:rsidR="007E29F3" w:rsidRDefault="007E29F3" w:rsidP="00AC5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417EB"/>
    <w:multiLevelType w:val="hybridMultilevel"/>
    <w:tmpl w:val="E69EDF4E"/>
    <w:lvl w:ilvl="0" w:tplc="7B4EE7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01726A3"/>
    <w:multiLevelType w:val="hybridMultilevel"/>
    <w:tmpl w:val="48C635AA"/>
    <w:lvl w:ilvl="0" w:tplc="98520D7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681"/>
    <w:rsid w:val="0000609C"/>
    <w:rsid w:val="00007787"/>
    <w:rsid w:val="00007C5B"/>
    <w:rsid w:val="000121ED"/>
    <w:rsid w:val="0001415B"/>
    <w:rsid w:val="00014C10"/>
    <w:rsid w:val="0001543E"/>
    <w:rsid w:val="00020C39"/>
    <w:rsid w:val="00020CE8"/>
    <w:rsid w:val="000214A7"/>
    <w:rsid w:val="0002176D"/>
    <w:rsid w:val="000217AE"/>
    <w:rsid w:val="00021F86"/>
    <w:rsid w:val="00022790"/>
    <w:rsid w:val="00023110"/>
    <w:rsid w:val="00024551"/>
    <w:rsid w:val="000245D9"/>
    <w:rsid w:val="00026ABB"/>
    <w:rsid w:val="00026D07"/>
    <w:rsid w:val="00031634"/>
    <w:rsid w:val="0003203F"/>
    <w:rsid w:val="000359B4"/>
    <w:rsid w:val="00036F87"/>
    <w:rsid w:val="000370BF"/>
    <w:rsid w:val="00037C82"/>
    <w:rsid w:val="00041A2C"/>
    <w:rsid w:val="00043CB0"/>
    <w:rsid w:val="00044C17"/>
    <w:rsid w:val="00045157"/>
    <w:rsid w:val="00046CA1"/>
    <w:rsid w:val="00051131"/>
    <w:rsid w:val="00054D8A"/>
    <w:rsid w:val="000552E6"/>
    <w:rsid w:val="000575B3"/>
    <w:rsid w:val="00060369"/>
    <w:rsid w:val="00060554"/>
    <w:rsid w:val="0006062B"/>
    <w:rsid w:val="00061ED5"/>
    <w:rsid w:val="00063959"/>
    <w:rsid w:val="000641DA"/>
    <w:rsid w:val="00064544"/>
    <w:rsid w:val="0006694F"/>
    <w:rsid w:val="00067EBC"/>
    <w:rsid w:val="00075A5A"/>
    <w:rsid w:val="00075BBC"/>
    <w:rsid w:val="00076C06"/>
    <w:rsid w:val="00080BAF"/>
    <w:rsid w:val="000830A0"/>
    <w:rsid w:val="00083637"/>
    <w:rsid w:val="00083D88"/>
    <w:rsid w:val="000840D9"/>
    <w:rsid w:val="00084CCA"/>
    <w:rsid w:val="000872F8"/>
    <w:rsid w:val="00087485"/>
    <w:rsid w:val="00087850"/>
    <w:rsid w:val="00095F9B"/>
    <w:rsid w:val="00096151"/>
    <w:rsid w:val="00096FE7"/>
    <w:rsid w:val="000A0022"/>
    <w:rsid w:val="000A09CF"/>
    <w:rsid w:val="000A0D45"/>
    <w:rsid w:val="000A2553"/>
    <w:rsid w:val="000A3CC2"/>
    <w:rsid w:val="000A4538"/>
    <w:rsid w:val="000A4C31"/>
    <w:rsid w:val="000A65C5"/>
    <w:rsid w:val="000A6B76"/>
    <w:rsid w:val="000A7454"/>
    <w:rsid w:val="000B0E8C"/>
    <w:rsid w:val="000B6A76"/>
    <w:rsid w:val="000B7B84"/>
    <w:rsid w:val="000C044B"/>
    <w:rsid w:val="000C10DE"/>
    <w:rsid w:val="000C4876"/>
    <w:rsid w:val="000C701E"/>
    <w:rsid w:val="000D0362"/>
    <w:rsid w:val="000D0429"/>
    <w:rsid w:val="000D0E9F"/>
    <w:rsid w:val="000D19C5"/>
    <w:rsid w:val="000D31D3"/>
    <w:rsid w:val="000D6B1B"/>
    <w:rsid w:val="000E1C4F"/>
    <w:rsid w:val="000E5242"/>
    <w:rsid w:val="000E54C2"/>
    <w:rsid w:val="000E57E8"/>
    <w:rsid w:val="000E6AE8"/>
    <w:rsid w:val="000F2495"/>
    <w:rsid w:val="000F352D"/>
    <w:rsid w:val="000F4C4F"/>
    <w:rsid w:val="000F5867"/>
    <w:rsid w:val="000F65D5"/>
    <w:rsid w:val="000F6967"/>
    <w:rsid w:val="000F7493"/>
    <w:rsid w:val="00100338"/>
    <w:rsid w:val="00105187"/>
    <w:rsid w:val="001073EE"/>
    <w:rsid w:val="00110484"/>
    <w:rsid w:val="0011360B"/>
    <w:rsid w:val="00113B5B"/>
    <w:rsid w:val="0011642C"/>
    <w:rsid w:val="00116B32"/>
    <w:rsid w:val="00120160"/>
    <w:rsid w:val="00124464"/>
    <w:rsid w:val="0012526B"/>
    <w:rsid w:val="00132960"/>
    <w:rsid w:val="00132BF4"/>
    <w:rsid w:val="001332EF"/>
    <w:rsid w:val="00135B37"/>
    <w:rsid w:val="001400E5"/>
    <w:rsid w:val="00141080"/>
    <w:rsid w:val="0014149F"/>
    <w:rsid w:val="00141E4D"/>
    <w:rsid w:val="0014449A"/>
    <w:rsid w:val="00145EA5"/>
    <w:rsid w:val="00146ECB"/>
    <w:rsid w:val="0014705C"/>
    <w:rsid w:val="001471CF"/>
    <w:rsid w:val="001514B8"/>
    <w:rsid w:val="0015174E"/>
    <w:rsid w:val="00157AC0"/>
    <w:rsid w:val="00161088"/>
    <w:rsid w:val="00161754"/>
    <w:rsid w:val="00161D2B"/>
    <w:rsid w:val="00162CF6"/>
    <w:rsid w:val="00166716"/>
    <w:rsid w:val="00170F48"/>
    <w:rsid w:val="00171A8D"/>
    <w:rsid w:val="00172001"/>
    <w:rsid w:val="00172411"/>
    <w:rsid w:val="00172BF4"/>
    <w:rsid w:val="00172D67"/>
    <w:rsid w:val="00173CB9"/>
    <w:rsid w:val="00173F49"/>
    <w:rsid w:val="001749AD"/>
    <w:rsid w:val="00175BA0"/>
    <w:rsid w:val="0018006E"/>
    <w:rsid w:val="00182059"/>
    <w:rsid w:val="001846E2"/>
    <w:rsid w:val="001848F3"/>
    <w:rsid w:val="00186069"/>
    <w:rsid w:val="0018669B"/>
    <w:rsid w:val="00186884"/>
    <w:rsid w:val="0018702D"/>
    <w:rsid w:val="00187DA5"/>
    <w:rsid w:val="001905A6"/>
    <w:rsid w:val="00190E22"/>
    <w:rsid w:val="001923FE"/>
    <w:rsid w:val="00192CF5"/>
    <w:rsid w:val="00193911"/>
    <w:rsid w:val="00193D0C"/>
    <w:rsid w:val="00195682"/>
    <w:rsid w:val="001969E7"/>
    <w:rsid w:val="0019701A"/>
    <w:rsid w:val="001974BC"/>
    <w:rsid w:val="00197B13"/>
    <w:rsid w:val="001A03F5"/>
    <w:rsid w:val="001A0A2A"/>
    <w:rsid w:val="001A1575"/>
    <w:rsid w:val="001A45A7"/>
    <w:rsid w:val="001A7064"/>
    <w:rsid w:val="001A7710"/>
    <w:rsid w:val="001B02D0"/>
    <w:rsid w:val="001B4C0C"/>
    <w:rsid w:val="001B6E53"/>
    <w:rsid w:val="001B7E89"/>
    <w:rsid w:val="001C2B1A"/>
    <w:rsid w:val="001C41D9"/>
    <w:rsid w:val="001C4354"/>
    <w:rsid w:val="001C781A"/>
    <w:rsid w:val="001D3D95"/>
    <w:rsid w:val="001D41D8"/>
    <w:rsid w:val="001D476A"/>
    <w:rsid w:val="001E39BF"/>
    <w:rsid w:val="001E5F5E"/>
    <w:rsid w:val="001E7D52"/>
    <w:rsid w:val="001F0AEF"/>
    <w:rsid w:val="001F39ED"/>
    <w:rsid w:val="001F67A6"/>
    <w:rsid w:val="001F7C68"/>
    <w:rsid w:val="001F7E2C"/>
    <w:rsid w:val="00200203"/>
    <w:rsid w:val="002017B3"/>
    <w:rsid w:val="00201CCD"/>
    <w:rsid w:val="002038D1"/>
    <w:rsid w:val="00205190"/>
    <w:rsid w:val="002071BD"/>
    <w:rsid w:val="00211713"/>
    <w:rsid w:val="00212952"/>
    <w:rsid w:val="00214A79"/>
    <w:rsid w:val="00214B9D"/>
    <w:rsid w:val="00216BEE"/>
    <w:rsid w:val="00220DAA"/>
    <w:rsid w:val="00221530"/>
    <w:rsid w:val="00223CAA"/>
    <w:rsid w:val="00223D1F"/>
    <w:rsid w:val="0022411E"/>
    <w:rsid w:val="00224694"/>
    <w:rsid w:val="00224FD9"/>
    <w:rsid w:val="00225025"/>
    <w:rsid w:val="002254E4"/>
    <w:rsid w:val="00227F40"/>
    <w:rsid w:val="00230D0C"/>
    <w:rsid w:val="00232DA8"/>
    <w:rsid w:val="002337D2"/>
    <w:rsid w:val="0023699D"/>
    <w:rsid w:val="00237F82"/>
    <w:rsid w:val="002409A5"/>
    <w:rsid w:val="00241404"/>
    <w:rsid w:val="00244F6F"/>
    <w:rsid w:val="002457FD"/>
    <w:rsid w:val="002462D3"/>
    <w:rsid w:val="0025229D"/>
    <w:rsid w:val="0025269C"/>
    <w:rsid w:val="00252C77"/>
    <w:rsid w:val="0025484A"/>
    <w:rsid w:val="00257C91"/>
    <w:rsid w:val="00257DB0"/>
    <w:rsid w:val="00260950"/>
    <w:rsid w:val="00261F18"/>
    <w:rsid w:val="002626A9"/>
    <w:rsid w:val="00263CD9"/>
    <w:rsid w:val="00267664"/>
    <w:rsid w:val="00267A47"/>
    <w:rsid w:val="00270FB7"/>
    <w:rsid w:val="00271516"/>
    <w:rsid w:val="0027363F"/>
    <w:rsid w:val="00273F0F"/>
    <w:rsid w:val="00281330"/>
    <w:rsid w:val="0028405F"/>
    <w:rsid w:val="002844EE"/>
    <w:rsid w:val="00284B22"/>
    <w:rsid w:val="00284B57"/>
    <w:rsid w:val="002853BF"/>
    <w:rsid w:val="00287025"/>
    <w:rsid w:val="002870EF"/>
    <w:rsid w:val="00287470"/>
    <w:rsid w:val="00290E1C"/>
    <w:rsid w:val="002926BA"/>
    <w:rsid w:val="00292E55"/>
    <w:rsid w:val="00296BA9"/>
    <w:rsid w:val="002A0B7D"/>
    <w:rsid w:val="002A14FC"/>
    <w:rsid w:val="002A2641"/>
    <w:rsid w:val="002A3000"/>
    <w:rsid w:val="002A68BB"/>
    <w:rsid w:val="002A7BBE"/>
    <w:rsid w:val="002B1521"/>
    <w:rsid w:val="002B17CC"/>
    <w:rsid w:val="002B4CD1"/>
    <w:rsid w:val="002B6929"/>
    <w:rsid w:val="002B7926"/>
    <w:rsid w:val="002C43AC"/>
    <w:rsid w:val="002C644B"/>
    <w:rsid w:val="002C7E3E"/>
    <w:rsid w:val="002D1DB8"/>
    <w:rsid w:val="002D225E"/>
    <w:rsid w:val="002D23E6"/>
    <w:rsid w:val="002D3BF0"/>
    <w:rsid w:val="002D6215"/>
    <w:rsid w:val="002D6822"/>
    <w:rsid w:val="002E05F7"/>
    <w:rsid w:val="002E3988"/>
    <w:rsid w:val="002E3EFD"/>
    <w:rsid w:val="002E6BAC"/>
    <w:rsid w:val="002F0361"/>
    <w:rsid w:val="002F062D"/>
    <w:rsid w:val="002F10A0"/>
    <w:rsid w:val="002F15D4"/>
    <w:rsid w:val="002F7532"/>
    <w:rsid w:val="002F7D24"/>
    <w:rsid w:val="003000E2"/>
    <w:rsid w:val="00300837"/>
    <w:rsid w:val="00300EBA"/>
    <w:rsid w:val="00300FC1"/>
    <w:rsid w:val="0030174A"/>
    <w:rsid w:val="003018E5"/>
    <w:rsid w:val="00302445"/>
    <w:rsid w:val="003034FF"/>
    <w:rsid w:val="00303FC4"/>
    <w:rsid w:val="00304C8B"/>
    <w:rsid w:val="00306AB8"/>
    <w:rsid w:val="003078BF"/>
    <w:rsid w:val="0031086E"/>
    <w:rsid w:val="00312F87"/>
    <w:rsid w:val="00317E25"/>
    <w:rsid w:val="0032300C"/>
    <w:rsid w:val="00326575"/>
    <w:rsid w:val="0032689C"/>
    <w:rsid w:val="00327193"/>
    <w:rsid w:val="00330AC1"/>
    <w:rsid w:val="00331403"/>
    <w:rsid w:val="00332A72"/>
    <w:rsid w:val="0033386B"/>
    <w:rsid w:val="00336A7E"/>
    <w:rsid w:val="003371F6"/>
    <w:rsid w:val="00341DA4"/>
    <w:rsid w:val="00341EC8"/>
    <w:rsid w:val="00343C3F"/>
    <w:rsid w:val="00350F34"/>
    <w:rsid w:val="003514A7"/>
    <w:rsid w:val="00353593"/>
    <w:rsid w:val="00354179"/>
    <w:rsid w:val="00354CD2"/>
    <w:rsid w:val="00356F4F"/>
    <w:rsid w:val="00360349"/>
    <w:rsid w:val="0036056C"/>
    <w:rsid w:val="003661DD"/>
    <w:rsid w:val="003669AE"/>
    <w:rsid w:val="003724B4"/>
    <w:rsid w:val="0037268C"/>
    <w:rsid w:val="003737E8"/>
    <w:rsid w:val="00374DB0"/>
    <w:rsid w:val="00375E63"/>
    <w:rsid w:val="003811B9"/>
    <w:rsid w:val="00381208"/>
    <w:rsid w:val="00382C4B"/>
    <w:rsid w:val="00383C2A"/>
    <w:rsid w:val="003845F7"/>
    <w:rsid w:val="00384678"/>
    <w:rsid w:val="003870E5"/>
    <w:rsid w:val="003905F9"/>
    <w:rsid w:val="003922A6"/>
    <w:rsid w:val="00392F16"/>
    <w:rsid w:val="00393466"/>
    <w:rsid w:val="00395012"/>
    <w:rsid w:val="00396B5B"/>
    <w:rsid w:val="003976ED"/>
    <w:rsid w:val="003A0DAE"/>
    <w:rsid w:val="003A1B21"/>
    <w:rsid w:val="003A4491"/>
    <w:rsid w:val="003B247F"/>
    <w:rsid w:val="003B3ECB"/>
    <w:rsid w:val="003B4233"/>
    <w:rsid w:val="003B4ECC"/>
    <w:rsid w:val="003B5D4F"/>
    <w:rsid w:val="003B743F"/>
    <w:rsid w:val="003C3320"/>
    <w:rsid w:val="003C5BC6"/>
    <w:rsid w:val="003C6315"/>
    <w:rsid w:val="003D08F7"/>
    <w:rsid w:val="003D0F06"/>
    <w:rsid w:val="003D1B8A"/>
    <w:rsid w:val="003D2E61"/>
    <w:rsid w:val="003D4168"/>
    <w:rsid w:val="003D58CC"/>
    <w:rsid w:val="003D5F88"/>
    <w:rsid w:val="003E36D9"/>
    <w:rsid w:val="003E3E07"/>
    <w:rsid w:val="003E55B4"/>
    <w:rsid w:val="003E71DD"/>
    <w:rsid w:val="003E7C04"/>
    <w:rsid w:val="003E7DED"/>
    <w:rsid w:val="003F022B"/>
    <w:rsid w:val="003F0616"/>
    <w:rsid w:val="003F0646"/>
    <w:rsid w:val="003F10C9"/>
    <w:rsid w:val="003F1C58"/>
    <w:rsid w:val="003F4A95"/>
    <w:rsid w:val="00400457"/>
    <w:rsid w:val="00403B88"/>
    <w:rsid w:val="00403D4E"/>
    <w:rsid w:val="00404788"/>
    <w:rsid w:val="0040541C"/>
    <w:rsid w:val="00405E05"/>
    <w:rsid w:val="004060C8"/>
    <w:rsid w:val="004115E4"/>
    <w:rsid w:val="00415C2F"/>
    <w:rsid w:val="00420AB5"/>
    <w:rsid w:val="00424BA1"/>
    <w:rsid w:val="00425315"/>
    <w:rsid w:val="00426334"/>
    <w:rsid w:val="0042664D"/>
    <w:rsid w:val="00430BA2"/>
    <w:rsid w:val="00431B81"/>
    <w:rsid w:val="00431D0D"/>
    <w:rsid w:val="00432212"/>
    <w:rsid w:val="00432A96"/>
    <w:rsid w:val="004343D7"/>
    <w:rsid w:val="00434C6D"/>
    <w:rsid w:val="0043505A"/>
    <w:rsid w:val="0043541A"/>
    <w:rsid w:val="004364F3"/>
    <w:rsid w:val="00437942"/>
    <w:rsid w:val="00440EA2"/>
    <w:rsid w:val="004413A3"/>
    <w:rsid w:val="00441C25"/>
    <w:rsid w:val="00442251"/>
    <w:rsid w:val="004438EF"/>
    <w:rsid w:val="004456D6"/>
    <w:rsid w:val="004468F5"/>
    <w:rsid w:val="00450075"/>
    <w:rsid w:val="00450EBF"/>
    <w:rsid w:val="004520C6"/>
    <w:rsid w:val="0045486A"/>
    <w:rsid w:val="004561B8"/>
    <w:rsid w:val="00462D59"/>
    <w:rsid w:val="004631EB"/>
    <w:rsid w:val="00465612"/>
    <w:rsid w:val="00465A4F"/>
    <w:rsid w:val="00466562"/>
    <w:rsid w:val="00467B29"/>
    <w:rsid w:val="004714C1"/>
    <w:rsid w:val="0047150B"/>
    <w:rsid w:val="00472A78"/>
    <w:rsid w:val="00473768"/>
    <w:rsid w:val="00477BA7"/>
    <w:rsid w:val="00480245"/>
    <w:rsid w:val="00481C0B"/>
    <w:rsid w:val="004849CC"/>
    <w:rsid w:val="00484DD5"/>
    <w:rsid w:val="004850E7"/>
    <w:rsid w:val="00486EB5"/>
    <w:rsid w:val="00486FC5"/>
    <w:rsid w:val="00493E51"/>
    <w:rsid w:val="004A1829"/>
    <w:rsid w:val="004A1DED"/>
    <w:rsid w:val="004A511F"/>
    <w:rsid w:val="004A6662"/>
    <w:rsid w:val="004A67E3"/>
    <w:rsid w:val="004A7BBB"/>
    <w:rsid w:val="004A7D55"/>
    <w:rsid w:val="004A7F14"/>
    <w:rsid w:val="004B315F"/>
    <w:rsid w:val="004B4A00"/>
    <w:rsid w:val="004C3EAC"/>
    <w:rsid w:val="004C4596"/>
    <w:rsid w:val="004C57BB"/>
    <w:rsid w:val="004C66B7"/>
    <w:rsid w:val="004D0D54"/>
    <w:rsid w:val="004D2524"/>
    <w:rsid w:val="004D2B25"/>
    <w:rsid w:val="004D5701"/>
    <w:rsid w:val="004D6991"/>
    <w:rsid w:val="004E2A52"/>
    <w:rsid w:val="004E2CA8"/>
    <w:rsid w:val="004E2D38"/>
    <w:rsid w:val="004E3C9D"/>
    <w:rsid w:val="004E69F9"/>
    <w:rsid w:val="004F21A2"/>
    <w:rsid w:val="00501496"/>
    <w:rsid w:val="005022F3"/>
    <w:rsid w:val="00502979"/>
    <w:rsid w:val="0050316E"/>
    <w:rsid w:val="00503DFB"/>
    <w:rsid w:val="00504082"/>
    <w:rsid w:val="0050434B"/>
    <w:rsid w:val="005056AE"/>
    <w:rsid w:val="00507B66"/>
    <w:rsid w:val="00512E76"/>
    <w:rsid w:val="0052045D"/>
    <w:rsid w:val="00522D55"/>
    <w:rsid w:val="00523FCB"/>
    <w:rsid w:val="00524E37"/>
    <w:rsid w:val="00525AFE"/>
    <w:rsid w:val="00525D77"/>
    <w:rsid w:val="00525DC8"/>
    <w:rsid w:val="00527C36"/>
    <w:rsid w:val="0053449D"/>
    <w:rsid w:val="00534EBE"/>
    <w:rsid w:val="00536DAF"/>
    <w:rsid w:val="00537A7C"/>
    <w:rsid w:val="00537B75"/>
    <w:rsid w:val="00537C5A"/>
    <w:rsid w:val="00540569"/>
    <w:rsid w:val="0054083E"/>
    <w:rsid w:val="005409EC"/>
    <w:rsid w:val="00550EBD"/>
    <w:rsid w:val="00552028"/>
    <w:rsid w:val="005529C3"/>
    <w:rsid w:val="005543B6"/>
    <w:rsid w:val="005545A7"/>
    <w:rsid w:val="00556A87"/>
    <w:rsid w:val="005575B9"/>
    <w:rsid w:val="00562ECC"/>
    <w:rsid w:val="00566886"/>
    <w:rsid w:val="005669B4"/>
    <w:rsid w:val="00566C72"/>
    <w:rsid w:val="00567E40"/>
    <w:rsid w:val="0057113E"/>
    <w:rsid w:val="0057172E"/>
    <w:rsid w:val="005722D4"/>
    <w:rsid w:val="005742B4"/>
    <w:rsid w:val="0057473C"/>
    <w:rsid w:val="005831E1"/>
    <w:rsid w:val="00583B3D"/>
    <w:rsid w:val="005858AC"/>
    <w:rsid w:val="00587092"/>
    <w:rsid w:val="00591A98"/>
    <w:rsid w:val="00594C77"/>
    <w:rsid w:val="005A1D63"/>
    <w:rsid w:val="005A2F4C"/>
    <w:rsid w:val="005A5894"/>
    <w:rsid w:val="005A5F34"/>
    <w:rsid w:val="005A64B5"/>
    <w:rsid w:val="005A6833"/>
    <w:rsid w:val="005A7A60"/>
    <w:rsid w:val="005B0FA0"/>
    <w:rsid w:val="005B1D39"/>
    <w:rsid w:val="005B211B"/>
    <w:rsid w:val="005B3A93"/>
    <w:rsid w:val="005B487D"/>
    <w:rsid w:val="005B51C2"/>
    <w:rsid w:val="005C0618"/>
    <w:rsid w:val="005C3FBD"/>
    <w:rsid w:val="005C518E"/>
    <w:rsid w:val="005C703C"/>
    <w:rsid w:val="005D1252"/>
    <w:rsid w:val="005D24E7"/>
    <w:rsid w:val="005D49BE"/>
    <w:rsid w:val="005D541A"/>
    <w:rsid w:val="005D5562"/>
    <w:rsid w:val="005D5D98"/>
    <w:rsid w:val="005D79FC"/>
    <w:rsid w:val="005E053A"/>
    <w:rsid w:val="005E1CAC"/>
    <w:rsid w:val="005F0C94"/>
    <w:rsid w:val="005F1718"/>
    <w:rsid w:val="005F1D56"/>
    <w:rsid w:val="005F243B"/>
    <w:rsid w:val="005F3351"/>
    <w:rsid w:val="005F430A"/>
    <w:rsid w:val="005F592C"/>
    <w:rsid w:val="00602F4A"/>
    <w:rsid w:val="0060415D"/>
    <w:rsid w:val="0060736C"/>
    <w:rsid w:val="00607C6D"/>
    <w:rsid w:val="00607EB4"/>
    <w:rsid w:val="0061112A"/>
    <w:rsid w:val="00611C73"/>
    <w:rsid w:val="0061455E"/>
    <w:rsid w:val="00615CC7"/>
    <w:rsid w:val="00616F4D"/>
    <w:rsid w:val="006177E8"/>
    <w:rsid w:val="00622CEE"/>
    <w:rsid w:val="00625B96"/>
    <w:rsid w:val="00625F60"/>
    <w:rsid w:val="006303F8"/>
    <w:rsid w:val="0063523B"/>
    <w:rsid w:val="00640632"/>
    <w:rsid w:val="00640D08"/>
    <w:rsid w:val="00642FEE"/>
    <w:rsid w:val="006435A1"/>
    <w:rsid w:val="00646CB9"/>
    <w:rsid w:val="00650133"/>
    <w:rsid w:val="00652574"/>
    <w:rsid w:val="00653104"/>
    <w:rsid w:val="006534DE"/>
    <w:rsid w:val="0065683F"/>
    <w:rsid w:val="00660666"/>
    <w:rsid w:val="00660B83"/>
    <w:rsid w:val="006612C9"/>
    <w:rsid w:val="00661C56"/>
    <w:rsid w:val="00664272"/>
    <w:rsid w:val="006654C0"/>
    <w:rsid w:val="00666CF8"/>
    <w:rsid w:val="00677137"/>
    <w:rsid w:val="006778AF"/>
    <w:rsid w:val="006813F8"/>
    <w:rsid w:val="00681A33"/>
    <w:rsid w:val="00682AF9"/>
    <w:rsid w:val="00684A7A"/>
    <w:rsid w:val="00685490"/>
    <w:rsid w:val="00687C21"/>
    <w:rsid w:val="006921F4"/>
    <w:rsid w:val="006924C8"/>
    <w:rsid w:val="006945F7"/>
    <w:rsid w:val="00695CA5"/>
    <w:rsid w:val="0069762E"/>
    <w:rsid w:val="006A1412"/>
    <w:rsid w:val="006A26F6"/>
    <w:rsid w:val="006A3685"/>
    <w:rsid w:val="006A549F"/>
    <w:rsid w:val="006A627B"/>
    <w:rsid w:val="006A7033"/>
    <w:rsid w:val="006A71EB"/>
    <w:rsid w:val="006A7422"/>
    <w:rsid w:val="006B0CAF"/>
    <w:rsid w:val="006B1962"/>
    <w:rsid w:val="006B2643"/>
    <w:rsid w:val="006B4009"/>
    <w:rsid w:val="006B4B1F"/>
    <w:rsid w:val="006B577B"/>
    <w:rsid w:val="006B6056"/>
    <w:rsid w:val="006B6174"/>
    <w:rsid w:val="006B7355"/>
    <w:rsid w:val="006B79E3"/>
    <w:rsid w:val="006B7ED5"/>
    <w:rsid w:val="006C009C"/>
    <w:rsid w:val="006C0C51"/>
    <w:rsid w:val="006C0D27"/>
    <w:rsid w:val="006C0F9D"/>
    <w:rsid w:val="006C15A1"/>
    <w:rsid w:val="006C1EFC"/>
    <w:rsid w:val="006C6C00"/>
    <w:rsid w:val="006C75A4"/>
    <w:rsid w:val="006C7C6A"/>
    <w:rsid w:val="006C7E9F"/>
    <w:rsid w:val="006D0416"/>
    <w:rsid w:val="006D082A"/>
    <w:rsid w:val="006D12D9"/>
    <w:rsid w:val="006D1A82"/>
    <w:rsid w:val="006D437C"/>
    <w:rsid w:val="006D56AC"/>
    <w:rsid w:val="006D6B6D"/>
    <w:rsid w:val="006E0308"/>
    <w:rsid w:val="006E06F4"/>
    <w:rsid w:val="006E1BAE"/>
    <w:rsid w:val="006E1E19"/>
    <w:rsid w:val="006E5E12"/>
    <w:rsid w:val="006E63E4"/>
    <w:rsid w:val="006E71DE"/>
    <w:rsid w:val="006E7CCA"/>
    <w:rsid w:val="006E7D9E"/>
    <w:rsid w:val="006F0693"/>
    <w:rsid w:val="006F179A"/>
    <w:rsid w:val="006F26EA"/>
    <w:rsid w:val="006F27DC"/>
    <w:rsid w:val="006F3AB7"/>
    <w:rsid w:val="006F4BF8"/>
    <w:rsid w:val="006F4CDB"/>
    <w:rsid w:val="00700E34"/>
    <w:rsid w:val="007021EF"/>
    <w:rsid w:val="00702549"/>
    <w:rsid w:val="00703EAC"/>
    <w:rsid w:val="007106EE"/>
    <w:rsid w:val="007108E9"/>
    <w:rsid w:val="0071251A"/>
    <w:rsid w:val="0071503D"/>
    <w:rsid w:val="00716565"/>
    <w:rsid w:val="00716E43"/>
    <w:rsid w:val="007241DE"/>
    <w:rsid w:val="007300FB"/>
    <w:rsid w:val="00732238"/>
    <w:rsid w:val="00732BAB"/>
    <w:rsid w:val="0073490D"/>
    <w:rsid w:val="007353CD"/>
    <w:rsid w:val="00740686"/>
    <w:rsid w:val="00743F95"/>
    <w:rsid w:val="0074646B"/>
    <w:rsid w:val="00746E9E"/>
    <w:rsid w:val="00747513"/>
    <w:rsid w:val="00747A24"/>
    <w:rsid w:val="00747C16"/>
    <w:rsid w:val="00750AC0"/>
    <w:rsid w:val="00751099"/>
    <w:rsid w:val="00752AA8"/>
    <w:rsid w:val="00752EF2"/>
    <w:rsid w:val="007564AB"/>
    <w:rsid w:val="0076062B"/>
    <w:rsid w:val="007610A9"/>
    <w:rsid w:val="0076389D"/>
    <w:rsid w:val="0076489E"/>
    <w:rsid w:val="0077065F"/>
    <w:rsid w:val="0077232D"/>
    <w:rsid w:val="00773825"/>
    <w:rsid w:val="0077399D"/>
    <w:rsid w:val="00775654"/>
    <w:rsid w:val="0077791A"/>
    <w:rsid w:val="00780A59"/>
    <w:rsid w:val="007839ED"/>
    <w:rsid w:val="00784692"/>
    <w:rsid w:val="00785BB5"/>
    <w:rsid w:val="0078758E"/>
    <w:rsid w:val="007876BD"/>
    <w:rsid w:val="00790099"/>
    <w:rsid w:val="00793244"/>
    <w:rsid w:val="00793593"/>
    <w:rsid w:val="00795042"/>
    <w:rsid w:val="007953EE"/>
    <w:rsid w:val="007A0E67"/>
    <w:rsid w:val="007A7D8A"/>
    <w:rsid w:val="007B1EF2"/>
    <w:rsid w:val="007B2557"/>
    <w:rsid w:val="007B30B4"/>
    <w:rsid w:val="007B34A6"/>
    <w:rsid w:val="007B7753"/>
    <w:rsid w:val="007B79F4"/>
    <w:rsid w:val="007C0A25"/>
    <w:rsid w:val="007C1C18"/>
    <w:rsid w:val="007C1EAE"/>
    <w:rsid w:val="007C28B2"/>
    <w:rsid w:val="007C34A0"/>
    <w:rsid w:val="007C528D"/>
    <w:rsid w:val="007C7F09"/>
    <w:rsid w:val="007D2663"/>
    <w:rsid w:val="007D50EE"/>
    <w:rsid w:val="007D59E2"/>
    <w:rsid w:val="007E04CE"/>
    <w:rsid w:val="007E08A7"/>
    <w:rsid w:val="007E1349"/>
    <w:rsid w:val="007E29F3"/>
    <w:rsid w:val="007E3ED7"/>
    <w:rsid w:val="007E4D9F"/>
    <w:rsid w:val="007E5235"/>
    <w:rsid w:val="007E7715"/>
    <w:rsid w:val="007F01F7"/>
    <w:rsid w:val="007F0396"/>
    <w:rsid w:val="007F09CF"/>
    <w:rsid w:val="007F0FF5"/>
    <w:rsid w:val="007F1188"/>
    <w:rsid w:val="007F151C"/>
    <w:rsid w:val="007F198B"/>
    <w:rsid w:val="007F3B87"/>
    <w:rsid w:val="007F4DD3"/>
    <w:rsid w:val="007F667E"/>
    <w:rsid w:val="00801B59"/>
    <w:rsid w:val="00805B93"/>
    <w:rsid w:val="008135E9"/>
    <w:rsid w:val="00815E32"/>
    <w:rsid w:val="00820000"/>
    <w:rsid w:val="008211B3"/>
    <w:rsid w:val="00825432"/>
    <w:rsid w:val="008261AA"/>
    <w:rsid w:val="00826744"/>
    <w:rsid w:val="00827B50"/>
    <w:rsid w:val="008327F0"/>
    <w:rsid w:val="00835938"/>
    <w:rsid w:val="00835EF4"/>
    <w:rsid w:val="008366E9"/>
    <w:rsid w:val="008400C6"/>
    <w:rsid w:val="00841E10"/>
    <w:rsid w:val="008437D7"/>
    <w:rsid w:val="008444B6"/>
    <w:rsid w:val="00844597"/>
    <w:rsid w:val="008462E4"/>
    <w:rsid w:val="00852C55"/>
    <w:rsid w:val="0085392D"/>
    <w:rsid w:val="00862866"/>
    <w:rsid w:val="00863A1B"/>
    <w:rsid w:val="008650F2"/>
    <w:rsid w:val="0087456B"/>
    <w:rsid w:val="0087458A"/>
    <w:rsid w:val="00875016"/>
    <w:rsid w:val="00875291"/>
    <w:rsid w:val="00876676"/>
    <w:rsid w:val="00880311"/>
    <w:rsid w:val="0088061A"/>
    <w:rsid w:val="008826DE"/>
    <w:rsid w:val="00884466"/>
    <w:rsid w:val="008861AA"/>
    <w:rsid w:val="00887B5A"/>
    <w:rsid w:val="00890D9B"/>
    <w:rsid w:val="00892BDF"/>
    <w:rsid w:val="00892C82"/>
    <w:rsid w:val="00892F7E"/>
    <w:rsid w:val="00894546"/>
    <w:rsid w:val="00894CCE"/>
    <w:rsid w:val="008A41BB"/>
    <w:rsid w:val="008A46C3"/>
    <w:rsid w:val="008A528B"/>
    <w:rsid w:val="008B0192"/>
    <w:rsid w:val="008B232D"/>
    <w:rsid w:val="008B3E76"/>
    <w:rsid w:val="008B4146"/>
    <w:rsid w:val="008B460A"/>
    <w:rsid w:val="008B4B33"/>
    <w:rsid w:val="008B4DCB"/>
    <w:rsid w:val="008B67CA"/>
    <w:rsid w:val="008B6BB7"/>
    <w:rsid w:val="008B79A4"/>
    <w:rsid w:val="008C17F4"/>
    <w:rsid w:val="008C2AF5"/>
    <w:rsid w:val="008C2DDC"/>
    <w:rsid w:val="008C38B9"/>
    <w:rsid w:val="008C3BFE"/>
    <w:rsid w:val="008C3C2E"/>
    <w:rsid w:val="008C5F1E"/>
    <w:rsid w:val="008D12BC"/>
    <w:rsid w:val="008D2896"/>
    <w:rsid w:val="008D2FAF"/>
    <w:rsid w:val="008D4035"/>
    <w:rsid w:val="008D4FC9"/>
    <w:rsid w:val="008D5775"/>
    <w:rsid w:val="008D64A9"/>
    <w:rsid w:val="008E0030"/>
    <w:rsid w:val="008E065A"/>
    <w:rsid w:val="008E12CB"/>
    <w:rsid w:val="008E3213"/>
    <w:rsid w:val="008E3C05"/>
    <w:rsid w:val="008E5628"/>
    <w:rsid w:val="008F171C"/>
    <w:rsid w:val="008F324C"/>
    <w:rsid w:val="008F3875"/>
    <w:rsid w:val="008F4DF9"/>
    <w:rsid w:val="008F55DC"/>
    <w:rsid w:val="00902420"/>
    <w:rsid w:val="00904297"/>
    <w:rsid w:val="00905EAC"/>
    <w:rsid w:val="00906537"/>
    <w:rsid w:val="009072FD"/>
    <w:rsid w:val="00910726"/>
    <w:rsid w:val="0091147D"/>
    <w:rsid w:val="00912DAB"/>
    <w:rsid w:val="00913623"/>
    <w:rsid w:val="00915C93"/>
    <w:rsid w:val="009160EF"/>
    <w:rsid w:val="0091614D"/>
    <w:rsid w:val="009168DC"/>
    <w:rsid w:val="0091763F"/>
    <w:rsid w:val="00921538"/>
    <w:rsid w:val="009217B2"/>
    <w:rsid w:val="009278D2"/>
    <w:rsid w:val="00931566"/>
    <w:rsid w:val="00931DB6"/>
    <w:rsid w:val="009359A3"/>
    <w:rsid w:val="00937F48"/>
    <w:rsid w:val="009400E2"/>
    <w:rsid w:val="0094112C"/>
    <w:rsid w:val="00945009"/>
    <w:rsid w:val="00945AA9"/>
    <w:rsid w:val="00945E1D"/>
    <w:rsid w:val="00947A0C"/>
    <w:rsid w:val="009501D6"/>
    <w:rsid w:val="00950441"/>
    <w:rsid w:val="009505DC"/>
    <w:rsid w:val="009623FD"/>
    <w:rsid w:val="00965EA3"/>
    <w:rsid w:val="00970500"/>
    <w:rsid w:val="009713A8"/>
    <w:rsid w:val="00972106"/>
    <w:rsid w:val="009721E4"/>
    <w:rsid w:val="00973324"/>
    <w:rsid w:val="009733C2"/>
    <w:rsid w:val="0097719F"/>
    <w:rsid w:val="0097770D"/>
    <w:rsid w:val="00980CA8"/>
    <w:rsid w:val="0098277F"/>
    <w:rsid w:val="009831EF"/>
    <w:rsid w:val="00984C50"/>
    <w:rsid w:val="0098510C"/>
    <w:rsid w:val="009851B2"/>
    <w:rsid w:val="00985D5B"/>
    <w:rsid w:val="00986D47"/>
    <w:rsid w:val="00991109"/>
    <w:rsid w:val="00991664"/>
    <w:rsid w:val="009920F3"/>
    <w:rsid w:val="00992361"/>
    <w:rsid w:val="009931F9"/>
    <w:rsid w:val="00993434"/>
    <w:rsid w:val="009A3596"/>
    <w:rsid w:val="009A5C2F"/>
    <w:rsid w:val="009A60EB"/>
    <w:rsid w:val="009A6C82"/>
    <w:rsid w:val="009A70E7"/>
    <w:rsid w:val="009A747E"/>
    <w:rsid w:val="009B00BE"/>
    <w:rsid w:val="009B0178"/>
    <w:rsid w:val="009B036F"/>
    <w:rsid w:val="009B4494"/>
    <w:rsid w:val="009B4681"/>
    <w:rsid w:val="009B7B27"/>
    <w:rsid w:val="009C003F"/>
    <w:rsid w:val="009C0996"/>
    <w:rsid w:val="009C3A9D"/>
    <w:rsid w:val="009C469F"/>
    <w:rsid w:val="009C4D38"/>
    <w:rsid w:val="009C775B"/>
    <w:rsid w:val="009D093A"/>
    <w:rsid w:val="009D0A44"/>
    <w:rsid w:val="009D3749"/>
    <w:rsid w:val="009D3A20"/>
    <w:rsid w:val="009D70F0"/>
    <w:rsid w:val="009D761C"/>
    <w:rsid w:val="009E01E7"/>
    <w:rsid w:val="009E1A57"/>
    <w:rsid w:val="009E5FE4"/>
    <w:rsid w:val="009E62B0"/>
    <w:rsid w:val="009F0EF3"/>
    <w:rsid w:val="009F170E"/>
    <w:rsid w:val="009F1D9E"/>
    <w:rsid w:val="009F36D2"/>
    <w:rsid w:val="009F67E9"/>
    <w:rsid w:val="009F7962"/>
    <w:rsid w:val="00A00379"/>
    <w:rsid w:val="00A00560"/>
    <w:rsid w:val="00A00C2D"/>
    <w:rsid w:val="00A00CE0"/>
    <w:rsid w:val="00A0325B"/>
    <w:rsid w:val="00A036D7"/>
    <w:rsid w:val="00A04613"/>
    <w:rsid w:val="00A04D69"/>
    <w:rsid w:val="00A04DCE"/>
    <w:rsid w:val="00A059CF"/>
    <w:rsid w:val="00A06A98"/>
    <w:rsid w:val="00A06AC9"/>
    <w:rsid w:val="00A07E52"/>
    <w:rsid w:val="00A10C66"/>
    <w:rsid w:val="00A10CDC"/>
    <w:rsid w:val="00A126DF"/>
    <w:rsid w:val="00A12C87"/>
    <w:rsid w:val="00A13472"/>
    <w:rsid w:val="00A1365A"/>
    <w:rsid w:val="00A13987"/>
    <w:rsid w:val="00A13D44"/>
    <w:rsid w:val="00A1798E"/>
    <w:rsid w:val="00A17F4A"/>
    <w:rsid w:val="00A21D78"/>
    <w:rsid w:val="00A23E03"/>
    <w:rsid w:val="00A251BC"/>
    <w:rsid w:val="00A25A66"/>
    <w:rsid w:val="00A27002"/>
    <w:rsid w:val="00A304F8"/>
    <w:rsid w:val="00A30FEE"/>
    <w:rsid w:val="00A31E6B"/>
    <w:rsid w:val="00A32D3F"/>
    <w:rsid w:val="00A33AB3"/>
    <w:rsid w:val="00A34124"/>
    <w:rsid w:val="00A35C88"/>
    <w:rsid w:val="00A37E49"/>
    <w:rsid w:val="00A40308"/>
    <w:rsid w:val="00A41F77"/>
    <w:rsid w:val="00A43370"/>
    <w:rsid w:val="00A436ED"/>
    <w:rsid w:val="00A4376A"/>
    <w:rsid w:val="00A43D01"/>
    <w:rsid w:val="00A455E7"/>
    <w:rsid w:val="00A4591D"/>
    <w:rsid w:val="00A508E3"/>
    <w:rsid w:val="00A508F8"/>
    <w:rsid w:val="00A536A8"/>
    <w:rsid w:val="00A55D59"/>
    <w:rsid w:val="00A602D9"/>
    <w:rsid w:val="00A60CDC"/>
    <w:rsid w:val="00A6125B"/>
    <w:rsid w:val="00A615D7"/>
    <w:rsid w:val="00A636A8"/>
    <w:rsid w:val="00A759FC"/>
    <w:rsid w:val="00A7656B"/>
    <w:rsid w:val="00A767BC"/>
    <w:rsid w:val="00A7686D"/>
    <w:rsid w:val="00A80364"/>
    <w:rsid w:val="00A81E84"/>
    <w:rsid w:val="00A835BD"/>
    <w:rsid w:val="00A85903"/>
    <w:rsid w:val="00A87FBF"/>
    <w:rsid w:val="00A9070E"/>
    <w:rsid w:val="00A93B1E"/>
    <w:rsid w:val="00A93C06"/>
    <w:rsid w:val="00A93C36"/>
    <w:rsid w:val="00A9508E"/>
    <w:rsid w:val="00A95BBA"/>
    <w:rsid w:val="00A961DD"/>
    <w:rsid w:val="00AA1B55"/>
    <w:rsid w:val="00AA2E13"/>
    <w:rsid w:val="00AA58CD"/>
    <w:rsid w:val="00AA5D4D"/>
    <w:rsid w:val="00AB0423"/>
    <w:rsid w:val="00AB13C8"/>
    <w:rsid w:val="00AB238A"/>
    <w:rsid w:val="00AB45EA"/>
    <w:rsid w:val="00AB5089"/>
    <w:rsid w:val="00AB644B"/>
    <w:rsid w:val="00AC09C0"/>
    <w:rsid w:val="00AC21BB"/>
    <w:rsid w:val="00AC2289"/>
    <w:rsid w:val="00AC2C53"/>
    <w:rsid w:val="00AC3473"/>
    <w:rsid w:val="00AC3C3C"/>
    <w:rsid w:val="00AC5703"/>
    <w:rsid w:val="00AC593C"/>
    <w:rsid w:val="00AC5BF5"/>
    <w:rsid w:val="00AC749B"/>
    <w:rsid w:val="00AC7FD3"/>
    <w:rsid w:val="00AD0633"/>
    <w:rsid w:val="00AD0D47"/>
    <w:rsid w:val="00AD13BE"/>
    <w:rsid w:val="00AD241E"/>
    <w:rsid w:val="00AD2954"/>
    <w:rsid w:val="00AD6BDE"/>
    <w:rsid w:val="00AD7BC3"/>
    <w:rsid w:val="00AE12BE"/>
    <w:rsid w:val="00AE3FE1"/>
    <w:rsid w:val="00AE5072"/>
    <w:rsid w:val="00AE595D"/>
    <w:rsid w:val="00AE5AD0"/>
    <w:rsid w:val="00AE646B"/>
    <w:rsid w:val="00AE76A9"/>
    <w:rsid w:val="00AF0194"/>
    <w:rsid w:val="00AF0556"/>
    <w:rsid w:val="00AF2A3B"/>
    <w:rsid w:val="00AF51D4"/>
    <w:rsid w:val="00AF69E7"/>
    <w:rsid w:val="00B0047F"/>
    <w:rsid w:val="00B0084D"/>
    <w:rsid w:val="00B01514"/>
    <w:rsid w:val="00B018B0"/>
    <w:rsid w:val="00B0243F"/>
    <w:rsid w:val="00B033B4"/>
    <w:rsid w:val="00B050E7"/>
    <w:rsid w:val="00B0648E"/>
    <w:rsid w:val="00B06921"/>
    <w:rsid w:val="00B06C6B"/>
    <w:rsid w:val="00B06E35"/>
    <w:rsid w:val="00B11070"/>
    <w:rsid w:val="00B14A3B"/>
    <w:rsid w:val="00B16F5F"/>
    <w:rsid w:val="00B20140"/>
    <w:rsid w:val="00B22E12"/>
    <w:rsid w:val="00B23489"/>
    <w:rsid w:val="00B23894"/>
    <w:rsid w:val="00B2443C"/>
    <w:rsid w:val="00B24AC8"/>
    <w:rsid w:val="00B2617C"/>
    <w:rsid w:val="00B2702C"/>
    <w:rsid w:val="00B31683"/>
    <w:rsid w:val="00B31CB8"/>
    <w:rsid w:val="00B36233"/>
    <w:rsid w:val="00B37C20"/>
    <w:rsid w:val="00B40E78"/>
    <w:rsid w:val="00B430E3"/>
    <w:rsid w:val="00B4341A"/>
    <w:rsid w:val="00B44915"/>
    <w:rsid w:val="00B451D2"/>
    <w:rsid w:val="00B45ABE"/>
    <w:rsid w:val="00B4642D"/>
    <w:rsid w:val="00B5011C"/>
    <w:rsid w:val="00B51684"/>
    <w:rsid w:val="00B51A8D"/>
    <w:rsid w:val="00B522EF"/>
    <w:rsid w:val="00B544B6"/>
    <w:rsid w:val="00B54BBD"/>
    <w:rsid w:val="00B55606"/>
    <w:rsid w:val="00B55850"/>
    <w:rsid w:val="00B606A4"/>
    <w:rsid w:val="00B6220A"/>
    <w:rsid w:val="00B63AF7"/>
    <w:rsid w:val="00B704BB"/>
    <w:rsid w:val="00B74B13"/>
    <w:rsid w:val="00B80538"/>
    <w:rsid w:val="00B817CF"/>
    <w:rsid w:val="00B82496"/>
    <w:rsid w:val="00B84784"/>
    <w:rsid w:val="00B8519F"/>
    <w:rsid w:val="00B85633"/>
    <w:rsid w:val="00B908CE"/>
    <w:rsid w:val="00B91E87"/>
    <w:rsid w:val="00B93071"/>
    <w:rsid w:val="00B943D7"/>
    <w:rsid w:val="00B946FE"/>
    <w:rsid w:val="00B9735D"/>
    <w:rsid w:val="00BA0295"/>
    <w:rsid w:val="00BA0587"/>
    <w:rsid w:val="00BA0EB5"/>
    <w:rsid w:val="00BA17AB"/>
    <w:rsid w:val="00BA64A1"/>
    <w:rsid w:val="00BA69AF"/>
    <w:rsid w:val="00BB138C"/>
    <w:rsid w:val="00BB1B48"/>
    <w:rsid w:val="00BB1FE4"/>
    <w:rsid w:val="00BB31F8"/>
    <w:rsid w:val="00BB761E"/>
    <w:rsid w:val="00BC022A"/>
    <w:rsid w:val="00BC0752"/>
    <w:rsid w:val="00BC1200"/>
    <w:rsid w:val="00BC2851"/>
    <w:rsid w:val="00BC4CAA"/>
    <w:rsid w:val="00BC52BC"/>
    <w:rsid w:val="00BC662D"/>
    <w:rsid w:val="00BD0305"/>
    <w:rsid w:val="00BD102D"/>
    <w:rsid w:val="00BD3951"/>
    <w:rsid w:val="00BD552F"/>
    <w:rsid w:val="00BD65CD"/>
    <w:rsid w:val="00BD7893"/>
    <w:rsid w:val="00BE075C"/>
    <w:rsid w:val="00BE2A68"/>
    <w:rsid w:val="00BE6F98"/>
    <w:rsid w:val="00BE737D"/>
    <w:rsid w:val="00BF02E1"/>
    <w:rsid w:val="00BF26C4"/>
    <w:rsid w:val="00BF2A61"/>
    <w:rsid w:val="00BF4BCC"/>
    <w:rsid w:val="00BF52FE"/>
    <w:rsid w:val="00BF7BB6"/>
    <w:rsid w:val="00BF7C9B"/>
    <w:rsid w:val="00C01448"/>
    <w:rsid w:val="00C02E5D"/>
    <w:rsid w:val="00C035E2"/>
    <w:rsid w:val="00C03640"/>
    <w:rsid w:val="00C0501C"/>
    <w:rsid w:val="00C07229"/>
    <w:rsid w:val="00C11073"/>
    <w:rsid w:val="00C1195D"/>
    <w:rsid w:val="00C16054"/>
    <w:rsid w:val="00C16E70"/>
    <w:rsid w:val="00C17964"/>
    <w:rsid w:val="00C214FB"/>
    <w:rsid w:val="00C22A3E"/>
    <w:rsid w:val="00C22BA9"/>
    <w:rsid w:val="00C234A1"/>
    <w:rsid w:val="00C25824"/>
    <w:rsid w:val="00C2626E"/>
    <w:rsid w:val="00C2640D"/>
    <w:rsid w:val="00C268F8"/>
    <w:rsid w:val="00C26CC0"/>
    <w:rsid w:val="00C355F8"/>
    <w:rsid w:val="00C36EA6"/>
    <w:rsid w:val="00C3712E"/>
    <w:rsid w:val="00C40968"/>
    <w:rsid w:val="00C419D8"/>
    <w:rsid w:val="00C41D31"/>
    <w:rsid w:val="00C41F6B"/>
    <w:rsid w:val="00C46D5C"/>
    <w:rsid w:val="00C5034E"/>
    <w:rsid w:val="00C51DBA"/>
    <w:rsid w:val="00C534C1"/>
    <w:rsid w:val="00C57CF0"/>
    <w:rsid w:val="00C60687"/>
    <w:rsid w:val="00C615BE"/>
    <w:rsid w:val="00C619A8"/>
    <w:rsid w:val="00C6593E"/>
    <w:rsid w:val="00C7049E"/>
    <w:rsid w:val="00C76606"/>
    <w:rsid w:val="00C822A7"/>
    <w:rsid w:val="00C828B7"/>
    <w:rsid w:val="00C83B6F"/>
    <w:rsid w:val="00C85532"/>
    <w:rsid w:val="00C87378"/>
    <w:rsid w:val="00C876E5"/>
    <w:rsid w:val="00C93D83"/>
    <w:rsid w:val="00C951DF"/>
    <w:rsid w:val="00C95285"/>
    <w:rsid w:val="00C954F1"/>
    <w:rsid w:val="00C959E3"/>
    <w:rsid w:val="00C96737"/>
    <w:rsid w:val="00C9748D"/>
    <w:rsid w:val="00C97AF0"/>
    <w:rsid w:val="00CA3ADD"/>
    <w:rsid w:val="00CA4578"/>
    <w:rsid w:val="00CA5CE4"/>
    <w:rsid w:val="00CA6EDE"/>
    <w:rsid w:val="00CA7FBB"/>
    <w:rsid w:val="00CB0028"/>
    <w:rsid w:val="00CB521A"/>
    <w:rsid w:val="00CC2FF5"/>
    <w:rsid w:val="00CC431D"/>
    <w:rsid w:val="00CC7C6C"/>
    <w:rsid w:val="00CD4A26"/>
    <w:rsid w:val="00CD4DFF"/>
    <w:rsid w:val="00CD5669"/>
    <w:rsid w:val="00CD572F"/>
    <w:rsid w:val="00CD7562"/>
    <w:rsid w:val="00CD780A"/>
    <w:rsid w:val="00CE3A9D"/>
    <w:rsid w:val="00CE426F"/>
    <w:rsid w:val="00CE4474"/>
    <w:rsid w:val="00CE696F"/>
    <w:rsid w:val="00CF01E7"/>
    <w:rsid w:val="00CF1C26"/>
    <w:rsid w:val="00CF2020"/>
    <w:rsid w:val="00CF3FB5"/>
    <w:rsid w:val="00CF5F40"/>
    <w:rsid w:val="00CF62C8"/>
    <w:rsid w:val="00CF7949"/>
    <w:rsid w:val="00CF7964"/>
    <w:rsid w:val="00D00B36"/>
    <w:rsid w:val="00D017F5"/>
    <w:rsid w:val="00D02F36"/>
    <w:rsid w:val="00D03B1C"/>
    <w:rsid w:val="00D04C43"/>
    <w:rsid w:val="00D050CB"/>
    <w:rsid w:val="00D05EF5"/>
    <w:rsid w:val="00D067BA"/>
    <w:rsid w:val="00D06E10"/>
    <w:rsid w:val="00D06E84"/>
    <w:rsid w:val="00D12F02"/>
    <w:rsid w:val="00D12FFB"/>
    <w:rsid w:val="00D133C1"/>
    <w:rsid w:val="00D1464C"/>
    <w:rsid w:val="00D14898"/>
    <w:rsid w:val="00D15274"/>
    <w:rsid w:val="00D157B6"/>
    <w:rsid w:val="00D166F5"/>
    <w:rsid w:val="00D20AE8"/>
    <w:rsid w:val="00D20D9D"/>
    <w:rsid w:val="00D216C4"/>
    <w:rsid w:val="00D218AB"/>
    <w:rsid w:val="00D24795"/>
    <w:rsid w:val="00D26863"/>
    <w:rsid w:val="00D3083E"/>
    <w:rsid w:val="00D375CF"/>
    <w:rsid w:val="00D431ED"/>
    <w:rsid w:val="00D43B04"/>
    <w:rsid w:val="00D4441A"/>
    <w:rsid w:val="00D448DF"/>
    <w:rsid w:val="00D46BB0"/>
    <w:rsid w:val="00D47458"/>
    <w:rsid w:val="00D475A5"/>
    <w:rsid w:val="00D47B8F"/>
    <w:rsid w:val="00D50230"/>
    <w:rsid w:val="00D50653"/>
    <w:rsid w:val="00D52121"/>
    <w:rsid w:val="00D5369F"/>
    <w:rsid w:val="00D562DF"/>
    <w:rsid w:val="00D563B9"/>
    <w:rsid w:val="00D56454"/>
    <w:rsid w:val="00D56AC7"/>
    <w:rsid w:val="00D574BC"/>
    <w:rsid w:val="00D615D3"/>
    <w:rsid w:val="00D62002"/>
    <w:rsid w:val="00D62ABC"/>
    <w:rsid w:val="00D675E9"/>
    <w:rsid w:val="00D70022"/>
    <w:rsid w:val="00D7187B"/>
    <w:rsid w:val="00D74366"/>
    <w:rsid w:val="00D75F02"/>
    <w:rsid w:val="00D76125"/>
    <w:rsid w:val="00D762BB"/>
    <w:rsid w:val="00D857A1"/>
    <w:rsid w:val="00D8644F"/>
    <w:rsid w:val="00D87094"/>
    <w:rsid w:val="00D87AB1"/>
    <w:rsid w:val="00D87C33"/>
    <w:rsid w:val="00D90AF0"/>
    <w:rsid w:val="00D918B4"/>
    <w:rsid w:val="00D95367"/>
    <w:rsid w:val="00D96445"/>
    <w:rsid w:val="00D97610"/>
    <w:rsid w:val="00D97F45"/>
    <w:rsid w:val="00DA10C4"/>
    <w:rsid w:val="00DA3B06"/>
    <w:rsid w:val="00DA7844"/>
    <w:rsid w:val="00DB1589"/>
    <w:rsid w:val="00DB354D"/>
    <w:rsid w:val="00DB3D68"/>
    <w:rsid w:val="00DB508E"/>
    <w:rsid w:val="00DB5458"/>
    <w:rsid w:val="00DB5A3E"/>
    <w:rsid w:val="00DB5C36"/>
    <w:rsid w:val="00DB5FB9"/>
    <w:rsid w:val="00DB60BF"/>
    <w:rsid w:val="00DC0EFE"/>
    <w:rsid w:val="00DC0FA9"/>
    <w:rsid w:val="00DD0081"/>
    <w:rsid w:val="00DD0B26"/>
    <w:rsid w:val="00DD59CD"/>
    <w:rsid w:val="00DD60FE"/>
    <w:rsid w:val="00DD7989"/>
    <w:rsid w:val="00DE36BD"/>
    <w:rsid w:val="00DE4245"/>
    <w:rsid w:val="00DE4E00"/>
    <w:rsid w:val="00DE6290"/>
    <w:rsid w:val="00DE729D"/>
    <w:rsid w:val="00DF128B"/>
    <w:rsid w:val="00DF2007"/>
    <w:rsid w:val="00DF206A"/>
    <w:rsid w:val="00DF2610"/>
    <w:rsid w:val="00DF369D"/>
    <w:rsid w:val="00DF5D3F"/>
    <w:rsid w:val="00E00922"/>
    <w:rsid w:val="00E00F95"/>
    <w:rsid w:val="00E011FC"/>
    <w:rsid w:val="00E0272F"/>
    <w:rsid w:val="00E04C24"/>
    <w:rsid w:val="00E10170"/>
    <w:rsid w:val="00E11F3B"/>
    <w:rsid w:val="00E13ED1"/>
    <w:rsid w:val="00E1401C"/>
    <w:rsid w:val="00E2008E"/>
    <w:rsid w:val="00E216A9"/>
    <w:rsid w:val="00E248AB"/>
    <w:rsid w:val="00E2574F"/>
    <w:rsid w:val="00E25FF8"/>
    <w:rsid w:val="00E263CD"/>
    <w:rsid w:val="00E32932"/>
    <w:rsid w:val="00E337F8"/>
    <w:rsid w:val="00E34C97"/>
    <w:rsid w:val="00E422EA"/>
    <w:rsid w:val="00E43807"/>
    <w:rsid w:val="00E44AFD"/>
    <w:rsid w:val="00E45EEE"/>
    <w:rsid w:val="00E478F5"/>
    <w:rsid w:val="00E51465"/>
    <w:rsid w:val="00E51883"/>
    <w:rsid w:val="00E52291"/>
    <w:rsid w:val="00E524A4"/>
    <w:rsid w:val="00E550E5"/>
    <w:rsid w:val="00E554C5"/>
    <w:rsid w:val="00E55F6C"/>
    <w:rsid w:val="00E5651E"/>
    <w:rsid w:val="00E61C4E"/>
    <w:rsid w:val="00E648A2"/>
    <w:rsid w:val="00E65CE5"/>
    <w:rsid w:val="00E6602A"/>
    <w:rsid w:val="00E667AD"/>
    <w:rsid w:val="00E673D9"/>
    <w:rsid w:val="00E71000"/>
    <w:rsid w:val="00E71DB2"/>
    <w:rsid w:val="00E72B16"/>
    <w:rsid w:val="00E75E10"/>
    <w:rsid w:val="00E80434"/>
    <w:rsid w:val="00E81500"/>
    <w:rsid w:val="00E829E1"/>
    <w:rsid w:val="00E83304"/>
    <w:rsid w:val="00E866BB"/>
    <w:rsid w:val="00E86832"/>
    <w:rsid w:val="00E869EC"/>
    <w:rsid w:val="00E86BBF"/>
    <w:rsid w:val="00E87505"/>
    <w:rsid w:val="00E9107F"/>
    <w:rsid w:val="00E9166D"/>
    <w:rsid w:val="00E916E1"/>
    <w:rsid w:val="00E91A6C"/>
    <w:rsid w:val="00E9238A"/>
    <w:rsid w:val="00E930F2"/>
    <w:rsid w:val="00E96737"/>
    <w:rsid w:val="00EA1852"/>
    <w:rsid w:val="00EA296D"/>
    <w:rsid w:val="00EA3401"/>
    <w:rsid w:val="00EA7424"/>
    <w:rsid w:val="00EA784C"/>
    <w:rsid w:val="00EB1A1C"/>
    <w:rsid w:val="00EB2A00"/>
    <w:rsid w:val="00EB5AE3"/>
    <w:rsid w:val="00EB6807"/>
    <w:rsid w:val="00EB6DEA"/>
    <w:rsid w:val="00EC0845"/>
    <w:rsid w:val="00EC2F7E"/>
    <w:rsid w:val="00EC5505"/>
    <w:rsid w:val="00EC5F8F"/>
    <w:rsid w:val="00EC5FB7"/>
    <w:rsid w:val="00EC687F"/>
    <w:rsid w:val="00EC7194"/>
    <w:rsid w:val="00EC79B1"/>
    <w:rsid w:val="00ED4B30"/>
    <w:rsid w:val="00ED7876"/>
    <w:rsid w:val="00EE1FC1"/>
    <w:rsid w:val="00EE3559"/>
    <w:rsid w:val="00EE52D8"/>
    <w:rsid w:val="00EE7609"/>
    <w:rsid w:val="00EF070B"/>
    <w:rsid w:val="00EF2B99"/>
    <w:rsid w:val="00EF2F21"/>
    <w:rsid w:val="00EF38F2"/>
    <w:rsid w:val="00EF5CA2"/>
    <w:rsid w:val="00EF78C7"/>
    <w:rsid w:val="00F01375"/>
    <w:rsid w:val="00F01B44"/>
    <w:rsid w:val="00F056BA"/>
    <w:rsid w:val="00F07E65"/>
    <w:rsid w:val="00F107BA"/>
    <w:rsid w:val="00F137CB"/>
    <w:rsid w:val="00F13B1D"/>
    <w:rsid w:val="00F144C8"/>
    <w:rsid w:val="00F14D54"/>
    <w:rsid w:val="00F17557"/>
    <w:rsid w:val="00F233C0"/>
    <w:rsid w:val="00F258F0"/>
    <w:rsid w:val="00F26393"/>
    <w:rsid w:val="00F275FF"/>
    <w:rsid w:val="00F2775C"/>
    <w:rsid w:val="00F27D7C"/>
    <w:rsid w:val="00F30977"/>
    <w:rsid w:val="00F3148B"/>
    <w:rsid w:val="00F316DF"/>
    <w:rsid w:val="00F37CC3"/>
    <w:rsid w:val="00F4067C"/>
    <w:rsid w:val="00F40932"/>
    <w:rsid w:val="00F42AF4"/>
    <w:rsid w:val="00F45ECD"/>
    <w:rsid w:val="00F46C47"/>
    <w:rsid w:val="00F474A5"/>
    <w:rsid w:val="00F47AB7"/>
    <w:rsid w:val="00F5159D"/>
    <w:rsid w:val="00F53B87"/>
    <w:rsid w:val="00F54545"/>
    <w:rsid w:val="00F56256"/>
    <w:rsid w:val="00F567C2"/>
    <w:rsid w:val="00F57321"/>
    <w:rsid w:val="00F654D0"/>
    <w:rsid w:val="00F676BF"/>
    <w:rsid w:val="00F712E5"/>
    <w:rsid w:val="00F73845"/>
    <w:rsid w:val="00F74132"/>
    <w:rsid w:val="00F8014B"/>
    <w:rsid w:val="00F816F8"/>
    <w:rsid w:val="00F818A7"/>
    <w:rsid w:val="00F81F39"/>
    <w:rsid w:val="00F83AD1"/>
    <w:rsid w:val="00F83F90"/>
    <w:rsid w:val="00F847E1"/>
    <w:rsid w:val="00F857C8"/>
    <w:rsid w:val="00F859A1"/>
    <w:rsid w:val="00F87A51"/>
    <w:rsid w:val="00F90DAF"/>
    <w:rsid w:val="00F92E1F"/>
    <w:rsid w:val="00F938BC"/>
    <w:rsid w:val="00F93B7E"/>
    <w:rsid w:val="00F96BA8"/>
    <w:rsid w:val="00F96DC4"/>
    <w:rsid w:val="00F97D08"/>
    <w:rsid w:val="00F97D1F"/>
    <w:rsid w:val="00FA04BC"/>
    <w:rsid w:val="00FA1F0B"/>
    <w:rsid w:val="00FA26EA"/>
    <w:rsid w:val="00FA29C4"/>
    <w:rsid w:val="00FA601F"/>
    <w:rsid w:val="00FA675A"/>
    <w:rsid w:val="00FB1175"/>
    <w:rsid w:val="00FB3E2F"/>
    <w:rsid w:val="00FB4F0C"/>
    <w:rsid w:val="00FB5DA3"/>
    <w:rsid w:val="00FB7027"/>
    <w:rsid w:val="00FC03F7"/>
    <w:rsid w:val="00FC2589"/>
    <w:rsid w:val="00FC5289"/>
    <w:rsid w:val="00FD0109"/>
    <w:rsid w:val="00FD015A"/>
    <w:rsid w:val="00FD0D14"/>
    <w:rsid w:val="00FD3741"/>
    <w:rsid w:val="00FD3F42"/>
    <w:rsid w:val="00FD53FB"/>
    <w:rsid w:val="00FD595F"/>
    <w:rsid w:val="00FD6270"/>
    <w:rsid w:val="00FD68A8"/>
    <w:rsid w:val="00FD7142"/>
    <w:rsid w:val="00FD7F04"/>
    <w:rsid w:val="00FE01B1"/>
    <w:rsid w:val="00FE0291"/>
    <w:rsid w:val="00FE28B8"/>
    <w:rsid w:val="00FE3E4A"/>
    <w:rsid w:val="00FE3F13"/>
    <w:rsid w:val="00FE4194"/>
    <w:rsid w:val="00FE4D87"/>
    <w:rsid w:val="00FE520A"/>
    <w:rsid w:val="00FE65F8"/>
    <w:rsid w:val="00FF08CA"/>
    <w:rsid w:val="00FF3044"/>
    <w:rsid w:val="00FF47E7"/>
    <w:rsid w:val="00FF6194"/>
    <w:rsid w:val="00FF6A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9FF8D"/>
  <w15:docId w15:val="{172EACA7-C172-4246-91A7-9ADD4322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A1D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rsid w:val="00805BCE"/>
    <w:rPr>
      <w:sz w:val="16"/>
      <w:szCs w:val="16"/>
    </w:rPr>
  </w:style>
  <w:style w:type="paragraph" w:styleId="Testocommento">
    <w:name w:val="annotation text"/>
    <w:basedOn w:val="Normale"/>
    <w:link w:val="TestocommentoCarattere"/>
    <w:uiPriority w:val="99"/>
    <w:unhideWhenUsed/>
  </w:style>
  <w:style w:type="character" w:customStyle="1" w:styleId="TestocommentoCarattere">
    <w:name w:val="Testo commento Carattere"/>
    <w:basedOn w:val="Carpredefinitoparagrafo"/>
    <w:link w:val="Testocommento"/>
    <w:uiPriority w:val="99"/>
  </w:style>
  <w:style w:type="paragraph" w:styleId="Testofumetto">
    <w:name w:val="Balloon Text"/>
    <w:basedOn w:val="Normale"/>
    <w:link w:val="TestofumettoCarattere"/>
    <w:uiPriority w:val="99"/>
    <w:semiHidden/>
    <w:unhideWhenUsed/>
    <w:rsid w:val="004413A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413A3"/>
    <w:rPr>
      <w:rFonts w:ascii="Times New Roman" w:hAnsi="Times New Roman" w:cs="Times New Roman"/>
      <w:sz w:val="18"/>
      <w:szCs w:val="18"/>
    </w:rPr>
  </w:style>
  <w:style w:type="paragraph" w:styleId="Soggettocommento">
    <w:name w:val="annotation subject"/>
    <w:basedOn w:val="Testocommento"/>
    <w:next w:val="Testocommento"/>
    <w:link w:val="SoggettocommentoCarattere"/>
    <w:uiPriority w:val="99"/>
    <w:semiHidden/>
    <w:unhideWhenUsed/>
    <w:rsid w:val="004413A3"/>
    <w:rPr>
      <w:b/>
      <w:bCs/>
      <w:sz w:val="20"/>
      <w:szCs w:val="20"/>
    </w:rPr>
  </w:style>
  <w:style w:type="character" w:customStyle="1" w:styleId="SoggettocommentoCarattere">
    <w:name w:val="Soggetto commento Carattere"/>
    <w:basedOn w:val="TestocommentoCarattere"/>
    <w:link w:val="Soggettocommento"/>
    <w:uiPriority w:val="99"/>
    <w:semiHidden/>
    <w:rsid w:val="004413A3"/>
    <w:rPr>
      <w:b/>
      <w:bCs/>
      <w:sz w:val="20"/>
      <w:szCs w:val="20"/>
    </w:rPr>
  </w:style>
  <w:style w:type="paragraph" w:styleId="Paragrafoelenco">
    <w:name w:val="List Paragraph"/>
    <w:basedOn w:val="Normale"/>
    <w:uiPriority w:val="34"/>
    <w:qFormat/>
    <w:rsid w:val="006B6056"/>
    <w:pPr>
      <w:ind w:left="720"/>
      <w:contextualSpacing/>
    </w:pPr>
  </w:style>
  <w:style w:type="paragraph" w:customStyle="1" w:styleId="Bibliografia1">
    <w:name w:val="Bibliografia1"/>
    <w:basedOn w:val="Normale"/>
    <w:rsid w:val="00D675E9"/>
    <w:pPr>
      <w:tabs>
        <w:tab w:val="left" w:pos="380"/>
      </w:tabs>
      <w:spacing w:after="240"/>
      <w:ind w:left="384" w:hanging="384"/>
      <w:jc w:val="both"/>
    </w:pPr>
    <w:rPr>
      <w:rFonts w:cs="Tahoma"/>
      <w:lang w:val="en-US"/>
    </w:rPr>
  </w:style>
  <w:style w:type="paragraph" w:styleId="Revisione">
    <w:name w:val="Revision"/>
    <w:hidden/>
    <w:uiPriority w:val="99"/>
    <w:semiHidden/>
    <w:rsid w:val="00FA26EA"/>
  </w:style>
  <w:style w:type="paragraph" w:styleId="Pidipagina">
    <w:name w:val="footer"/>
    <w:basedOn w:val="Normale"/>
    <w:link w:val="PidipaginaCarattere"/>
    <w:uiPriority w:val="99"/>
    <w:unhideWhenUsed/>
    <w:rsid w:val="00AC5BF5"/>
    <w:pPr>
      <w:tabs>
        <w:tab w:val="center" w:pos="4680"/>
        <w:tab w:val="right" w:pos="9360"/>
      </w:tabs>
    </w:pPr>
  </w:style>
  <w:style w:type="character" w:customStyle="1" w:styleId="PidipaginaCarattere">
    <w:name w:val="Piè di pagina Carattere"/>
    <w:basedOn w:val="Carpredefinitoparagrafo"/>
    <w:link w:val="Pidipagina"/>
    <w:uiPriority w:val="99"/>
    <w:rsid w:val="00AC5BF5"/>
  </w:style>
  <w:style w:type="character" w:styleId="Numeropagina">
    <w:name w:val="page number"/>
    <w:basedOn w:val="Carpredefinitoparagrafo"/>
    <w:uiPriority w:val="99"/>
    <w:semiHidden/>
    <w:unhideWhenUsed/>
    <w:rsid w:val="00AC5BF5"/>
  </w:style>
  <w:style w:type="character" w:styleId="Collegamentoipertestuale">
    <w:name w:val="Hyperlink"/>
    <w:basedOn w:val="Carpredefinitoparagrafo"/>
    <w:uiPriority w:val="99"/>
    <w:unhideWhenUsed/>
    <w:rsid w:val="008D64A9"/>
    <w:rPr>
      <w:color w:val="0563C1" w:themeColor="hyperlink"/>
      <w:u w:val="single"/>
    </w:rPr>
  </w:style>
  <w:style w:type="character" w:customStyle="1" w:styleId="Menzionenonrisolta1">
    <w:name w:val="Menzione non risolta1"/>
    <w:basedOn w:val="Carpredefinitoparagrafo"/>
    <w:uiPriority w:val="99"/>
    <w:semiHidden/>
    <w:unhideWhenUsed/>
    <w:rsid w:val="008D64A9"/>
    <w:rPr>
      <w:color w:val="808080"/>
      <w:shd w:val="clear" w:color="auto" w:fill="E6E6E6"/>
    </w:rPr>
  </w:style>
  <w:style w:type="character" w:styleId="Collegamentovisitato">
    <w:name w:val="FollowedHyperlink"/>
    <w:basedOn w:val="Carpredefinitoparagrafo"/>
    <w:uiPriority w:val="99"/>
    <w:semiHidden/>
    <w:unhideWhenUsed/>
    <w:rsid w:val="008D64A9"/>
    <w:rPr>
      <w:color w:val="954F72" w:themeColor="followedHyperlink"/>
      <w:u w:val="single"/>
    </w:rPr>
  </w:style>
  <w:style w:type="paragraph" w:styleId="NormaleWeb">
    <w:name w:val="Normal (Web)"/>
    <w:basedOn w:val="Normale"/>
    <w:uiPriority w:val="99"/>
    <w:semiHidden/>
    <w:unhideWhenUsed/>
    <w:rsid w:val="00B23489"/>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7980">
      <w:bodyDiv w:val="1"/>
      <w:marLeft w:val="0"/>
      <w:marRight w:val="0"/>
      <w:marTop w:val="0"/>
      <w:marBottom w:val="0"/>
      <w:divBdr>
        <w:top w:val="none" w:sz="0" w:space="0" w:color="auto"/>
        <w:left w:val="none" w:sz="0" w:space="0" w:color="auto"/>
        <w:bottom w:val="none" w:sz="0" w:space="0" w:color="auto"/>
        <w:right w:val="none" w:sz="0" w:space="0" w:color="auto"/>
      </w:divBdr>
    </w:div>
    <w:div w:id="201869352">
      <w:bodyDiv w:val="1"/>
      <w:marLeft w:val="0"/>
      <w:marRight w:val="0"/>
      <w:marTop w:val="0"/>
      <w:marBottom w:val="0"/>
      <w:divBdr>
        <w:top w:val="none" w:sz="0" w:space="0" w:color="auto"/>
        <w:left w:val="none" w:sz="0" w:space="0" w:color="auto"/>
        <w:bottom w:val="none" w:sz="0" w:space="0" w:color="auto"/>
        <w:right w:val="none" w:sz="0" w:space="0" w:color="auto"/>
      </w:divBdr>
    </w:div>
    <w:div w:id="252013522">
      <w:bodyDiv w:val="1"/>
      <w:marLeft w:val="0"/>
      <w:marRight w:val="0"/>
      <w:marTop w:val="0"/>
      <w:marBottom w:val="0"/>
      <w:divBdr>
        <w:top w:val="none" w:sz="0" w:space="0" w:color="auto"/>
        <w:left w:val="none" w:sz="0" w:space="0" w:color="auto"/>
        <w:bottom w:val="none" w:sz="0" w:space="0" w:color="auto"/>
        <w:right w:val="none" w:sz="0" w:space="0" w:color="auto"/>
      </w:divBdr>
    </w:div>
    <w:div w:id="289094384">
      <w:bodyDiv w:val="1"/>
      <w:marLeft w:val="0"/>
      <w:marRight w:val="0"/>
      <w:marTop w:val="0"/>
      <w:marBottom w:val="0"/>
      <w:divBdr>
        <w:top w:val="none" w:sz="0" w:space="0" w:color="auto"/>
        <w:left w:val="none" w:sz="0" w:space="0" w:color="auto"/>
        <w:bottom w:val="none" w:sz="0" w:space="0" w:color="auto"/>
        <w:right w:val="none" w:sz="0" w:space="0" w:color="auto"/>
      </w:divBdr>
    </w:div>
    <w:div w:id="520167284">
      <w:bodyDiv w:val="1"/>
      <w:marLeft w:val="0"/>
      <w:marRight w:val="0"/>
      <w:marTop w:val="0"/>
      <w:marBottom w:val="0"/>
      <w:divBdr>
        <w:top w:val="none" w:sz="0" w:space="0" w:color="auto"/>
        <w:left w:val="none" w:sz="0" w:space="0" w:color="auto"/>
        <w:bottom w:val="none" w:sz="0" w:space="0" w:color="auto"/>
        <w:right w:val="none" w:sz="0" w:space="0" w:color="auto"/>
      </w:divBdr>
    </w:div>
    <w:div w:id="543950351">
      <w:bodyDiv w:val="1"/>
      <w:marLeft w:val="0"/>
      <w:marRight w:val="0"/>
      <w:marTop w:val="0"/>
      <w:marBottom w:val="0"/>
      <w:divBdr>
        <w:top w:val="none" w:sz="0" w:space="0" w:color="auto"/>
        <w:left w:val="none" w:sz="0" w:space="0" w:color="auto"/>
        <w:bottom w:val="none" w:sz="0" w:space="0" w:color="auto"/>
        <w:right w:val="none" w:sz="0" w:space="0" w:color="auto"/>
      </w:divBdr>
    </w:div>
    <w:div w:id="651301386">
      <w:bodyDiv w:val="1"/>
      <w:marLeft w:val="0"/>
      <w:marRight w:val="0"/>
      <w:marTop w:val="0"/>
      <w:marBottom w:val="0"/>
      <w:divBdr>
        <w:top w:val="none" w:sz="0" w:space="0" w:color="auto"/>
        <w:left w:val="none" w:sz="0" w:space="0" w:color="auto"/>
        <w:bottom w:val="none" w:sz="0" w:space="0" w:color="auto"/>
        <w:right w:val="none" w:sz="0" w:space="0" w:color="auto"/>
      </w:divBdr>
    </w:div>
    <w:div w:id="888808152">
      <w:bodyDiv w:val="1"/>
      <w:marLeft w:val="0"/>
      <w:marRight w:val="0"/>
      <w:marTop w:val="0"/>
      <w:marBottom w:val="0"/>
      <w:divBdr>
        <w:top w:val="none" w:sz="0" w:space="0" w:color="auto"/>
        <w:left w:val="none" w:sz="0" w:space="0" w:color="auto"/>
        <w:bottom w:val="none" w:sz="0" w:space="0" w:color="auto"/>
        <w:right w:val="none" w:sz="0" w:space="0" w:color="auto"/>
      </w:divBdr>
    </w:div>
    <w:div w:id="952203302">
      <w:bodyDiv w:val="1"/>
      <w:marLeft w:val="0"/>
      <w:marRight w:val="0"/>
      <w:marTop w:val="0"/>
      <w:marBottom w:val="0"/>
      <w:divBdr>
        <w:top w:val="none" w:sz="0" w:space="0" w:color="auto"/>
        <w:left w:val="none" w:sz="0" w:space="0" w:color="auto"/>
        <w:bottom w:val="none" w:sz="0" w:space="0" w:color="auto"/>
        <w:right w:val="none" w:sz="0" w:space="0" w:color="auto"/>
      </w:divBdr>
    </w:div>
    <w:div w:id="1024135378">
      <w:bodyDiv w:val="1"/>
      <w:marLeft w:val="0"/>
      <w:marRight w:val="0"/>
      <w:marTop w:val="0"/>
      <w:marBottom w:val="0"/>
      <w:divBdr>
        <w:top w:val="none" w:sz="0" w:space="0" w:color="auto"/>
        <w:left w:val="none" w:sz="0" w:space="0" w:color="auto"/>
        <w:bottom w:val="none" w:sz="0" w:space="0" w:color="auto"/>
        <w:right w:val="none" w:sz="0" w:space="0" w:color="auto"/>
      </w:divBdr>
    </w:div>
    <w:div w:id="1054768679">
      <w:bodyDiv w:val="1"/>
      <w:marLeft w:val="0"/>
      <w:marRight w:val="0"/>
      <w:marTop w:val="0"/>
      <w:marBottom w:val="0"/>
      <w:divBdr>
        <w:top w:val="none" w:sz="0" w:space="0" w:color="auto"/>
        <w:left w:val="none" w:sz="0" w:space="0" w:color="auto"/>
        <w:bottom w:val="none" w:sz="0" w:space="0" w:color="auto"/>
        <w:right w:val="none" w:sz="0" w:space="0" w:color="auto"/>
      </w:divBdr>
    </w:div>
    <w:div w:id="1198008726">
      <w:bodyDiv w:val="1"/>
      <w:marLeft w:val="0"/>
      <w:marRight w:val="0"/>
      <w:marTop w:val="0"/>
      <w:marBottom w:val="0"/>
      <w:divBdr>
        <w:top w:val="none" w:sz="0" w:space="0" w:color="auto"/>
        <w:left w:val="none" w:sz="0" w:space="0" w:color="auto"/>
        <w:bottom w:val="none" w:sz="0" w:space="0" w:color="auto"/>
        <w:right w:val="none" w:sz="0" w:space="0" w:color="auto"/>
      </w:divBdr>
    </w:div>
    <w:div w:id="1199975048">
      <w:bodyDiv w:val="1"/>
      <w:marLeft w:val="0"/>
      <w:marRight w:val="0"/>
      <w:marTop w:val="0"/>
      <w:marBottom w:val="0"/>
      <w:divBdr>
        <w:top w:val="none" w:sz="0" w:space="0" w:color="auto"/>
        <w:left w:val="none" w:sz="0" w:space="0" w:color="auto"/>
        <w:bottom w:val="none" w:sz="0" w:space="0" w:color="auto"/>
        <w:right w:val="none" w:sz="0" w:space="0" w:color="auto"/>
      </w:divBdr>
    </w:div>
    <w:div w:id="1251506888">
      <w:bodyDiv w:val="1"/>
      <w:marLeft w:val="0"/>
      <w:marRight w:val="0"/>
      <w:marTop w:val="0"/>
      <w:marBottom w:val="0"/>
      <w:divBdr>
        <w:top w:val="none" w:sz="0" w:space="0" w:color="auto"/>
        <w:left w:val="none" w:sz="0" w:space="0" w:color="auto"/>
        <w:bottom w:val="none" w:sz="0" w:space="0" w:color="auto"/>
        <w:right w:val="none" w:sz="0" w:space="0" w:color="auto"/>
      </w:divBdr>
    </w:div>
    <w:div w:id="1263957882">
      <w:bodyDiv w:val="1"/>
      <w:marLeft w:val="0"/>
      <w:marRight w:val="0"/>
      <w:marTop w:val="0"/>
      <w:marBottom w:val="0"/>
      <w:divBdr>
        <w:top w:val="none" w:sz="0" w:space="0" w:color="auto"/>
        <w:left w:val="none" w:sz="0" w:space="0" w:color="auto"/>
        <w:bottom w:val="none" w:sz="0" w:space="0" w:color="auto"/>
        <w:right w:val="none" w:sz="0" w:space="0" w:color="auto"/>
      </w:divBdr>
    </w:div>
    <w:div w:id="1293902450">
      <w:bodyDiv w:val="1"/>
      <w:marLeft w:val="0"/>
      <w:marRight w:val="0"/>
      <w:marTop w:val="0"/>
      <w:marBottom w:val="0"/>
      <w:divBdr>
        <w:top w:val="none" w:sz="0" w:space="0" w:color="auto"/>
        <w:left w:val="none" w:sz="0" w:space="0" w:color="auto"/>
        <w:bottom w:val="none" w:sz="0" w:space="0" w:color="auto"/>
        <w:right w:val="none" w:sz="0" w:space="0" w:color="auto"/>
      </w:divBdr>
    </w:div>
    <w:div w:id="1299649771">
      <w:bodyDiv w:val="1"/>
      <w:marLeft w:val="0"/>
      <w:marRight w:val="0"/>
      <w:marTop w:val="0"/>
      <w:marBottom w:val="0"/>
      <w:divBdr>
        <w:top w:val="none" w:sz="0" w:space="0" w:color="auto"/>
        <w:left w:val="none" w:sz="0" w:space="0" w:color="auto"/>
        <w:bottom w:val="none" w:sz="0" w:space="0" w:color="auto"/>
        <w:right w:val="none" w:sz="0" w:space="0" w:color="auto"/>
      </w:divBdr>
    </w:div>
    <w:div w:id="1308585598">
      <w:bodyDiv w:val="1"/>
      <w:marLeft w:val="0"/>
      <w:marRight w:val="0"/>
      <w:marTop w:val="0"/>
      <w:marBottom w:val="0"/>
      <w:divBdr>
        <w:top w:val="none" w:sz="0" w:space="0" w:color="auto"/>
        <w:left w:val="none" w:sz="0" w:space="0" w:color="auto"/>
        <w:bottom w:val="none" w:sz="0" w:space="0" w:color="auto"/>
        <w:right w:val="none" w:sz="0" w:space="0" w:color="auto"/>
      </w:divBdr>
    </w:div>
    <w:div w:id="1316373874">
      <w:bodyDiv w:val="1"/>
      <w:marLeft w:val="0"/>
      <w:marRight w:val="0"/>
      <w:marTop w:val="0"/>
      <w:marBottom w:val="0"/>
      <w:divBdr>
        <w:top w:val="none" w:sz="0" w:space="0" w:color="auto"/>
        <w:left w:val="none" w:sz="0" w:space="0" w:color="auto"/>
        <w:bottom w:val="none" w:sz="0" w:space="0" w:color="auto"/>
        <w:right w:val="none" w:sz="0" w:space="0" w:color="auto"/>
      </w:divBdr>
    </w:div>
    <w:div w:id="1346205921">
      <w:bodyDiv w:val="1"/>
      <w:marLeft w:val="0"/>
      <w:marRight w:val="0"/>
      <w:marTop w:val="0"/>
      <w:marBottom w:val="0"/>
      <w:divBdr>
        <w:top w:val="none" w:sz="0" w:space="0" w:color="auto"/>
        <w:left w:val="none" w:sz="0" w:space="0" w:color="auto"/>
        <w:bottom w:val="none" w:sz="0" w:space="0" w:color="auto"/>
        <w:right w:val="none" w:sz="0" w:space="0" w:color="auto"/>
      </w:divBdr>
    </w:div>
    <w:div w:id="1403526739">
      <w:bodyDiv w:val="1"/>
      <w:marLeft w:val="0"/>
      <w:marRight w:val="0"/>
      <w:marTop w:val="0"/>
      <w:marBottom w:val="0"/>
      <w:divBdr>
        <w:top w:val="none" w:sz="0" w:space="0" w:color="auto"/>
        <w:left w:val="none" w:sz="0" w:space="0" w:color="auto"/>
        <w:bottom w:val="none" w:sz="0" w:space="0" w:color="auto"/>
        <w:right w:val="none" w:sz="0" w:space="0" w:color="auto"/>
      </w:divBdr>
      <w:divsChild>
        <w:div w:id="1260483734">
          <w:marLeft w:val="0"/>
          <w:marRight w:val="0"/>
          <w:marTop w:val="0"/>
          <w:marBottom w:val="0"/>
          <w:divBdr>
            <w:top w:val="none" w:sz="0" w:space="0" w:color="auto"/>
            <w:left w:val="none" w:sz="0" w:space="0" w:color="auto"/>
            <w:bottom w:val="none" w:sz="0" w:space="0" w:color="auto"/>
            <w:right w:val="none" w:sz="0" w:space="0" w:color="auto"/>
          </w:divBdr>
          <w:divsChild>
            <w:div w:id="9509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0540">
      <w:bodyDiv w:val="1"/>
      <w:marLeft w:val="0"/>
      <w:marRight w:val="0"/>
      <w:marTop w:val="0"/>
      <w:marBottom w:val="0"/>
      <w:divBdr>
        <w:top w:val="none" w:sz="0" w:space="0" w:color="auto"/>
        <w:left w:val="none" w:sz="0" w:space="0" w:color="auto"/>
        <w:bottom w:val="none" w:sz="0" w:space="0" w:color="auto"/>
        <w:right w:val="none" w:sz="0" w:space="0" w:color="auto"/>
      </w:divBdr>
    </w:div>
    <w:div w:id="1879779513">
      <w:bodyDiv w:val="1"/>
      <w:marLeft w:val="0"/>
      <w:marRight w:val="0"/>
      <w:marTop w:val="0"/>
      <w:marBottom w:val="0"/>
      <w:divBdr>
        <w:top w:val="none" w:sz="0" w:space="0" w:color="auto"/>
        <w:left w:val="none" w:sz="0" w:space="0" w:color="auto"/>
        <w:bottom w:val="none" w:sz="0" w:space="0" w:color="auto"/>
        <w:right w:val="none" w:sz="0" w:space="0" w:color="auto"/>
      </w:divBdr>
    </w:div>
    <w:div w:id="1880194422">
      <w:bodyDiv w:val="1"/>
      <w:marLeft w:val="0"/>
      <w:marRight w:val="0"/>
      <w:marTop w:val="0"/>
      <w:marBottom w:val="0"/>
      <w:divBdr>
        <w:top w:val="none" w:sz="0" w:space="0" w:color="auto"/>
        <w:left w:val="none" w:sz="0" w:space="0" w:color="auto"/>
        <w:bottom w:val="none" w:sz="0" w:space="0" w:color="auto"/>
        <w:right w:val="none" w:sz="0" w:space="0" w:color="auto"/>
      </w:divBdr>
    </w:div>
    <w:div w:id="1943953220">
      <w:bodyDiv w:val="1"/>
      <w:marLeft w:val="0"/>
      <w:marRight w:val="0"/>
      <w:marTop w:val="0"/>
      <w:marBottom w:val="0"/>
      <w:divBdr>
        <w:top w:val="none" w:sz="0" w:space="0" w:color="auto"/>
        <w:left w:val="none" w:sz="0" w:space="0" w:color="auto"/>
        <w:bottom w:val="none" w:sz="0" w:space="0" w:color="auto"/>
        <w:right w:val="none" w:sz="0" w:space="0" w:color="auto"/>
      </w:divBdr>
    </w:div>
    <w:div w:id="1969968397">
      <w:bodyDiv w:val="1"/>
      <w:marLeft w:val="0"/>
      <w:marRight w:val="0"/>
      <w:marTop w:val="0"/>
      <w:marBottom w:val="0"/>
      <w:divBdr>
        <w:top w:val="none" w:sz="0" w:space="0" w:color="auto"/>
        <w:left w:val="none" w:sz="0" w:space="0" w:color="auto"/>
        <w:bottom w:val="none" w:sz="0" w:space="0" w:color="auto"/>
        <w:right w:val="none" w:sz="0" w:space="0" w:color="auto"/>
      </w:divBdr>
      <w:divsChild>
        <w:div w:id="603613638">
          <w:marLeft w:val="0"/>
          <w:marRight w:val="0"/>
          <w:marTop w:val="0"/>
          <w:marBottom w:val="0"/>
          <w:divBdr>
            <w:top w:val="none" w:sz="0" w:space="0" w:color="auto"/>
            <w:left w:val="none" w:sz="0" w:space="0" w:color="auto"/>
            <w:bottom w:val="none" w:sz="0" w:space="0" w:color="auto"/>
            <w:right w:val="none" w:sz="0" w:space="0" w:color="auto"/>
          </w:divBdr>
        </w:div>
      </w:divsChild>
    </w:div>
    <w:div w:id="1974212235">
      <w:bodyDiv w:val="1"/>
      <w:marLeft w:val="0"/>
      <w:marRight w:val="0"/>
      <w:marTop w:val="0"/>
      <w:marBottom w:val="0"/>
      <w:divBdr>
        <w:top w:val="none" w:sz="0" w:space="0" w:color="auto"/>
        <w:left w:val="none" w:sz="0" w:space="0" w:color="auto"/>
        <w:bottom w:val="none" w:sz="0" w:space="0" w:color="auto"/>
        <w:right w:val="none" w:sz="0" w:space="0" w:color="auto"/>
      </w:divBdr>
      <w:divsChild>
        <w:div w:id="1619988043">
          <w:marLeft w:val="0"/>
          <w:marRight w:val="0"/>
          <w:marTop w:val="0"/>
          <w:marBottom w:val="0"/>
          <w:divBdr>
            <w:top w:val="none" w:sz="0" w:space="0" w:color="auto"/>
            <w:left w:val="none" w:sz="0" w:space="0" w:color="auto"/>
            <w:bottom w:val="none" w:sz="0" w:space="0" w:color="auto"/>
            <w:right w:val="none" w:sz="0" w:space="0" w:color="auto"/>
          </w:divBdr>
        </w:div>
        <w:div w:id="1429038877">
          <w:marLeft w:val="0"/>
          <w:marRight w:val="0"/>
          <w:marTop w:val="0"/>
          <w:marBottom w:val="0"/>
          <w:divBdr>
            <w:top w:val="none" w:sz="0" w:space="0" w:color="auto"/>
            <w:left w:val="none" w:sz="0" w:space="0" w:color="auto"/>
            <w:bottom w:val="none" w:sz="0" w:space="0" w:color="auto"/>
            <w:right w:val="none" w:sz="0" w:space="0" w:color="auto"/>
          </w:divBdr>
        </w:div>
      </w:divsChild>
    </w:div>
    <w:div w:id="1997147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F795B9-912D-CD4B-B648-3822D71F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1712</Words>
  <Characters>9765</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 di Microsoft Office</cp:lastModifiedBy>
  <cp:revision>17</cp:revision>
  <cp:lastPrinted>2018-03-09T16:34:00Z</cp:lastPrinted>
  <dcterms:created xsi:type="dcterms:W3CDTF">2018-06-09T14:08:00Z</dcterms:created>
  <dcterms:modified xsi:type="dcterms:W3CDTF">2018-06-16T07:32:00Z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id="Kf6k1P6v"/&gt;&lt;style id="http://www.zotero.org/styles/pnas"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name="noteType" value=""/&gt;&lt;/prefs&gt;&lt;/data&gt;</vt:lpwstr>
  </property>
</Properties>
</file>