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6E" w:rsidRPr="009C25FD" w:rsidRDefault="00E64888" w:rsidP="009D606E">
      <w:pPr>
        <w:spacing w:line="22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Table S3</w:t>
      </w:r>
      <w:r w:rsidR="009D606E" w:rsidRPr="009C25FD">
        <w:rPr>
          <w:rFonts w:ascii="Times New Roman" w:hAnsi="Times New Roman" w:cs="Times New Roman"/>
          <w:b/>
        </w:rPr>
        <w:t>. Correlation analysis between the expression of MAEL and clinicopathological parameters in ESCC patients.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2560"/>
        <w:gridCol w:w="1300"/>
        <w:gridCol w:w="1844"/>
        <w:gridCol w:w="1896"/>
        <w:gridCol w:w="1120"/>
      </w:tblGrid>
      <w:tr w:rsidR="009D606E" w:rsidRPr="000166D5" w:rsidTr="009D606E">
        <w:trPr>
          <w:trHeight w:val="480"/>
        </w:trPr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Variables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All cases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MAEL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  <w:kern w:val="2"/>
              </w:rPr>
              <w:t>P</w:t>
            </w: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vertAlign w:val="superscript"/>
              </w:rPr>
              <w:t>ab</w:t>
            </w:r>
          </w:p>
        </w:tc>
      </w:tr>
      <w:tr w:rsidR="009D606E" w:rsidRPr="000166D5" w:rsidTr="009D606E">
        <w:trPr>
          <w:trHeight w:val="405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Low-expression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High-expression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Tissue types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Marginal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120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62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58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  <w:t xml:space="preserve">0.0024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Tumor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120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62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58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Lymph node metastasis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0 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79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53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26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  <w:t xml:space="preserve">0.0076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 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41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9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32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Stage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stage 0-2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79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52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27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  <w:t xml:space="preserve">0.0398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stage 3-4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41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10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31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Age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≤60years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47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22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25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0.7312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&gt;60years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73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40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33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Gender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Male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79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39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40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0.3913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Female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41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23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18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Differentiation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SimSun" w:cs="Times New Roman"/>
                <w:color w:val="000000"/>
                <w:kern w:val="2"/>
              </w:rPr>
              <w:t>Ⅰ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36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21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15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  <w:t xml:space="preserve">0.0378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SimSun" w:cs="Times New Roman"/>
                <w:color w:val="000000"/>
                <w:kern w:val="2"/>
              </w:rPr>
              <w:t>Ⅱ</w:t>
            </w: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+</w:t>
            </w:r>
            <w:r w:rsidRPr="000166D5">
              <w:rPr>
                <w:rFonts w:ascii="Times New Roman" w:eastAsia="SimSun" w:hAnsi="SimSun" w:cs="Times New Roman"/>
                <w:color w:val="000000"/>
                <w:kern w:val="2"/>
              </w:rPr>
              <w:t>Ⅲ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84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41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43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</w:rPr>
              <w:t>Size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≤3cm</w:t>
            </w:r>
          </w:p>
        </w:tc>
        <w:tc>
          <w:tcPr>
            <w:tcW w:w="130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71 </w:t>
            </w:r>
          </w:p>
        </w:tc>
        <w:tc>
          <w:tcPr>
            <w:tcW w:w="1844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50 </w:t>
            </w:r>
          </w:p>
        </w:tc>
        <w:tc>
          <w:tcPr>
            <w:tcW w:w="1896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21 </w:t>
            </w:r>
          </w:p>
        </w:tc>
        <w:tc>
          <w:tcPr>
            <w:tcW w:w="1120" w:type="dxa"/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 w:themeColor="text1"/>
                <w:kern w:val="2"/>
              </w:rPr>
              <w:t xml:space="preserve">0.0338 </w:t>
            </w:r>
          </w:p>
        </w:tc>
      </w:tr>
      <w:tr w:rsidR="009D606E" w:rsidRPr="000166D5" w:rsidTr="009D606E">
        <w:trPr>
          <w:trHeight w:val="282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SimSun" w:cs="Times New Roman"/>
                <w:color w:val="000000"/>
                <w:kern w:val="2"/>
              </w:rPr>
              <w:t>＞</w:t>
            </w: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>3cm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49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12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</w:rPr>
            </w:pPr>
            <w:r w:rsidRPr="000166D5">
              <w:rPr>
                <w:rFonts w:ascii="Times New Roman" w:eastAsia="SimSun" w:hAnsi="Times New Roman" w:cs="Times New Roman"/>
                <w:color w:val="000000"/>
                <w:kern w:val="2"/>
              </w:rPr>
              <w:t xml:space="preserve">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606E" w:rsidRPr="000166D5" w:rsidRDefault="009D606E">
            <w:pPr>
              <w:adjustRightInd/>
              <w:snapToGrid/>
              <w:spacing w:after="0" w:line="220" w:lineRule="atLeast"/>
              <w:rPr>
                <w:rFonts w:ascii="Times New Roman" w:eastAsiaTheme="minorEastAsia" w:hAnsi="Times New Roman" w:cs="Times New Roman"/>
                <w:kern w:val="2"/>
              </w:rPr>
            </w:pPr>
          </w:p>
        </w:tc>
      </w:tr>
    </w:tbl>
    <w:p w:rsidR="009D606E" w:rsidRPr="000166D5" w:rsidRDefault="009D606E" w:rsidP="009D606E">
      <w:pPr>
        <w:spacing w:line="220" w:lineRule="atLeast"/>
        <w:rPr>
          <w:rFonts w:ascii="Times New Roman" w:hAnsi="Times New Roman" w:cs="Times New Roman"/>
        </w:rPr>
      </w:pPr>
      <w:r w:rsidRPr="000166D5">
        <w:rPr>
          <w:rFonts w:ascii="Times New Roman" w:hAnsi="Times New Roman" w:cs="Times New Roman"/>
          <w:vertAlign w:val="superscript"/>
        </w:rPr>
        <w:t>a</w:t>
      </w:r>
      <w:r w:rsidRPr="000166D5">
        <w:rPr>
          <w:rFonts w:ascii="Times New Roman" w:hAnsi="Times New Roman" w:cs="Times New Roman"/>
        </w:rPr>
        <w:t xml:space="preserve"> </w:t>
      </w:r>
      <w:r w:rsidRPr="000166D5">
        <w:rPr>
          <w:rFonts w:ascii="Times New Roman" w:hAnsi="Times New Roman" w:cs="Times New Roman"/>
          <w:i/>
        </w:rPr>
        <w:t>P</w:t>
      </w:r>
      <w:r w:rsidRPr="000166D5">
        <w:rPr>
          <w:rFonts w:ascii="Times New Roman" w:hAnsi="Times New Roman" w:cs="Times New Roman"/>
        </w:rPr>
        <w:t xml:space="preserve"> values for comparing clinicopathological parameters in MAEL low-expression</w:t>
      </w:r>
    </w:p>
    <w:p w:rsidR="009D606E" w:rsidRPr="000166D5" w:rsidRDefault="009D606E" w:rsidP="009D606E">
      <w:pPr>
        <w:spacing w:line="220" w:lineRule="atLeast"/>
        <w:rPr>
          <w:rFonts w:ascii="Times New Roman" w:hAnsi="Times New Roman" w:cs="Times New Roman"/>
        </w:rPr>
      </w:pPr>
      <w:r w:rsidRPr="000166D5">
        <w:rPr>
          <w:rFonts w:ascii="Times New Roman" w:hAnsi="Times New Roman" w:cs="Times New Roman"/>
        </w:rPr>
        <w:t>group verus high-expression group.</w:t>
      </w:r>
    </w:p>
    <w:p w:rsidR="009D606E" w:rsidRPr="000166D5" w:rsidRDefault="009D606E" w:rsidP="009D606E">
      <w:pPr>
        <w:spacing w:line="220" w:lineRule="atLeast"/>
        <w:rPr>
          <w:rFonts w:ascii="Times New Roman" w:hAnsi="Times New Roman" w:cs="Times New Roman"/>
        </w:rPr>
      </w:pPr>
      <w:r w:rsidRPr="000166D5">
        <w:rPr>
          <w:rFonts w:ascii="Times New Roman" w:hAnsi="Times New Roman" w:cs="Times New Roman"/>
          <w:vertAlign w:val="superscript"/>
        </w:rPr>
        <w:t>b</w:t>
      </w:r>
      <w:r w:rsidRPr="000166D5">
        <w:rPr>
          <w:rFonts w:ascii="Times New Roman" w:hAnsi="Times New Roman" w:cs="Times New Roman"/>
          <w:i/>
        </w:rPr>
        <w:t>P</w:t>
      </w:r>
      <w:r w:rsidRPr="000166D5">
        <w:rPr>
          <w:rFonts w:ascii="Times New Roman" w:hAnsi="Times New Roman" w:cs="Times New Roman"/>
        </w:rPr>
        <w:t>&lt;0.05 is considered significant.</w:t>
      </w:r>
    </w:p>
    <w:p w:rsidR="004358AB" w:rsidRPr="000166D5" w:rsidRDefault="004358AB" w:rsidP="00D31D50">
      <w:pPr>
        <w:spacing w:line="220" w:lineRule="atLeast"/>
        <w:rPr>
          <w:rFonts w:ascii="Times New Roman" w:hAnsi="Times New Roman" w:cs="Times New Roman"/>
        </w:rPr>
      </w:pPr>
    </w:p>
    <w:sectPr w:rsidR="004358AB" w:rsidRPr="000166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29" w:rsidRDefault="00DC7729" w:rsidP="009C25FD">
      <w:pPr>
        <w:spacing w:after="0"/>
      </w:pPr>
      <w:r>
        <w:separator/>
      </w:r>
    </w:p>
  </w:endnote>
  <w:endnote w:type="continuationSeparator" w:id="0">
    <w:p w:rsidR="00DC7729" w:rsidRDefault="00DC7729" w:rsidP="009C2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29" w:rsidRDefault="00DC7729" w:rsidP="009C25FD">
      <w:pPr>
        <w:spacing w:after="0"/>
      </w:pPr>
      <w:r>
        <w:separator/>
      </w:r>
    </w:p>
  </w:footnote>
  <w:footnote w:type="continuationSeparator" w:id="0">
    <w:p w:rsidR="00DC7729" w:rsidRDefault="00DC7729" w:rsidP="009C25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66D5"/>
    <w:rsid w:val="000703D8"/>
    <w:rsid w:val="0008322E"/>
    <w:rsid w:val="00323B43"/>
    <w:rsid w:val="003D37D8"/>
    <w:rsid w:val="00426133"/>
    <w:rsid w:val="004358AB"/>
    <w:rsid w:val="00606CFC"/>
    <w:rsid w:val="00722AA3"/>
    <w:rsid w:val="008B7726"/>
    <w:rsid w:val="009C25FD"/>
    <w:rsid w:val="009D606E"/>
    <w:rsid w:val="00B05181"/>
    <w:rsid w:val="00D31D50"/>
    <w:rsid w:val="00DC7729"/>
    <w:rsid w:val="00E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C0237-C724-C047-A5BB-C05E2BD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25F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25FD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C25F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25F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Benavides, PhD, Adriana</cp:lastModifiedBy>
  <cp:revision>2</cp:revision>
  <dcterms:created xsi:type="dcterms:W3CDTF">2018-07-26T14:59:00Z</dcterms:created>
  <dcterms:modified xsi:type="dcterms:W3CDTF">2018-07-26T14:59:00Z</dcterms:modified>
</cp:coreProperties>
</file>