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3D350" w14:textId="77777777" w:rsidR="00FB1F1F" w:rsidRDefault="00203CBA">
      <w:r>
        <w:rPr>
          <w:noProof/>
        </w:rPr>
        <w:drawing>
          <wp:inline distT="0" distB="0" distL="0" distR="0" wp14:anchorId="7F29B4A4" wp14:editId="7E03F2C2">
            <wp:extent cx="2810961" cy="5029200"/>
            <wp:effectExtent l="0" t="0" r="8890" b="0"/>
            <wp:docPr id="1" name="Picture 1" descr="Macintosh HD:Users:ClintAllenMac:Desktop:Rapa+PD-L1 paper revision:Figures:Supplemental 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intAllenMac:Desktop:Rapa+PD-L1 paper revision:Figures:Supplemental Figure 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0961" cy="5029200"/>
                    </a:xfrm>
                    <a:prstGeom prst="rect">
                      <a:avLst/>
                    </a:prstGeom>
                    <a:noFill/>
                    <a:ln>
                      <a:noFill/>
                    </a:ln>
                  </pic:spPr>
                </pic:pic>
              </a:graphicData>
            </a:graphic>
          </wp:inline>
        </w:drawing>
      </w:r>
    </w:p>
    <w:p w14:paraId="3FDE689F" w14:textId="77777777" w:rsidR="00203CBA" w:rsidRDefault="00203CBA"/>
    <w:p w14:paraId="52607D51" w14:textId="77777777" w:rsidR="00203CBA" w:rsidRDefault="00203CBA" w:rsidP="00203CBA">
      <w:pPr>
        <w:spacing w:line="480" w:lineRule="auto"/>
        <w:rPr>
          <w:rFonts w:ascii="Arial" w:hAnsi="Arial" w:cs="Arial"/>
          <w:sz w:val="22"/>
          <w:szCs w:val="22"/>
        </w:rPr>
      </w:pPr>
      <w:proofErr w:type="gramStart"/>
      <w:r w:rsidRPr="000A471F">
        <w:rPr>
          <w:rFonts w:ascii="Arial" w:hAnsi="Arial" w:cs="Arial"/>
          <w:b/>
          <w:sz w:val="22"/>
          <w:szCs w:val="22"/>
        </w:rPr>
        <w:t>Supplemental Figure 1</w:t>
      </w:r>
      <w:r>
        <w:rPr>
          <w:rFonts w:ascii="Arial" w:hAnsi="Arial" w:cs="Arial"/>
          <w:sz w:val="22"/>
          <w:szCs w:val="22"/>
        </w:rPr>
        <w:t>.</w:t>
      </w:r>
      <w:proofErr w:type="gramEnd"/>
      <w:r>
        <w:rPr>
          <w:rFonts w:ascii="Arial" w:hAnsi="Arial" w:cs="Arial"/>
          <w:sz w:val="22"/>
          <w:szCs w:val="22"/>
        </w:rPr>
        <w:t xml:space="preserve"> Primary tumor growth control is enhanced during treatment with combination rapamycin and αPD-L1 mAb compared to either treatment alone in MOC1 but not MOC2 tumor-bearing mice. Summary primary tumor growth curves for treated MOC1 (</w:t>
      </w:r>
      <w:r w:rsidRPr="000A471F">
        <w:rPr>
          <w:rFonts w:ascii="Arial" w:hAnsi="Arial" w:cs="Arial"/>
          <w:b/>
          <w:sz w:val="22"/>
          <w:szCs w:val="22"/>
        </w:rPr>
        <w:t>A</w:t>
      </w:r>
      <w:r>
        <w:rPr>
          <w:rFonts w:ascii="Arial" w:hAnsi="Arial" w:cs="Arial"/>
          <w:sz w:val="22"/>
          <w:szCs w:val="22"/>
        </w:rPr>
        <w:t>) and MOC2 (</w:t>
      </w:r>
      <w:r w:rsidRPr="000A471F">
        <w:rPr>
          <w:rFonts w:ascii="Arial" w:hAnsi="Arial" w:cs="Arial"/>
          <w:b/>
          <w:sz w:val="22"/>
          <w:szCs w:val="22"/>
        </w:rPr>
        <w:t>B</w:t>
      </w:r>
      <w:r>
        <w:rPr>
          <w:rFonts w:ascii="Arial" w:hAnsi="Arial" w:cs="Arial"/>
          <w:sz w:val="22"/>
          <w:szCs w:val="22"/>
        </w:rPr>
        <w:t xml:space="preserve">) tumor-bearing mice (n=7-10 mice/group) are shown. Timing of treatments indicated along the x-axis of each. Statistical significance determined by comparing the average tumor volumes on the final day of treatment as indicated. **, </w:t>
      </w:r>
      <w:proofErr w:type="gramStart"/>
      <w:r>
        <w:rPr>
          <w:rFonts w:ascii="Arial" w:hAnsi="Arial" w:cs="Arial"/>
          <w:sz w:val="22"/>
          <w:szCs w:val="22"/>
        </w:rPr>
        <w:t>p</w:t>
      </w:r>
      <w:proofErr w:type="gramEnd"/>
      <w:r>
        <w:rPr>
          <w:rFonts w:ascii="Arial" w:hAnsi="Arial" w:cs="Arial"/>
          <w:sz w:val="22"/>
          <w:szCs w:val="22"/>
        </w:rPr>
        <w:t>&lt;0.01; ***, p&lt;0.001; ANOVA.</w:t>
      </w:r>
    </w:p>
    <w:p w14:paraId="5AB4794C" w14:textId="77777777" w:rsidR="00203CBA" w:rsidRDefault="00203CBA" w:rsidP="00203CBA">
      <w:pPr>
        <w:spacing w:line="480" w:lineRule="auto"/>
        <w:rPr>
          <w:rFonts w:ascii="Arial" w:hAnsi="Arial" w:cs="Arial"/>
          <w:sz w:val="22"/>
          <w:szCs w:val="22"/>
        </w:rPr>
      </w:pPr>
    </w:p>
    <w:p w14:paraId="589E2F86" w14:textId="77777777" w:rsidR="00203CBA" w:rsidRDefault="00203CBA" w:rsidP="00203CBA">
      <w:pPr>
        <w:spacing w:line="480" w:lineRule="auto"/>
        <w:rPr>
          <w:rFonts w:ascii="Arial" w:hAnsi="Arial" w:cs="Arial"/>
          <w:sz w:val="22"/>
          <w:szCs w:val="22"/>
        </w:rPr>
      </w:pPr>
    </w:p>
    <w:p w14:paraId="47921C7E" w14:textId="77777777" w:rsidR="00203CBA" w:rsidRDefault="00203CBA">
      <w:pPr>
        <w:rPr>
          <w:rFonts w:ascii="Arial" w:hAnsi="Arial" w:cs="Arial"/>
          <w:sz w:val="22"/>
          <w:szCs w:val="22"/>
        </w:rPr>
      </w:pPr>
    </w:p>
    <w:p w14:paraId="4B5BEE6E" w14:textId="77777777" w:rsidR="00203CBA" w:rsidRDefault="00203CBA">
      <w:pPr>
        <w:rPr>
          <w:rFonts w:ascii="Arial" w:hAnsi="Arial" w:cs="Arial"/>
          <w:sz w:val="22"/>
          <w:szCs w:val="22"/>
        </w:rPr>
      </w:pPr>
    </w:p>
    <w:p w14:paraId="20D6D7F1" w14:textId="77777777" w:rsidR="00203CBA" w:rsidRDefault="00203CBA">
      <w:r>
        <w:rPr>
          <w:noProof/>
        </w:rPr>
        <w:lastRenderedPageBreak/>
        <w:drawing>
          <wp:inline distT="0" distB="0" distL="0" distR="0" wp14:anchorId="7884EDFD" wp14:editId="1EAB0A4F">
            <wp:extent cx="4800600" cy="2776213"/>
            <wp:effectExtent l="0" t="0" r="0" b="0"/>
            <wp:docPr id="2" name="Picture 2" descr="Macintosh HD:Users:ClintAllenMac:Desktop:Rapa+PD-L1 paper revision:Figures:Supplemental Figure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intAllenMac:Desktop:Rapa+PD-L1 paper revision:Figures:Supplemental Figure 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776213"/>
                    </a:xfrm>
                    <a:prstGeom prst="rect">
                      <a:avLst/>
                    </a:prstGeom>
                    <a:noFill/>
                    <a:ln>
                      <a:noFill/>
                    </a:ln>
                  </pic:spPr>
                </pic:pic>
              </a:graphicData>
            </a:graphic>
          </wp:inline>
        </w:drawing>
      </w:r>
    </w:p>
    <w:p w14:paraId="6D26F431" w14:textId="77777777" w:rsidR="00203CBA" w:rsidRDefault="00203CBA"/>
    <w:p w14:paraId="0A72EC1F" w14:textId="77777777" w:rsidR="00203CBA" w:rsidRDefault="00203CBA" w:rsidP="00203CBA">
      <w:pPr>
        <w:spacing w:line="480" w:lineRule="auto"/>
        <w:rPr>
          <w:rFonts w:ascii="Arial" w:hAnsi="Arial" w:cs="Arial"/>
          <w:sz w:val="22"/>
          <w:szCs w:val="22"/>
        </w:rPr>
      </w:pPr>
      <w:proofErr w:type="gramStart"/>
      <w:r w:rsidRPr="000A471F">
        <w:rPr>
          <w:rFonts w:ascii="Arial" w:hAnsi="Arial" w:cs="Arial"/>
          <w:b/>
          <w:sz w:val="22"/>
          <w:szCs w:val="22"/>
        </w:rPr>
        <w:t>Supplemental Figure 2</w:t>
      </w:r>
      <w:r>
        <w:rPr>
          <w:rFonts w:ascii="Arial" w:hAnsi="Arial" w:cs="Arial"/>
          <w:sz w:val="22"/>
          <w:szCs w:val="22"/>
        </w:rPr>
        <w:t>.</w:t>
      </w:r>
      <w:proofErr w:type="gramEnd"/>
      <w:r>
        <w:rPr>
          <w:rFonts w:ascii="Arial" w:hAnsi="Arial" w:cs="Arial"/>
          <w:sz w:val="22"/>
          <w:szCs w:val="22"/>
        </w:rPr>
        <w:t xml:space="preserve"> MOC1 cells express the murine endogenous retroviral envelope protein p15E. Gel electrophoresis analysis of amplified GP70/p15E gene product is shown. MOC1 and MOC2, along with amplification of gene product from positive control (B16, MC38) and negative control (UMSCC) cell lines and assay positive and negative controls are included. </w:t>
      </w:r>
    </w:p>
    <w:p w14:paraId="75D91F86" w14:textId="77777777" w:rsidR="00203CBA" w:rsidRDefault="00203CBA"/>
    <w:p w14:paraId="259B55B6" w14:textId="77777777" w:rsidR="00203CBA" w:rsidRDefault="00203CBA"/>
    <w:p w14:paraId="5333EEAC" w14:textId="77777777" w:rsidR="00203CBA" w:rsidRDefault="00203CBA"/>
    <w:p w14:paraId="0A58283C" w14:textId="77777777" w:rsidR="00203CBA" w:rsidRDefault="00203CBA"/>
    <w:p w14:paraId="730C40EA" w14:textId="77777777" w:rsidR="00203CBA" w:rsidRDefault="00203CBA"/>
    <w:p w14:paraId="382336E9" w14:textId="77777777" w:rsidR="00203CBA" w:rsidRDefault="00203CBA"/>
    <w:p w14:paraId="39FE63AF" w14:textId="77777777" w:rsidR="00203CBA" w:rsidRDefault="00203CBA"/>
    <w:p w14:paraId="6F42FEA6" w14:textId="77777777" w:rsidR="00203CBA" w:rsidRDefault="00203CBA"/>
    <w:p w14:paraId="78300A7B" w14:textId="77777777" w:rsidR="00203CBA" w:rsidRDefault="00203CBA"/>
    <w:p w14:paraId="660F0B57" w14:textId="77777777" w:rsidR="00203CBA" w:rsidRDefault="00203CBA"/>
    <w:p w14:paraId="6A32EFC8" w14:textId="77777777" w:rsidR="00203CBA" w:rsidRDefault="00203CBA"/>
    <w:p w14:paraId="3F25AA11" w14:textId="77777777" w:rsidR="00203CBA" w:rsidRDefault="00203CBA"/>
    <w:p w14:paraId="22FA22EC" w14:textId="77777777" w:rsidR="00203CBA" w:rsidRDefault="00203CBA"/>
    <w:p w14:paraId="711A7BEB" w14:textId="77777777" w:rsidR="00203CBA" w:rsidRDefault="00203CBA"/>
    <w:p w14:paraId="2010CB74" w14:textId="77777777" w:rsidR="00203CBA" w:rsidRDefault="00203CBA"/>
    <w:p w14:paraId="3F59D5F7" w14:textId="77777777" w:rsidR="00203CBA" w:rsidRDefault="00203CBA"/>
    <w:p w14:paraId="747240BD" w14:textId="77777777" w:rsidR="00203CBA" w:rsidRDefault="00203CBA"/>
    <w:p w14:paraId="5E2A94F5" w14:textId="77777777" w:rsidR="00203CBA" w:rsidRDefault="00203CBA"/>
    <w:p w14:paraId="22A1766A" w14:textId="77777777" w:rsidR="00203CBA" w:rsidRDefault="00203CBA"/>
    <w:p w14:paraId="27487A34" w14:textId="77777777" w:rsidR="00203CBA" w:rsidRDefault="00203CBA"/>
    <w:p w14:paraId="2284F17D" w14:textId="77777777" w:rsidR="00203CBA" w:rsidRDefault="00203CBA"/>
    <w:p w14:paraId="6130FEA8" w14:textId="77777777" w:rsidR="00203CBA" w:rsidRDefault="00203CBA"/>
    <w:p w14:paraId="2FA6605A" w14:textId="77777777" w:rsidR="00203CBA" w:rsidRDefault="00203CBA">
      <w:r>
        <w:rPr>
          <w:noProof/>
        </w:rPr>
        <w:drawing>
          <wp:inline distT="0" distB="0" distL="0" distR="0" wp14:anchorId="22B734DE" wp14:editId="6973FD04">
            <wp:extent cx="5935980" cy="3758565"/>
            <wp:effectExtent l="0" t="0" r="7620" b="635"/>
            <wp:docPr id="3" name="Picture 3" descr="Macintosh HD:Users:ClintAllenMac:Desktop:Rapa+PD-L1 paper revision:Figures:Supplemental Figure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ntAllenMac:Desktop:Rapa+PD-L1 paper revision:Figures:Supplemental Figure 3.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758565"/>
                    </a:xfrm>
                    <a:prstGeom prst="rect">
                      <a:avLst/>
                    </a:prstGeom>
                    <a:noFill/>
                    <a:ln>
                      <a:noFill/>
                    </a:ln>
                  </pic:spPr>
                </pic:pic>
              </a:graphicData>
            </a:graphic>
          </wp:inline>
        </w:drawing>
      </w:r>
    </w:p>
    <w:p w14:paraId="1CCB3710" w14:textId="77777777" w:rsidR="00203CBA" w:rsidRDefault="00203CBA"/>
    <w:p w14:paraId="3B0C1689" w14:textId="77777777" w:rsidR="00203CBA" w:rsidRDefault="00203CBA" w:rsidP="00203CBA">
      <w:pPr>
        <w:spacing w:line="480" w:lineRule="auto"/>
        <w:rPr>
          <w:rFonts w:ascii="Arial" w:hAnsi="Arial" w:cs="Arial"/>
          <w:sz w:val="22"/>
          <w:szCs w:val="22"/>
        </w:rPr>
      </w:pPr>
      <w:proofErr w:type="gramStart"/>
      <w:r w:rsidRPr="00347B30">
        <w:rPr>
          <w:rFonts w:ascii="Arial" w:hAnsi="Arial" w:cs="Arial"/>
          <w:b/>
          <w:sz w:val="22"/>
          <w:szCs w:val="22"/>
        </w:rPr>
        <w:t>Supplemental Figure 3</w:t>
      </w:r>
      <w:r>
        <w:rPr>
          <w:rFonts w:ascii="Arial" w:hAnsi="Arial" w:cs="Arial"/>
          <w:sz w:val="22"/>
          <w:szCs w:val="22"/>
        </w:rPr>
        <w:t>.</w:t>
      </w:r>
      <w:proofErr w:type="gramEnd"/>
      <w:r>
        <w:rPr>
          <w:rFonts w:ascii="Arial" w:hAnsi="Arial" w:cs="Arial"/>
          <w:sz w:val="22"/>
          <w:szCs w:val="22"/>
        </w:rPr>
        <w:t xml:space="preserve"> </w:t>
      </w:r>
    </w:p>
    <w:p w14:paraId="59C968AC" w14:textId="77777777" w:rsidR="00203CBA" w:rsidRDefault="00203CBA" w:rsidP="00203CBA">
      <w:pPr>
        <w:spacing w:line="480" w:lineRule="auto"/>
        <w:rPr>
          <w:rFonts w:ascii="Arial" w:hAnsi="Arial" w:cs="Arial"/>
          <w:sz w:val="22"/>
          <w:szCs w:val="22"/>
        </w:rPr>
      </w:pPr>
      <w:r>
        <w:rPr>
          <w:rFonts w:ascii="Arial" w:hAnsi="Arial" w:cs="Arial"/>
          <w:sz w:val="22"/>
          <w:szCs w:val="22"/>
        </w:rPr>
        <w:t>Treatment with rapamycin or PD901 alone or in combination with αPD-L1 mAb fails to induce CD8 TIL or NK tumor infiltration in MOC2 tumor-bearing mice and produces modest, variable effects in tumor infiltrating MDSCs and T</w:t>
      </w:r>
      <w:r w:rsidRPr="00E577D9">
        <w:rPr>
          <w:rFonts w:ascii="Arial" w:hAnsi="Arial" w:cs="Arial"/>
          <w:sz w:val="22"/>
          <w:szCs w:val="22"/>
          <w:vertAlign w:val="subscript"/>
        </w:rPr>
        <w:t>reg</w:t>
      </w:r>
      <w:r>
        <w:rPr>
          <w:rFonts w:ascii="Arial" w:hAnsi="Arial" w:cs="Arial"/>
          <w:sz w:val="22"/>
          <w:szCs w:val="22"/>
        </w:rPr>
        <w:t xml:space="preserve">s. </w:t>
      </w:r>
      <w:proofErr w:type="gramStart"/>
      <w:r w:rsidRPr="00A31AEE">
        <w:rPr>
          <w:rFonts w:ascii="Arial" w:hAnsi="Arial" w:cs="Arial"/>
          <w:b/>
          <w:sz w:val="22"/>
          <w:szCs w:val="22"/>
        </w:rPr>
        <w:t>A</w:t>
      </w:r>
      <w:r>
        <w:rPr>
          <w:rFonts w:ascii="Arial" w:hAnsi="Arial" w:cs="Arial"/>
          <w:sz w:val="22"/>
          <w:szCs w:val="22"/>
        </w:rPr>
        <w:t>, Flow cytometric analysis of MOC2 tumor infiltrating 7AAD</w:t>
      </w:r>
      <w:r w:rsidRPr="00A07CCB">
        <w:rPr>
          <w:rFonts w:ascii="Arial" w:hAnsi="Arial" w:cs="Arial"/>
          <w:sz w:val="22"/>
          <w:szCs w:val="22"/>
          <w:vertAlign w:val="superscript"/>
        </w:rPr>
        <w:t>-</w:t>
      </w:r>
      <w:r>
        <w:rPr>
          <w:rFonts w:ascii="Arial" w:hAnsi="Arial" w:cs="Arial"/>
          <w:sz w:val="22"/>
          <w:szCs w:val="22"/>
        </w:rPr>
        <w:t>CD45</w:t>
      </w:r>
      <w:r w:rsidRPr="00A07CCB">
        <w:rPr>
          <w:rFonts w:ascii="Arial" w:hAnsi="Arial" w:cs="Arial"/>
          <w:sz w:val="22"/>
          <w:szCs w:val="22"/>
          <w:vertAlign w:val="superscript"/>
        </w:rPr>
        <w:t>+</w:t>
      </w:r>
      <w:r>
        <w:rPr>
          <w:rFonts w:ascii="Arial" w:hAnsi="Arial" w:cs="Arial"/>
          <w:sz w:val="22"/>
          <w:szCs w:val="22"/>
        </w:rPr>
        <w:t>CD3</w:t>
      </w:r>
      <w:r w:rsidRPr="00A07CCB">
        <w:rPr>
          <w:rFonts w:ascii="Arial" w:hAnsi="Arial" w:cs="Arial"/>
          <w:sz w:val="22"/>
          <w:szCs w:val="22"/>
          <w:vertAlign w:val="superscript"/>
        </w:rPr>
        <w:t>+</w:t>
      </w:r>
      <w:r>
        <w:rPr>
          <w:rFonts w:ascii="Arial" w:hAnsi="Arial" w:cs="Arial"/>
          <w:sz w:val="22"/>
          <w:szCs w:val="22"/>
        </w:rPr>
        <w:t xml:space="preserve"> total, CD4 and CD8 TIL.</w:t>
      </w:r>
      <w:proofErr w:type="gramEnd"/>
      <w:r>
        <w:rPr>
          <w:rFonts w:ascii="Arial" w:hAnsi="Arial" w:cs="Arial"/>
          <w:sz w:val="22"/>
          <w:szCs w:val="22"/>
        </w:rPr>
        <w:t xml:space="preserve"> Low baseline infiltration of CD8 TIL in MOC2 tumors was not enhanced with any treatment combination. </w:t>
      </w:r>
      <w:r w:rsidRPr="00A07CCB">
        <w:rPr>
          <w:rFonts w:ascii="Arial" w:hAnsi="Arial" w:cs="Arial"/>
          <w:b/>
          <w:sz w:val="22"/>
          <w:szCs w:val="22"/>
        </w:rPr>
        <w:t>B</w:t>
      </w:r>
      <w:r>
        <w:rPr>
          <w:rFonts w:ascii="Arial" w:hAnsi="Arial" w:cs="Arial"/>
          <w:sz w:val="22"/>
          <w:szCs w:val="22"/>
        </w:rPr>
        <w:t>, Analysis of 7AAD</w:t>
      </w:r>
      <w:r w:rsidRPr="00B9596D">
        <w:rPr>
          <w:rFonts w:ascii="Arial" w:hAnsi="Arial" w:cs="Arial"/>
          <w:sz w:val="22"/>
          <w:szCs w:val="22"/>
          <w:vertAlign w:val="superscript"/>
        </w:rPr>
        <w:t>-</w:t>
      </w:r>
      <w:r w:rsidRPr="00B9596D">
        <w:rPr>
          <w:rFonts w:ascii="Arial" w:hAnsi="Arial" w:cs="Arial"/>
          <w:sz w:val="22"/>
          <w:szCs w:val="22"/>
        </w:rPr>
        <w:t>CD45</w:t>
      </w:r>
      <w:r>
        <w:rPr>
          <w:rFonts w:ascii="Arial" w:hAnsi="Arial" w:cs="Arial"/>
          <w:sz w:val="22"/>
          <w:szCs w:val="22"/>
          <w:vertAlign w:val="superscript"/>
        </w:rPr>
        <w:t>+</w:t>
      </w:r>
      <w:r>
        <w:rPr>
          <w:rFonts w:ascii="Arial" w:hAnsi="Arial" w:cs="Arial"/>
          <w:sz w:val="22"/>
          <w:szCs w:val="22"/>
        </w:rPr>
        <w:t>CD3</w:t>
      </w:r>
      <w:r>
        <w:rPr>
          <w:rFonts w:ascii="Arial" w:hAnsi="Arial" w:cs="Arial"/>
          <w:sz w:val="22"/>
          <w:szCs w:val="22"/>
          <w:vertAlign w:val="superscript"/>
        </w:rPr>
        <w:t>-</w:t>
      </w:r>
      <w:r>
        <w:rPr>
          <w:rFonts w:ascii="Arial" w:hAnsi="Arial" w:cs="Arial"/>
          <w:sz w:val="22"/>
          <w:szCs w:val="22"/>
        </w:rPr>
        <w:t>NK1.1</w:t>
      </w:r>
      <w:r w:rsidRPr="00A07CCB">
        <w:rPr>
          <w:rFonts w:ascii="Arial" w:hAnsi="Arial" w:cs="Arial"/>
          <w:sz w:val="22"/>
          <w:szCs w:val="22"/>
          <w:vertAlign w:val="superscript"/>
        </w:rPr>
        <w:t>+</w:t>
      </w:r>
      <w:r>
        <w:rPr>
          <w:rFonts w:ascii="Arial" w:hAnsi="Arial" w:cs="Arial"/>
          <w:sz w:val="22"/>
          <w:szCs w:val="22"/>
        </w:rPr>
        <w:t xml:space="preserve"> NK cells, </w:t>
      </w:r>
      <w:r w:rsidRPr="00B9596D">
        <w:rPr>
          <w:rFonts w:ascii="Arial" w:hAnsi="Arial" w:cs="Arial"/>
          <w:b/>
          <w:sz w:val="22"/>
          <w:szCs w:val="22"/>
        </w:rPr>
        <w:t>C</w:t>
      </w:r>
      <w:r>
        <w:rPr>
          <w:rFonts w:ascii="Arial" w:hAnsi="Arial" w:cs="Arial"/>
          <w:sz w:val="22"/>
          <w:szCs w:val="22"/>
        </w:rPr>
        <w:t>, 7AAD</w:t>
      </w:r>
      <w:r w:rsidRPr="00DD5239">
        <w:rPr>
          <w:rFonts w:ascii="Arial" w:hAnsi="Arial" w:cs="Arial"/>
          <w:sz w:val="22"/>
          <w:szCs w:val="22"/>
          <w:vertAlign w:val="superscript"/>
        </w:rPr>
        <w:t>-</w:t>
      </w:r>
      <w:r>
        <w:rPr>
          <w:rFonts w:ascii="Arial" w:hAnsi="Arial" w:cs="Arial"/>
          <w:sz w:val="22"/>
          <w:szCs w:val="22"/>
        </w:rPr>
        <w:t>CD45</w:t>
      </w:r>
      <w:r w:rsidRPr="00DD5239">
        <w:rPr>
          <w:rFonts w:ascii="Arial" w:hAnsi="Arial" w:cs="Arial"/>
          <w:sz w:val="22"/>
          <w:szCs w:val="22"/>
          <w:vertAlign w:val="superscript"/>
        </w:rPr>
        <w:t>+</w:t>
      </w:r>
      <w:r>
        <w:rPr>
          <w:rFonts w:ascii="Arial" w:hAnsi="Arial" w:cs="Arial"/>
          <w:sz w:val="22"/>
          <w:szCs w:val="22"/>
        </w:rPr>
        <w:t>Gr1</w:t>
      </w:r>
      <w:r w:rsidRPr="00DD5239">
        <w:rPr>
          <w:rFonts w:ascii="Arial" w:hAnsi="Arial" w:cs="Arial"/>
          <w:sz w:val="22"/>
          <w:szCs w:val="22"/>
          <w:vertAlign w:val="superscript"/>
        </w:rPr>
        <w:t>+</w:t>
      </w:r>
      <w:r>
        <w:rPr>
          <w:rFonts w:ascii="Arial" w:hAnsi="Arial" w:cs="Arial"/>
          <w:sz w:val="22"/>
          <w:szCs w:val="22"/>
        </w:rPr>
        <w:t>CD11b</w:t>
      </w:r>
      <w:r w:rsidRPr="00DD5239">
        <w:rPr>
          <w:rFonts w:ascii="Arial" w:hAnsi="Arial" w:cs="Arial"/>
          <w:sz w:val="22"/>
          <w:szCs w:val="22"/>
          <w:vertAlign w:val="superscript"/>
        </w:rPr>
        <w:t>+</w:t>
      </w:r>
      <w:r>
        <w:rPr>
          <w:rFonts w:ascii="Arial" w:hAnsi="Arial" w:cs="Arial"/>
          <w:sz w:val="22"/>
          <w:szCs w:val="22"/>
        </w:rPr>
        <w:t xml:space="preserve"> MDSCs and </w:t>
      </w:r>
      <w:r w:rsidRPr="00DD5239">
        <w:rPr>
          <w:rFonts w:ascii="Arial" w:hAnsi="Arial" w:cs="Arial"/>
          <w:b/>
          <w:sz w:val="22"/>
          <w:szCs w:val="22"/>
        </w:rPr>
        <w:t>D</w:t>
      </w:r>
      <w:r>
        <w:rPr>
          <w:rFonts w:ascii="Arial" w:hAnsi="Arial" w:cs="Arial"/>
          <w:sz w:val="22"/>
          <w:szCs w:val="22"/>
        </w:rPr>
        <w:t>, 7AAD</w:t>
      </w:r>
      <w:r w:rsidRPr="00DD5239">
        <w:rPr>
          <w:rFonts w:ascii="Arial" w:hAnsi="Arial" w:cs="Arial"/>
          <w:sz w:val="22"/>
          <w:szCs w:val="22"/>
          <w:vertAlign w:val="superscript"/>
        </w:rPr>
        <w:t>-</w:t>
      </w:r>
      <w:r>
        <w:rPr>
          <w:rFonts w:ascii="Arial" w:hAnsi="Arial" w:cs="Arial"/>
          <w:sz w:val="22"/>
          <w:szCs w:val="22"/>
        </w:rPr>
        <w:t>CD45</w:t>
      </w:r>
      <w:r w:rsidRPr="00B9596D">
        <w:rPr>
          <w:rFonts w:ascii="Arial" w:hAnsi="Arial" w:cs="Arial"/>
          <w:sz w:val="22"/>
          <w:szCs w:val="22"/>
          <w:vertAlign w:val="superscript"/>
        </w:rPr>
        <w:t>+</w:t>
      </w:r>
      <w:r>
        <w:rPr>
          <w:rFonts w:ascii="Arial" w:hAnsi="Arial" w:cs="Arial"/>
          <w:sz w:val="22"/>
          <w:szCs w:val="22"/>
        </w:rPr>
        <w:t>CD4</w:t>
      </w:r>
      <w:r w:rsidRPr="00B9596D">
        <w:rPr>
          <w:rFonts w:ascii="Arial" w:hAnsi="Arial" w:cs="Arial"/>
          <w:sz w:val="22"/>
          <w:szCs w:val="22"/>
          <w:vertAlign w:val="superscript"/>
        </w:rPr>
        <w:t>+</w:t>
      </w:r>
      <w:r>
        <w:rPr>
          <w:rFonts w:ascii="Arial" w:hAnsi="Arial" w:cs="Arial"/>
          <w:sz w:val="22"/>
          <w:szCs w:val="22"/>
        </w:rPr>
        <w:t>FoxP3</w:t>
      </w:r>
      <w:r w:rsidRPr="00B9596D">
        <w:rPr>
          <w:rFonts w:ascii="Arial" w:hAnsi="Arial" w:cs="Arial"/>
          <w:sz w:val="22"/>
          <w:szCs w:val="22"/>
          <w:vertAlign w:val="superscript"/>
        </w:rPr>
        <w:t>+</w:t>
      </w:r>
      <w:r>
        <w:rPr>
          <w:rFonts w:ascii="Arial" w:hAnsi="Arial" w:cs="Arial"/>
          <w:sz w:val="22"/>
          <w:szCs w:val="22"/>
        </w:rPr>
        <w:t xml:space="preserve"> T</w:t>
      </w:r>
      <w:r w:rsidRPr="00580F82">
        <w:rPr>
          <w:rFonts w:ascii="Arial" w:hAnsi="Arial" w:cs="Arial"/>
          <w:sz w:val="22"/>
          <w:szCs w:val="22"/>
          <w:vertAlign w:val="subscript"/>
        </w:rPr>
        <w:t>reg</w:t>
      </w:r>
      <w:r>
        <w:rPr>
          <w:rFonts w:ascii="Arial" w:hAnsi="Arial" w:cs="Arial"/>
          <w:sz w:val="22"/>
          <w:szCs w:val="22"/>
        </w:rPr>
        <w:t xml:space="preserve">s in MOC2 tumor-bearing mice. </w:t>
      </w:r>
      <w:r>
        <w:rPr>
          <w:rFonts w:ascii="Arial" w:hAnsi="Arial"/>
          <w:sz w:val="22"/>
          <w:szCs w:val="22"/>
        </w:rPr>
        <w:t xml:space="preserve">Five individual tumors from each condition were analyzed for each cell type. </w:t>
      </w:r>
      <w:r>
        <w:rPr>
          <w:rFonts w:ascii="Arial" w:hAnsi="Arial" w:cs="Arial"/>
          <w:sz w:val="22"/>
          <w:szCs w:val="22"/>
        </w:rPr>
        <w:t xml:space="preserve">*, </w:t>
      </w:r>
      <w:proofErr w:type="gramStart"/>
      <w:r>
        <w:rPr>
          <w:rFonts w:ascii="Arial" w:hAnsi="Arial" w:cs="Arial"/>
          <w:sz w:val="22"/>
          <w:szCs w:val="22"/>
        </w:rPr>
        <w:t>p</w:t>
      </w:r>
      <w:proofErr w:type="gramEnd"/>
      <w:r>
        <w:rPr>
          <w:rFonts w:ascii="Arial" w:hAnsi="Arial" w:cs="Arial"/>
          <w:sz w:val="22"/>
          <w:szCs w:val="22"/>
        </w:rPr>
        <w:t>&lt;0.05; **, p&lt;0.01; ANOVA.</w:t>
      </w:r>
    </w:p>
    <w:p w14:paraId="1EC185B3" w14:textId="77777777" w:rsidR="00203CBA" w:rsidRDefault="00203CBA"/>
    <w:p w14:paraId="0132D722" w14:textId="77777777" w:rsidR="00203CBA" w:rsidRDefault="00203CBA"/>
    <w:p w14:paraId="1673E22F" w14:textId="77777777" w:rsidR="00203CBA" w:rsidRDefault="00203CBA"/>
    <w:p w14:paraId="76B8ECB4" w14:textId="77777777" w:rsidR="00203CBA" w:rsidRDefault="00203CBA"/>
    <w:p w14:paraId="2F5DB39C" w14:textId="77777777" w:rsidR="00203CBA" w:rsidRDefault="00203CBA"/>
    <w:p w14:paraId="38C02D6E" w14:textId="77777777" w:rsidR="00203CBA" w:rsidRDefault="00203CBA"/>
    <w:p w14:paraId="3F9BB2EC" w14:textId="77777777" w:rsidR="00203CBA" w:rsidRDefault="00203CBA"/>
    <w:p w14:paraId="532BD908" w14:textId="77777777" w:rsidR="00203CBA" w:rsidRDefault="00F37350">
      <w:r>
        <w:rPr>
          <w:noProof/>
        </w:rPr>
        <w:drawing>
          <wp:inline distT="0" distB="0" distL="0" distR="0" wp14:anchorId="21BE7086" wp14:editId="21EF9801">
            <wp:extent cx="5935980" cy="3487420"/>
            <wp:effectExtent l="0" t="0" r="7620" b="0"/>
            <wp:docPr id="5" name="Picture 5" descr="Macintosh HD:Users:ClintAllenMac:Desktop:Supplemental Figure 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intAllenMac:Desktop:Supplemental Figure 4.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3487420"/>
                    </a:xfrm>
                    <a:prstGeom prst="rect">
                      <a:avLst/>
                    </a:prstGeom>
                    <a:noFill/>
                    <a:ln>
                      <a:noFill/>
                    </a:ln>
                  </pic:spPr>
                </pic:pic>
              </a:graphicData>
            </a:graphic>
          </wp:inline>
        </w:drawing>
      </w:r>
    </w:p>
    <w:p w14:paraId="5431E4D1" w14:textId="77777777" w:rsidR="00203CBA" w:rsidRDefault="00203CBA"/>
    <w:p w14:paraId="192408C2" w14:textId="77777777" w:rsidR="00203CBA" w:rsidRDefault="00203CBA" w:rsidP="00203CBA">
      <w:pPr>
        <w:spacing w:line="480" w:lineRule="auto"/>
        <w:rPr>
          <w:rFonts w:ascii="Arial" w:hAnsi="Arial" w:cs="Arial"/>
          <w:sz w:val="22"/>
          <w:szCs w:val="22"/>
        </w:rPr>
      </w:pPr>
      <w:proofErr w:type="gramStart"/>
      <w:r w:rsidRPr="00347B30">
        <w:rPr>
          <w:rFonts w:ascii="Arial" w:hAnsi="Arial" w:cs="Arial"/>
          <w:b/>
          <w:sz w:val="22"/>
          <w:szCs w:val="22"/>
        </w:rPr>
        <w:t>Supplemental Figure 4</w:t>
      </w:r>
      <w:r>
        <w:rPr>
          <w:rFonts w:ascii="Arial" w:hAnsi="Arial" w:cs="Arial"/>
          <w:sz w:val="22"/>
          <w:szCs w:val="22"/>
        </w:rPr>
        <w:t>.</w:t>
      </w:r>
      <w:proofErr w:type="gramEnd"/>
      <w:r>
        <w:rPr>
          <w:rFonts w:ascii="Arial" w:hAnsi="Arial" w:cs="Arial"/>
          <w:sz w:val="22"/>
          <w:szCs w:val="22"/>
        </w:rPr>
        <w:t xml:space="preserve"> Antibody-based CD8 (clone </w:t>
      </w:r>
      <w:r>
        <w:rPr>
          <w:rFonts w:ascii="Arial" w:hAnsi="Arial"/>
          <w:sz w:val="22"/>
          <w:szCs w:val="22"/>
        </w:rPr>
        <w:t xml:space="preserve">YTS169.4) </w:t>
      </w:r>
      <w:r>
        <w:rPr>
          <w:rFonts w:ascii="Arial" w:hAnsi="Arial" w:cs="Arial"/>
          <w:sz w:val="22"/>
          <w:szCs w:val="22"/>
        </w:rPr>
        <w:t xml:space="preserve">or NK (clone PK136) cell depletion results in efficient elimination of CD8 and NK cells from both the periphery (spleen) and tumor microenvironment. Representative dotplots demonstrate baseline and post-CD8 and NK cell depletion flow plots from spleen (top panels) and tumor (bottom panels) of mice treated twice weekly for three weeks with depleting antibody (200 μg each antibody twice weekly, n= 3 mice/group for validation experiments). Plots shown are from tissue harvested one day after the final depleting antibody treatment. </w:t>
      </w:r>
    </w:p>
    <w:p w14:paraId="1670C45C" w14:textId="77777777" w:rsidR="00203CBA" w:rsidRDefault="00203CBA">
      <w:bookmarkStart w:id="0" w:name="_GoBack"/>
      <w:bookmarkEnd w:id="0"/>
    </w:p>
    <w:sectPr w:rsidR="00203CBA" w:rsidSect="0020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BA"/>
    <w:rsid w:val="00203CBA"/>
    <w:rsid w:val="00CE660A"/>
    <w:rsid w:val="00EC24FD"/>
    <w:rsid w:val="00F37350"/>
    <w:rsid w:val="00FB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D3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BA"/>
    <w:rPr>
      <w:rFonts w:ascii="Lucida Grande" w:hAnsi="Lucida Grande"/>
      <w:sz w:val="18"/>
      <w:szCs w:val="18"/>
    </w:rPr>
  </w:style>
  <w:style w:type="character" w:customStyle="1" w:styleId="BalloonTextChar">
    <w:name w:val="Balloon Text Char"/>
    <w:basedOn w:val="DefaultParagraphFont"/>
    <w:link w:val="BalloonText"/>
    <w:uiPriority w:val="99"/>
    <w:semiHidden/>
    <w:rsid w:val="00203CB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BA"/>
    <w:rPr>
      <w:rFonts w:ascii="Lucida Grande" w:hAnsi="Lucida Grande"/>
      <w:sz w:val="18"/>
      <w:szCs w:val="18"/>
    </w:rPr>
  </w:style>
  <w:style w:type="character" w:customStyle="1" w:styleId="BalloonTextChar">
    <w:name w:val="Balloon Text Char"/>
    <w:basedOn w:val="DefaultParagraphFont"/>
    <w:link w:val="BalloonText"/>
    <w:uiPriority w:val="99"/>
    <w:semiHidden/>
    <w:rsid w:val="00203CB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330</Words>
  <Characters>1887</Characters>
  <Application>Microsoft Macintosh Word</Application>
  <DocSecurity>0</DocSecurity>
  <Lines>15</Lines>
  <Paragraphs>4</Paragraphs>
  <ScaleCrop>false</ScaleCrop>
  <Company>Johns Hopkins Medicine</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Allen</dc:creator>
  <cp:keywords/>
  <dc:description/>
  <cp:lastModifiedBy>Clint Allen</cp:lastModifiedBy>
  <cp:revision>3</cp:revision>
  <dcterms:created xsi:type="dcterms:W3CDTF">2016-02-05T22:49:00Z</dcterms:created>
  <dcterms:modified xsi:type="dcterms:W3CDTF">2016-02-05T22:50:00Z</dcterms:modified>
</cp:coreProperties>
</file>