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DD" w:rsidRDefault="000E0ADD" w:rsidP="000E0ADD">
      <w:pPr>
        <w:pStyle w:val="NormaleWeb"/>
        <w:spacing w:before="0" w:beforeAutospacing="0" w:after="0" w:afterAutospacing="0" w:line="360" w:lineRule="auto"/>
        <w:jc w:val="both"/>
        <w:rPr>
          <w:b/>
          <w:lang w:val="en-US"/>
        </w:rPr>
      </w:pPr>
      <w:r w:rsidRPr="00380969">
        <w:rPr>
          <w:b/>
          <w:lang w:val="en-US"/>
        </w:rPr>
        <w:t>Supplementary Data</w:t>
      </w:r>
    </w:p>
    <w:p w:rsidR="00621990" w:rsidRPr="00380969" w:rsidRDefault="00621990" w:rsidP="000E0ADD">
      <w:pPr>
        <w:pStyle w:val="NormaleWeb"/>
        <w:spacing w:before="0" w:beforeAutospacing="0" w:after="0" w:afterAutospacing="0" w:line="360" w:lineRule="auto"/>
        <w:jc w:val="both"/>
        <w:rPr>
          <w:b/>
          <w:lang w:val="en-US"/>
        </w:rPr>
      </w:pPr>
      <w:r w:rsidRPr="00380969">
        <w:rPr>
          <w:b/>
          <w:lang w:val="en-US"/>
        </w:rPr>
        <w:t>Figure Legends</w:t>
      </w:r>
      <w:r>
        <w:rPr>
          <w:b/>
          <w:lang w:val="en-US"/>
        </w:rPr>
        <w:t>:</w:t>
      </w:r>
    </w:p>
    <w:p w:rsidR="000E0ADD" w:rsidRPr="00380969" w:rsidRDefault="00E225DE" w:rsidP="000E0ADD">
      <w:pPr>
        <w:pStyle w:val="NormaleWeb"/>
        <w:spacing w:before="240" w:after="0" w:afterAutospacing="0" w:line="360" w:lineRule="auto"/>
        <w:jc w:val="both"/>
        <w:rPr>
          <w:rFonts w:eastAsia="WarnockPro-Regular"/>
          <w:lang w:val="en-US"/>
        </w:rPr>
      </w:pPr>
      <w:r w:rsidRPr="00380969">
        <w:rPr>
          <w:b/>
          <w:lang w:val="en-US"/>
        </w:rPr>
        <w:t>Supplementary</w:t>
      </w:r>
      <w:r w:rsidRPr="00380969">
        <w:rPr>
          <w:rFonts w:eastAsia="WarnockPro-Regular"/>
          <w:b/>
          <w:bCs/>
          <w:lang w:val="en-US"/>
        </w:rPr>
        <w:t xml:space="preserve"> </w:t>
      </w:r>
      <w:r w:rsidR="000E0ADD" w:rsidRPr="00380969">
        <w:rPr>
          <w:rFonts w:eastAsia="WarnockPro-Regular"/>
          <w:b/>
          <w:bCs/>
          <w:lang w:val="en-US"/>
        </w:rPr>
        <w:t>Fig</w:t>
      </w:r>
      <w:r w:rsidR="000E0ADD">
        <w:rPr>
          <w:rFonts w:eastAsia="WarnockPro-Regular"/>
          <w:b/>
          <w:bCs/>
          <w:lang w:val="en-US"/>
        </w:rPr>
        <w:t>ure 1</w:t>
      </w:r>
      <w:r w:rsidR="00C0023C">
        <w:rPr>
          <w:rFonts w:eastAsia="WarnockPro-Regular"/>
          <w:b/>
          <w:bCs/>
          <w:lang w:val="en-US"/>
        </w:rPr>
        <w:t>.</w:t>
      </w:r>
      <w:r w:rsidR="000E0ADD" w:rsidRPr="00380969">
        <w:rPr>
          <w:rFonts w:eastAsia="WarnockPro-Regular"/>
          <w:b/>
          <w:bCs/>
          <w:lang w:val="en-US"/>
        </w:rPr>
        <w:t xml:space="preserve"> </w:t>
      </w:r>
      <w:r w:rsidR="000E0ADD" w:rsidRPr="00380969">
        <w:rPr>
          <w:rFonts w:eastAsia="WarnockPro-Regular"/>
          <w:lang w:val="en-US"/>
        </w:rPr>
        <w:t>Bland-Altman plot % increase in cetuximab</w:t>
      </w:r>
      <w:r w:rsidR="006F0963">
        <w:rPr>
          <w:rFonts w:eastAsia="WarnockPro-Regular"/>
          <w:lang w:val="en-US"/>
        </w:rPr>
        <w:t>-</w:t>
      </w:r>
      <w:r w:rsidR="000E0ADD" w:rsidRPr="00380969">
        <w:rPr>
          <w:rFonts w:eastAsia="WarnockPro-Regular"/>
          <w:lang w:val="en-US"/>
        </w:rPr>
        <w:t>mediated</w:t>
      </w:r>
      <w:r w:rsidR="006F0963">
        <w:rPr>
          <w:rFonts w:eastAsia="WarnockPro-Regular"/>
          <w:lang w:val="en-US"/>
        </w:rPr>
        <w:t xml:space="preserve"> ADCC</w:t>
      </w:r>
      <w:r w:rsidR="000E0ADD" w:rsidRPr="00380969">
        <w:rPr>
          <w:rFonts w:eastAsia="WarnockPro-Regular"/>
          <w:lang w:val="en-US"/>
        </w:rPr>
        <w:t xml:space="preserve">: difference  SRB assay-Cytotox96 </w:t>
      </w:r>
      <w:proofErr w:type="spellStart"/>
      <w:r w:rsidR="000E0ADD" w:rsidRPr="00380969">
        <w:rPr>
          <w:rFonts w:eastAsia="WarnockPro-Regular"/>
          <w:lang w:val="en-US"/>
        </w:rPr>
        <w:t>vs</w:t>
      </w:r>
      <w:proofErr w:type="spellEnd"/>
      <w:r w:rsidR="000E0ADD" w:rsidRPr="00380969">
        <w:rPr>
          <w:rFonts w:eastAsia="WarnockPro-Regular"/>
          <w:lang w:val="en-US"/>
        </w:rPr>
        <w:t xml:space="preserve"> average. By plotting the difference between the % ADCC increase determined by each of the methods against the mean of the two determinations it is possible to determine the concordance between both methods. The limits of agreement are also calculated to give a quantitative analysis of the differences between both methods.</w:t>
      </w:r>
    </w:p>
    <w:p w:rsidR="000E0ADD" w:rsidRPr="00380969" w:rsidRDefault="000E0ADD" w:rsidP="000E0ADD">
      <w:pPr>
        <w:pStyle w:val="NormaleWeb"/>
        <w:spacing w:before="0" w:beforeAutospacing="0" w:after="0" w:afterAutospacing="0" w:line="360" w:lineRule="auto"/>
        <w:jc w:val="both"/>
        <w:rPr>
          <w:rFonts w:eastAsia="WarnockPro-Regular"/>
          <w:lang w:val="en-US"/>
        </w:rPr>
      </w:pPr>
    </w:p>
    <w:p w:rsidR="000E0ADD" w:rsidRPr="00380969" w:rsidRDefault="00E225DE" w:rsidP="000E0ADD">
      <w:pPr>
        <w:pStyle w:val="NormaleWeb"/>
        <w:spacing w:line="360" w:lineRule="auto"/>
        <w:jc w:val="both"/>
        <w:rPr>
          <w:rFonts w:eastAsia="WarnockPro-Regular"/>
        </w:rPr>
      </w:pPr>
      <w:r w:rsidRPr="00380969">
        <w:rPr>
          <w:b/>
          <w:lang w:val="en-US"/>
        </w:rPr>
        <w:t>Supplementary</w:t>
      </w:r>
      <w:r w:rsidRPr="00380969">
        <w:rPr>
          <w:rFonts w:eastAsia="WarnockPro-Regular"/>
          <w:b/>
          <w:bCs/>
          <w:lang w:val="en-US"/>
        </w:rPr>
        <w:t xml:space="preserve"> </w:t>
      </w:r>
      <w:r w:rsidR="000E0ADD" w:rsidRPr="00380969">
        <w:rPr>
          <w:rFonts w:eastAsia="WarnockPro-Regular"/>
          <w:b/>
          <w:bCs/>
          <w:lang w:val="en-US"/>
        </w:rPr>
        <w:t>Fig</w:t>
      </w:r>
      <w:r w:rsidR="000E0ADD">
        <w:rPr>
          <w:rFonts w:eastAsia="WarnockPro-Regular"/>
          <w:b/>
          <w:bCs/>
          <w:lang w:val="en-US"/>
        </w:rPr>
        <w:t>ure 2</w:t>
      </w:r>
      <w:r w:rsidR="00C0023C">
        <w:rPr>
          <w:rFonts w:eastAsia="WarnockPro-Regular"/>
          <w:b/>
          <w:bCs/>
          <w:lang w:val="en-US"/>
        </w:rPr>
        <w:t>.</w:t>
      </w:r>
      <w:r w:rsidR="000E0ADD" w:rsidRPr="00380969">
        <w:rPr>
          <w:rFonts w:eastAsia="WarnockPro-Regular"/>
          <w:lang w:val="en-US"/>
        </w:rPr>
        <w:t xml:space="preserve"> Progression-free survival was defined as time elapsed between treatment initiation and clinical progression. PFS was 10.8 months in patients whit Fc</w:t>
      </w:r>
      <w:r w:rsidR="000E0ADD" w:rsidRPr="00380969">
        <w:rPr>
          <w:rFonts w:eastAsia="WarnockPro-Regular"/>
          <w:lang w:val="el-GR"/>
        </w:rPr>
        <w:t>γ</w:t>
      </w:r>
      <w:r w:rsidR="000E0ADD" w:rsidRPr="00380969">
        <w:rPr>
          <w:rFonts w:eastAsia="WarnockPro-Regular"/>
          <w:lang w:val="en-US"/>
        </w:rPr>
        <w:t>RIIIa-V158F or Fc</w:t>
      </w:r>
      <w:r w:rsidR="000E0ADD" w:rsidRPr="00380969">
        <w:rPr>
          <w:rFonts w:eastAsia="WarnockPro-Regular"/>
          <w:lang w:val="el-GR"/>
        </w:rPr>
        <w:t>γ</w:t>
      </w:r>
      <w:r w:rsidR="000E0ADD" w:rsidRPr="00380969">
        <w:rPr>
          <w:rFonts w:eastAsia="WarnockPro-Regular"/>
          <w:lang w:val="en-US"/>
        </w:rPr>
        <w:t xml:space="preserve">RIIIa-V158V </w:t>
      </w:r>
      <w:proofErr w:type="spellStart"/>
      <w:r w:rsidR="000E0ADD" w:rsidRPr="00380969">
        <w:rPr>
          <w:rFonts w:eastAsia="WarnockPro-Regular"/>
          <w:lang w:val="en-US"/>
        </w:rPr>
        <w:t>vs</w:t>
      </w:r>
      <w:proofErr w:type="spellEnd"/>
      <w:r w:rsidR="000E0ADD" w:rsidRPr="00380969">
        <w:rPr>
          <w:rFonts w:eastAsia="WarnockPro-Regular"/>
          <w:lang w:val="en-US"/>
        </w:rPr>
        <w:t xml:space="preserve"> 5.1 months in patients whit Fc</w:t>
      </w:r>
      <w:r w:rsidR="000E0ADD" w:rsidRPr="00380969">
        <w:rPr>
          <w:rFonts w:eastAsia="WarnockPro-Regular"/>
          <w:lang w:val="el-GR"/>
        </w:rPr>
        <w:t>γ</w:t>
      </w:r>
      <w:r w:rsidR="000E0ADD" w:rsidRPr="00380969">
        <w:rPr>
          <w:rFonts w:eastAsia="WarnockPro-Regular"/>
          <w:lang w:val="en-US"/>
        </w:rPr>
        <w:t>RIIIa-F158F. Log-Rank test for two curves: p=0.050.</w:t>
      </w:r>
      <w:r w:rsidR="000E0ADD" w:rsidRPr="00380969">
        <w:rPr>
          <w:rFonts w:eastAsia="WarnockPro-Regular"/>
        </w:rPr>
        <w:t xml:space="preserve"> </w:t>
      </w:r>
    </w:p>
    <w:p w:rsidR="00633DE6" w:rsidRDefault="00802F05"/>
    <w:sectPr w:rsidR="00633DE6" w:rsidSect="00A426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arnock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trackRevisions/>
  <w:defaultTabStop w:val="708"/>
  <w:hyphenationZone w:val="283"/>
  <w:characterSpacingControl w:val="doNotCompress"/>
  <w:compat/>
  <w:rsids>
    <w:rsidRoot w:val="000E0ADD"/>
    <w:rsid w:val="000E0ADD"/>
    <w:rsid w:val="004760A6"/>
    <w:rsid w:val="004C76CF"/>
    <w:rsid w:val="005504BE"/>
    <w:rsid w:val="00621990"/>
    <w:rsid w:val="006F0963"/>
    <w:rsid w:val="00760AAF"/>
    <w:rsid w:val="00802F05"/>
    <w:rsid w:val="00A4267B"/>
    <w:rsid w:val="00B0331F"/>
    <w:rsid w:val="00C0023C"/>
    <w:rsid w:val="00E225DE"/>
    <w:rsid w:val="00F811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6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E0AD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dc:creator>
  <cp:keywords/>
  <dc:description/>
  <cp:lastModifiedBy>AnnaMaria</cp:lastModifiedBy>
  <cp:revision>6</cp:revision>
  <cp:lastPrinted>2015-09-28T08:46:00Z</cp:lastPrinted>
  <dcterms:created xsi:type="dcterms:W3CDTF">2015-07-20T08:46:00Z</dcterms:created>
  <dcterms:modified xsi:type="dcterms:W3CDTF">2015-09-28T08:46:00Z</dcterms:modified>
</cp:coreProperties>
</file>