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C5" w:rsidRDefault="00D206C5" w:rsidP="00D206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SUPPLEMENTAL MATERIALS</w:t>
      </w:r>
    </w:p>
    <w:p w:rsidR="00C65BE2" w:rsidRPr="00F23D56" w:rsidRDefault="00C65BE2" w:rsidP="00D206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SUPPLEMENTAL </w:t>
      </w:r>
      <w:r w:rsidRPr="00F23D56">
        <w:rPr>
          <w:rFonts w:ascii="Arial" w:hAnsi="Arial" w:cs="Arial"/>
          <w:b/>
          <w:sz w:val="24"/>
          <w:szCs w:val="24"/>
        </w:rPr>
        <w:t>FIGURE LEGENDS</w:t>
      </w:r>
    </w:p>
    <w:p w:rsidR="00C65BE2" w:rsidRDefault="00C65BE2" w:rsidP="00C65BE2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104662">
        <w:rPr>
          <w:rFonts w:ascii="Arial" w:hAnsi="Arial" w:cs="Arial"/>
          <w:b/>
          <w:sz w:val="24"/>
          <w:szCs w:val="24"/>
        </w:rPr>
        <w:t xml:space="preserve">Supplemental Figure </w:t>
      </w:r>
      <w:r>
        <w:rPr>
          <w:rFonts w:ascii="Arial" w:hAnsi="Arial" w:cs="Arial"/>
          <w:b/>
          <w:sz w:val="24"/>
          <w:szCs w:val="24"/>
        </w:rPr>
        <w:t>1</w:t>
      </w:r>
      <w:r w:rsidRPr="00104662"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Difference in CD3+ immune cell infiltrates by </w:t>
      </w:r>
      <w:proofErr w:type="spellStart"/>
      <w:r>
        <w:rPr>
          <w:rFonts w:ascii="Arial" w:hAnsi="Arial" w:cs="Arial"/>
          <w:sz w:val="24"/>
          <w:szCs w:val="24"/>
        </w:rPr>
        <w:t>histologic</w:t>
      </w:r>
      <w:proofErr w:type="spellEnd"/>
      <w:r>
        <w:rPr>
          <w:rFonts w:ascii="Arial" w:hAnsi="Arial" w:cs="Arial"/>
          <w:sz w:val="24"/>
          <w:szCs w:val="24"/>
        </w:rPr>
        <w:t xml:space="preserve"> subtype of mesothelioma, with epithelioid cases shown in blue or sarcomatoid/biphasic histology shown in red.  The median and </w:t>
      </w:r>
      <w:proofErr w:type="spellStart"/>
      <w:r>
        <w:rPr>
          <w:rFonts w:ascii="Arial" w:hAnsi="Arial" w:cs="Arial"/>
          <w:sz w:val="24"/>
          <w:szCs w:val="24"/>
        </w:rPr>
        <w:t>interquartile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range for each graph are</w:t>
      </w:r>
      <w:proofErr w:type="gramEnd"/>
      <w:r>
        <w:rPr>
          <w:rFonts w:ascii="Arial" w:hAnsi="Arial" w:cs="Arial"/>
          <w:sz w:val="24"/>
          <w:szCs w:val="24"/>
        </w:rPr>
        <w:t xml:space="preserve"> shown.</w:t>
      </w:r>
    </w:p>
    <w:p w:rsidR="00C65BE2" w:rsidRDefault="00C65BE2" w:rsidP="00C65BE2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Supplemental Figure 2.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Comparison of immune cell infiltrates among patients who received (red) or did not receive (blue) </w:t>
      </w:r>
      <w:proofErr w:type="spellStart"/>
      <w:r>
        <w:rPr>
          <w:rFonts w:ascii="Arial" w:hAnsi="Arial" w:cs="Arial"/>
          <w:sz w:val="24"/>
          <w:szCs w:val="24"/>
        </w:rPr>
        <w:t>neoadjuvant</w:t>
      </w:r>
      <w:proofErr w:type="spellEnd"/>
      <w:r>
        <w:rPr>
          <w:rFonts w:ascii="Arial" w:hAnsi="Arial" w:cs="Arial"/>
          <w:sz w:val="24"/>
          <w:szCs w:val="24"/>
        </w:rPr>
        <w:t xml:space="preserve"> chemotherapy prior to surgical resection of their tumor.</w:t>
      </w:r>
    </w:p>
    <w:p w:rsidR="00C65BE2" w:rsidRPr="00711071" w:rsidRDefault="00C65BE2" w:rsidP="00C65BE2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Supplemental Figure 3.</w:t>
      </w:r>
      <w:proofErr w:type="gramEnd"/>
      <w:r>
        <w:rPr>
          <w:rFonts w:ascii="Arial" w:hAnsi="Arial" w:cs="Arial"/>
          <w:sz w:val="24"/>
          <w:szCs w:val="24"/>
        </w:rPr>
        <w:t xml:space="preserve">  Quantification of </w:t>
      </w:r>
      <w:proofErr w:type="spellStart"/>
      <w:r>
        <w:rPr>
          <w:rFonts w:ascii="Arial" w:hAnsi="Arial" w:cs="Arial"/>
          <w:sz w:val="24"/>
          <w:szCs w:val="24"/>
        </w:rPr>
        <w:t>monocyte</w:t>
      </w:r>
      <w:proofErr w:type="spellEnd"/>
      <w:r>
        <w:rPr>
          <w:rFonts w:ascii="Arial" w:hAnsi="Arial" w:cs="Arial"/>
          <w:sz w:val="24"/>
          <w:szCs w:val="24"/>
        </w:rPr>
        <w:t xml:space="preserve"> subtypes in tumor samples.  Percentages for CD33+ myeloid derived suppressor cells (MDSCs, CD14</w:t>
      </w:r>
      <w:r w:rsidRPr="00711071">
        <w:rPr>
          <w:rFonts w:ascii="Arial" w:hAnsi="Arial" w:cs="Arial"/>
          <w:sz w:val="24"/>
          <w:szCs w:val="24"/>
          <w:vertAlign w:val="superscript"/>
        </w:rPr>
        <w:t>high</w:t>
      </w:r>
      <w:r>
        <w:rPr>
          <w:rFonts w:ascii="Arial" w:hAnsi="Arial" w:cs="Arial"/>
          <w:sz w:val="24"/>
          <w:szCs w:val="24"/>
        </w:rPr>
        <w:t>/HLA-</w:t>
      </w:r>
      <w:proofErr w:type="spellStart"/>
      <w:r>
        <w:rPr>
          <w:rFonts w:ascii="Arial" w:hAnsi="Arial" w:cs="Arial"/>
          <w:sz w:val="24"/>
          <w:szCs w:val="24"/>
        </w:rPr>
        <w:t>DR</w:t>
      </w:r>
      <w:r w:rsidRPr="00711071">
        <w:rPr>
          <w:rFonts w:ascii="Arial" w:hAnsi="Arial" w:cs="Arial"/>
          <w:sz w:val="24"/>
          <w:szCs w:val="24"/>
          <w:vertAlign w:val="superscript"/>
        </w:rPr>
        <w:t>low</w:t>
      </w:r>
      <w:proofErr w:type="spellEnd"/>
      <w:r>
        <w:rPr>
          <w:rFonts w:ascii="Arial" w:hAnsi="Arial" w:cs="Arial"/>
          <w:sz w:val="24"/>
          <w:szCs w:val="24"/>
        </w:rPr>
        <w:t xml:space="preserve">), as well as for CD14+ CD16- and CD14+ CD16+ monocytes are shown for PD-L1 negative (blue) and PD-L1 positive (red) tumors.  The median and </w:t>
      </w:r>
      <w:proofErr w:type="spellStart"/>
      <w:r>
        <w:rPr>
          <w:rFonts w:ascii="Arial" w:hAnsi="Arial" w:cs="Arial"/>
          <w:sz w:val="24"/>
          <w:szCs w:val="24"/>
        </w:rPr>
        <w:t>interquartile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range are</w:t>
      </w:r>
      <w:proofErr w:type="gramEnd"/>
      <w:r>
        <w:rPr>
          <w:rFonts w:ascii="Arial" w:hAnsi="Arial" w:cs="Arial"/>
          <w:sz w:val="24"/>
          <w:szCs w:val="24"/>
        </w:rPr>
        <w:t xml:space="preserve"> shown.</w:t>
      </w:r>
    </w:p>
    <w:p w:rsidR="00C65BE2" w:rsidRDefault="00C65BE2" w:rsidP="00C65BE2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104662">
        <w:rPr>
          <w:rFonts w:ascii="Arial" w:hAnsi="Arial" w:cs="Arial"/>
          <w:b/>
          <w:sz w:val="24"/>
          <w:szCs w:val="24"/>
        </w:rPr>
        <w:t xml:space="preserve">Supplemental Figure </w:t>
      </w:r>
      <w:r>
        <w:rPr>
          <w:rFonts w:ascii="Arial" w:hAnsi="Arial" w:cs="Arial"/>
          <w:b/>
          <w:sz w:val="24"/>
          <w:szCs w:val="24"/>
        </w:rPr>
        <w:t>4</w:t>
      </w:r>
      <w:r w:rsidRPr="00104662"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Comparison of immune cell infiltrates by mutational subtype in mesothelioma samples.  Panel (</w:t>
      </w:r>
      <w:r w:rsidRPr="0010466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) shows the fraction of live cells that were CD45+ in </w:t>
      </w:r>
      <w:r w:rsidRPr="00104662">
        <w:rPr>
          <w:rFonts w:ascii="Arial" w:hAnsi="Arial" w:cs="Arial"/>
          <w:i/>
          <w:sz w:val="24"/>
          <w:szCs w:val="24"/>
        </w:rPr>
        <w:t>BAP1</w:t>
      </w:r>
      <w:r>
        <w:rPr>
          <w:rFonts w:ascii="Arial" w:hAnsi="Arial" w:cs="Arial"/>
          <w:sz w:val="24"/>
          <w:szCs w:val="24"/>
        </w:rPr>
        <w:t xml:space="preserve"> wild-type (wt, blue) or </w:t>
      </w:r>
      <w:r w:rsidRPr="00104662">
        <w:rPr>
          <w:rFonts w:ascii="Arial" w:hAnsi="Arial" w:cs="Arial"/>
          <w:i/>
          <w:sz w:val="24"/>
          <w:szCs w:val="24"/>
        </w:rPr>
        <w:t>BAP1</w:t>
      </w:r>
      <w:r>
        <w:rPr>
          <w:rFonts w:ascii="Arial" w:hAnsi="Arial" w:cs="Arial"/>
          <w:sz w:val="24"/>
          <w:szCs w:val="24"/>
        </w:rPr>
        <w:t xml:space="preserve"> mutant (red) samples.  Panel (</w:t>
      </w:r>
      <w:r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) shows the fraction of live cells that were CD45+ in </w:t>
      </w:r>
      <w:r>
        <w:rPr>
          <w:rFonts w:ascii="Arial" w:hAnsi="Arial" w:cs="Arial"/>
          <w:i/>
          <w:sz w:val="24"/>
          <w:szCs w:val="24"/>
        </w:rPr>
        <w:t>NF2</w:t>
      </w:r>
      <w:r>
        <w:rPr>
          <w:rFonts w:ascii="Arial" w:hAnsi="Arial" w:cs="Arial"/>
          <w:sz w:val="24"/>
          <w:szCs w:val="24"/>
        </w:rPr>
        <w:t xml:space="preserve"> wild-type (wt, blue) or </w:t>
      </w:r>
      <w:r>
        <w:rPr>
          <w:rFonts w:ascii="Arial" w:hAnsi="Arial" w:cs="Arial"/>
          <w:i/>
          <w:sz w:val="24"/>
          <w:szCs w:val="24"/>
        </w:rPr>
        <w:t>NF2</w:t>
      </w:r>
      <w:r>
        <w:rPr>
          <w:rFonts w:ascii="Arial" w:hAnsi="Arial" w:cs="Arial"/>
          <w:sz w:val="24"/>
          <w:szCs w:val="24"/>
        </w:rPr>
        <w:t xml:space="preserve"> mutant (red) samples.  The median and </w:t>
      </w:r>
      <w:proofErr w:type="spellStart"/>
      <w:r>
        <w:rPr>
          <w:rFonts w:ascii="Arial" w:hAnsi="Arial" w:cs="Arial"/>
          <w:sz w:val="24"/>
          <w:szCs w:val="24"/>
        </w:rPr>
        <w:t>interquartile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range for each graph are</w:t>
      </w:r>
      <w:proofErr w:type="gramEnd"/>
      <w:r>
        <w:rPr>
          <w:rFonts w:ascii="Arial" w:hAnsi="Arial" w:cs="Arial"/>
          <w:sz w:val="24"/>
          <w:szCs w:val="24"/>
        </w:rPr>
        <w:t xml:space="preserve"> shown.</w:t>
      </w:r>
    </w:p>
    <w:p w:rsidR="00C65BE2" w:rsidRDefault="00C65BE2" w:rsidP="00C65BE2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BA6A6D">
        <w:rPr>
          <w:rFonts w:ascii="Arial" w:hAnsi="Arial" w:cs="Arial"/>
          <w:b/>
          <w:sz w:val="24"/>
          <w:szCs w:val="24"/>
        </w:rPr>
        <w:t>Supplemental Figure 5.</w:t>
      </w:r>
      <w:proofErr w:type="gramEnd"/>
      <w:r>
        <w:rPr>
          <w:rFonts w:ascii="Arial" w:hAnsi="Arial" w:cs="Arial"/>
          <w:sz w:val="24"/>
          <w:szCs w:val="24"/>
        </w:rPr>
        <w:t xml:space="preserve">  Statistical analysis of t-SNE maps from </w:t>
      </w:r>
      <w:r w:rsidRPr="00BA6A6D">
        <w:rPr>
          <w:rFonts w:ascii="Arial" w:hAnsi="Arial" w:cs="Arial"/>
          <w:b/>
          <w:sz w:val="24"/>
          <w:szCs w:val="24"/>
        </w:rPr>
        <w:t xml:space="preserve">Figure 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 (</w:t>
      </w:r>
      <w:r w:rsidRPr="00BA6A6D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) Violin plot showing tumor </w:t>
      </w:r>
      <w:proofErr w:type="spellStart"/>
      <w:r>
        <w:rPr>
          <w:rFonts w:ascii="Arial" w:hAnsi="Arial" w:cs="Arial"/>
          <w:sz w:val="24"/>
          <w:szCs w:val="24"/>
        </w:rPr>
        <w:t>histologic</w:t>
      </w:r>
      <w:proofErr w:type="spellEnd"/>
      <w:r>
        <w:rPr>
          <w:rFonts w:ascii="Arial" w:hAnsi="Arial" w:cs="Arial"/>
          <w:sz w:val="24"/>
          <w:szCs w:val="24"/>
        </w:rPr>
        <w:t xml:space="preserve"> subtype compared to the distance from the center of the Normal Cluster.  Linear regression analysis of CD3+ cells (</w:t>
      </w:r>
      <w:r w:rsidRPr="006238EF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) and CD66b+ cells (</w:t>
      </w:r>
      <w:r w:rsidRPr="006238EF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) as a distance from the Normal Cluster.  (</w:t>
      </w:r>
      <w:r w:rsidRPr="006238EF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) Violin plot showing PD-L1 </w:t>
      </w:r>
      <w:proofErr w:type="spellStart"/>
      <w:r>
        <w:rPr>
          <w:rFonts w:ascii="Arial" w:hAnsi="Arial" w:cs="Arial"/>
          <w:sz w:val="24"/>
          <w:szCs w:val="24"/>
        </w:rPr>
        <w:t>immunohistochemical</w:t>
      </w:r>
      <w:proofErr w:type="spellEnd"/>
      <w:r>
        <w:rPr>
          <w:rFonts w:ascii="Arial" w:hAnsi="Arial" w:cs="Arial"/>
          <w:sz w:val="24"/>
          <w:szCs w:val="24"/>
        </w:rPr>
        <w:t xml:space="preserve"> staining compared to the distance from the Normal Cluster.  </w:t>
      </w:r>
      <w:proofErr w:type="gramStart"/>
      <w:r>
        <w:rPr>
          <w:rFonts w:ascii="Arial" w:hAnsi="Arial" w:cs="Arial"/>
          <w:sz w:val="24"/>
          <w:szCs w:val="24"/>
        </w:rPr>
        <w:t>Linear regression analysis of CD8+ cells that were TIM-3+/PD-1+ (</w:t>
      </w:r>
      <w:r w:rsidRPr="007E2C28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) or CD4+ cells that </w:t>
      </w:r>
      <w:r>
        <w:rPr>
          <w:rFonts w:ascii="Arial" w:hAnsi="Arial" w:cs="Arial"/>
          <w:sz w:val="24"/>
          <w:szCs w:val="24"/>
        </w:rPr>
        <w:lastRenderedPageBreak/>
        <w:t>were FOXP3+ (</w:t>
      </w:r>
      <w:r w:rsidRPr="007E2C28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) as a distance from the Normal Cluster.</w:t>
      </w:r>
      <w:proofErr w:type="gramEnd"/>
      <w:r>
        <w:rPr>
          <w:rFonts w:ascii="Arial" w:hAnsi="Arial" w:cs="Arial"/>
          <w:sz w:val="24"/>
          <w:szCs w:val="24"/>
        </w:rPr>
        <w:t xml:space="preserve">  In</w:t>
      </w:r>
      <w:r w:rsidRPr="008E0D0E">
        <w:rPr>
          <w:rFonts w:ascii="Arial" w:hAnsi="Arial" w:cs="Arial"/>
          <w:sz w:val="24"/>
          <w:szCs w:val="24"/>
        </w:rPr>
        <w:t xml:space="preserve"> the violin plots </w:t>
      </w:r>
      <w:r>
        <w:rPr>
          <w:rFonts w:ascii="Arial" w:hAnsi="Arial" w:cs="Arial"/>
          <w:sz w:val="24"/>
          <w:szCs w:val="24"/>
        </w:rPr>
        <w:t>(</w:t>
      </w:r>
      <w:r w:rsidRPr="008E0D0E">
        <w:rPr>
          <w:rFonts w:ascii="Arial" w:hAnsi="Arial" w:cs="Arial"/>
          <w:b/>
          <w:sz w:val="24"/>
          <w:szCs w:val="24"/>
        </w:rPr>
        <w:t>A</w:t>
      </w:r>
      <w:proofErr w:type="gramStart"/>
      <w:r w:rsidRPr="007435A5">
        <w:rPr>
          <w:rFonts w:ascii="Arial" w:hAnsi="Arial" w:cs="Arial"/>
          <w:sz w:val="24"/>
          <w:szCs w:val="24"/>
        </w:rPr>
        <w:t>,</w:t>
      </w:r>
      <w:r w:rsidRPr="008E0D0E">
        <w:rPr>
          <w:rFonts w:ascii="Arial" w:hAnsi="Arial" w:cs="Arial"/>
          <w:b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 xml:space="preserve">), the </w:t>
      </w:r>
      <w:r w:rsidRPr="008E0D0E">
        <w:rPr>
          <w:rFonts w:ascii="Arial" w:hAnsi="Arial" w:cs="Arial"/>
          <w:sz w:val="24"/>
          <w:szCs w:val="24"/>
        </w:rPr>
        <w:t xml:space="preserve">median and </w:t>
      </w:r>
      <w:proofErr w:type="spellStart"/>
      <w:r w:rsidRPr="008E0D0E">
        <w:rPr>
          <w:rFonts w:ascii="Arial" w:hAnsi="Arial" w:cs="Arial"/>
          <w:sz w:val="24"/>
          <w:szCs w:val="24"/>
        </w:rPr>
        <w:t>quantiles</w:t>
      </w:r>
      <w:proofErr w:type="spellEnd"/>
      <w:r w:rsidRPr="008E0D0E">
        <w:rPr>
          <w:rFonts w:ascii="Arial" w:hAnsi="Arial" w:cs="Arial"/>
          <w:sz w:val="24"/>
          <w:szCs w:val="24"/>
        </w:rPr>
        <w:t xml:space="preserve"> are shown in the box plots</w:t>
      </w:r>
      <w:r>
        <w:rPr>
          <w:rFonts w:ascii="Arial" w:hAnsi="Arial" w:cs="Arial"/>
          <w:sz w:val="24"/>
          <w:szCs w:val="24"/>
        </w:rPr>
        <w:t>.  In the l</w:t>
      </w:r>
      <w:r w:rsidRPr="008E0D0E">
        <w:rPr>
          <w:rFonts w:ascii="Arial" w:hAnsi="Arial" w:cs="Arial"/>
          <w:sz w:val="24"/>
          <w:szCs w:val="24"/>
        </w:rPr>
        <w:t xml:space="preserve">inear regression plots </w:t>
      </w:r>
      <w:r>
        <w:rPr>
          <w:rFonts w:ascii="Arial" w:hAnsi="Arial" w:cs="Arial"/>
          <w:sz w:val="24"/>
          <w:szCs w:val="24"/>
        </w:rPr>
        <w:t>(</w:t>
      </w:r>
      <w:r w:rsidRPr="008E0D0E">
        <w:rPr>
          <w:rFonts w:ascii="Arial" w:hAnsi="Arial" w:cs="Arial"/>
          <w:b/>
          <w:sz w:val="24"/>
          <w:szCs w:val="24"/>
        </w:rPr>
        <w:t>B</w:t>
      </w:r>
      <w:proofErr w:type="gramStart"/>
      <w:r w:rsidRPr="007435A5">
        <w:rPr>
          <w:rFonts w:ascii="Arial" w:hAnsi="Arial" w:cs="Arial"/>
          <w:sz w:val="24"/>
          <w:szCs w:val="24"/>
        </w:rPr>
        <w:t>,</w:t>
      </w:r>
      <w:r w:rsidRPr="008E0D0E">
        <w:rPr>
          <w:rFonts w:ascii="Arial" w:hAnsi="Arial" w:cs="Arial"/>
          <w:b/>
          <w:sz w:val="24"/>
          <w:szCs w:val="24"/>
        </w:rPr>
        <w:t>C</w:t>
      </w:r>
      <w:r w:rsidRPr="007435A5">
        <w:rPr>
          <w:rFonts w:ascii="Arial" w:hAnsi="Arial" w:cs="Arial"/>
          <w:sz w:val="24"/>
          <w:szCs w:val="24"/>
        </w:rPr>
        <w:t>,</w:t>
      </w:r>
      <w:r w:rsidRPr="008E0D0E">
        <w:rPr>
          <w:rFonts w:ascii="Arial" w:hAnsi="Arial" w:cs="Arial"/>
          <w:b/>
          <w:sz w:val="24"/>
          <w:szCs w:val="24"/>
        </w:rPr>
        <w:t>E</w:t>
      </w:r>
      <w:r w:rsidRPr="007435A5">
        <w:rPr>
          <w:rFonts w:ascii="Arial" w:hAnsi="Arial" w:cs="Arial"/>
          <w:sz w:val="24"/>
          <w:szCs w:val="24"/>
        </w:rPr>
        <w:t>,</w:t>
      </w:r>
      <w:r w:rsidRPr="008E0D0E">
        <w:rPr>
          <w:rFonts w:ascii="Arial" w:hAnsi="Arial" w:cs="Arial"/>
          <w:b/>
          <w:sz w:val="24"/>
          <w:szCs w:val="24"/>
        </w:rPr>
        <w:t>F</w:t>
      </w:r>
      <w:proofErr w:type="gramEnd"/>
      <w:r>
        <w:rPr>
          <w:rFonts w:ascii="Arial" w:hAnsi="Arial" w:cs="Arial"/>
          <w:sz w:val="24"/>
          <w:szCs w:val="24"/>
        </w:rPr>
        <w:t xml:space="preserve">), </w:t>
      </w:r>
      <w:r w:rsidRPr="008E0D0E">
        <w:rPr>
          <w:rFonts w:ascii="Arial" w:hAnsi="Arial" w:cs="Arial"/>
          <w:sz w:val="24"/>
          <w:szCs w:val="24"/>
        </w:rPr>
        <w:t xml:space="preserve">shaded regions indicate </w:t>
      </w:r>
      <w:r>
        <w:rPr>
          <w:rFonts w:ascii="Arial" w:hAnsi="Arial" w:cs="Arial"/>
          <w:sz w:val="24"/>
          <w:szCs w:val="24"/>
        </w:rPr>
        <w:t xml:space="preserve">the </w:t>
      </w:r>
      <w:r w:rsidRPr="008E0D0E">
        <w:rPr>
          <w:rFonts w:ascii="Arial" w:hAnsi="Arial" w:cs="Arial"/>
          <w:sz w:val="24"/>
          <w:szCs w:val="24"/>
        </w:rPr>
        <w:t>95% confidence interval.</w:t>
      </w:r>
    </w:p>
    <w:p w:rsidR="00C65BE2" w:rsidRDefault="00C65BE2" w:rsidP="00C65BE2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353350">
        <w:rPr>
          <w:rFonts w:ascii="Arial" w:hAnsi="Arial" w:cs="Arial"/>
          <w:b/>
          <w:sz w:val="24"/>
          <w:szCs w:val="24"/>
        </w:rPr>
        <w:t>Supplemental Figure 6.</w:t>
      </w:r>
      <w:proofErr w:type="gramEnd"/>
      <w:r>
        <w:rPr>
          <w:rFonts w:ascii="Arial" w:hAnsi="Arial" w:cs="Arial"/>
          <w:sz w:val="24"/>
          <w:szCs w:val="24"/>
        </w:rPr>
        <w:t xml:space="preserve">  Kaplan-Meier overall survival analysis for patients according to </w:t>
      </w:r>
      <w:proofErr w:type="spellStart"/>
      <w:r>
        <w:rPr>
          <w:rFonts w:ascii="Arial" w:hAnsi="Arial" w:cs="Arial"/>
          <w:sz w:val="24"/>
          <w:szCs w:val="24"/>
        </w:rPr>
        <w:t>histologic</w:t>
      </w:r>
      <w:proofErr w:type="spellEnd"/>
      <w:r>
        <w:rPr>
          <w:rFonts w:ascii="Arial" w:hAnsi="Arial" w:cs="Arial"/>
          <w:sz w:val="24"/>
          <w:szCs w:val="24"/>
        </w:rPr>
        <w:t xml:space="preserve"> subtype (</w:t>
      </w:r>
      <w:r w:rsidRPr="00353350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), PD-L1 </w:t>
      </w:r>
      <w:proofErr w:type="spellStart"/>
      <w:r>
        <w:rPr>
          <w:rFonts w:ascii="Arial" w:hAnsi="Arial" w:cs="Arial"/>
          <w:sz w:val="24"/>
          <w:szCs w:val="24"/>
        </w:rPr>
        <w:t>immunohistochemical</w:t>
      </w:r>
      <w:proofErr w:type="spellEnd"/>
      <w:r>
        <w:rPr>
          <w:rFonts w:ascii="Arial" w:hAnsi="Arial" w:cs="Arial"/>
          <w:sz w:val="24"/>
          <w:szCs w:val="24"/>
        </w:rPr>
        <w:t xml:space="preserve"> status (</w:t>
      </w:r>
      <w:r w:rsidRPr="00353350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), and CD3 infiltration as assessed by either flow cytometry (</w:t>
      </w:r>
      <w:r w:rsidRPr="00353350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) or immunohistochemistry (</w:t>
      </w:r>
      <w:r w:rsidRPr="00353350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).  In panels </w:t>
      </w:r>
      <w:r w:rsidRPr="00B64AA6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and </w:t>
      </w:r>
      <w:r w:rsidRPr="00B64AA6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, “low” and “high” CD3 status was defined as being below or above the median CD3 value, respectively.</w:t>
      </w:r>
    </w:p>
    <w:p w:rsidR="00C65BE2" w:rsidRDefault="00C65BE2">
      <w:r>
        <w:br w:type="page"/>
      </w:r>
    </w:p>
    <w:p w:rsidR="00D206C5" w:rsidRDefault="00D206C5" w:rsidP="00CA6A57">
      <w:pPr>
        <w:suppressLineNumber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SUPPLEMENTAL FIGURES</w:t>
      </w:r>
    </w:p>
    <w:p w:rsidR="00CA6A57" w:rsidRDefault="00CA6A57" w:rsidP="00CA6A57">
      <w:pPr>
        <w:suppressLineNumber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Supplemental Figure 1</w:t>
      </w:r>
    </w:p>
    <w:p w:rsidR="00CA6A57" w:rsidRDefault="00CA6A57" w:rsidP="00CA6A57">
      <w:pPr>
        <w:suppressLineNumber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698271" cy="2528742"/>
            <wp:effectExtent l="19050" t="0" r="6829" b="0"/>
            <wp:docPr id="3" name="Picture 12" descr="Revised Supplemental Figure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sed Supplemental Figure 3.tif"/>
                    <pic:cNvPicPr/>
                  </pic:nvPicPr>
                  <pic:blipFill>
                    <a:blip r:embed="rId6" cstate="print"/>
                    <a:srcRect l="9116" t="18955" r="45457" b="24345"/>
                    <a:stretch>
                      <a:fillRect/>
                    </a:stretch>
                  </pic:blipFill>
                  <pic:spPr>
                    <a:xfrm>
                      <a:off x="0" y="0"/>
                      <a:ext cx="2698271" cy="252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A57" w:rsidRDefault="00CA6A57" w:rsidP="00CA6A57">
      <w:pPr>
        <w:suppressLineNumbers/>
        <w:rPr>
          <w:rFonts w:ascii="Arial" w:hAnsi="Arial" w:cs="Arial"/>
          <w:b/>
          <w:sz w:val="24"/>
          <w:szCs w:val="24"/>
        </w:rPr>
      </w:pPr>
    </w:p>
    <w:p w:rsidR="00CA6A57" w:rsidRDefault="00CA6A57" w:rsidP="00CA6A57">
      <w:pPr>
        <w:suppressLineNumber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Supplemental Figure 2</w:t>
      </w:r>
    </w:p>
    <w:p w:rsidR="00CA6A57" w:rsidRDefault="00CA6A57" w:rsidP="00CA6A57">
      <w:pPr>
        <w:suppressLineNumber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164097" cy="2856788"/>
            <wp:effectExtent l="19050" t="0" r="0" b="0"/>
            <wp:docPr id="4" name="Picture 11" descr="Revised Supplemental Figu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sed Supplemental Figure 2.tif"/>
                    <pic:cNvPicPr/>
                  </pic:nvPicPr>
                  <pic:blipFill>
                    <a:blip r:embed="rId7" cstate="print"/>
                    <a:srcRect l="4616" t="10832" r="42113" b="25113"/>
                    <a:stretch>
                      <a:fillRect/>
                    </a:stretch>
                  </pic:blipFill>
                  <pic:spPr>
                    <a:xfrm>
                      <a:off x="0" y="0"/>
                      <a:ext cx="3164097" cy="285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A57" w:rsidRDefault="00CA6A57" w:rsidP="00CA6A57">
      <w:pPr>
        <w:suppressLineNumbers/>
        <w:rPr>
          <w:rFonts w:ascii="Arial" w:hAnsi="Arial" w:cs="Arial"/>
          <w:b/>
          <w:sz w:val="24"/>
          <w:szCs w:val="24"/>
        </w:rPr>
      </w:pPr>
    </w:p>
    <w:p w:rsidR="00CA6A57" w:rsidRDefault="00CA6A57" w:rsidP="00CA6A57">
      <w:pPr>
        <w:suppressLineNumbers/>
        <w:rPr>
          <w:rFonts w:ascii="Arial" w:hAnsi="Arial" w:cs="Arial"/>
          <w:b/>
          <w:sz w:val="24"/>
          <w:szCs w:val="24"/>
        </w:rPr>
      </w:pPr>
    </w:p>
    <w:p w:rsidR="00CA6A57" w:rsidRDefault="00CA6A57" w:rsidP="00CA6A57">
      <w:pPr>
        <w:suppressLineNumbers/>
        <w:rPr>
          <w:rFonts w:ascii="Arial" w:hAnsi="Arial" w:cs="Arial"/>
          <w:b/>
          <w:sz w:val="24"/>
          <w:szCs w:val="24"/>
        </w:rPr>
      </w:pPr>
    </w:p>
    <w:p w:rsidR="00CA6A57" w:rsidRDefault="00CA6A57" w:rsidP="00CA6A57">
      <w:pPr>
        <w:suppressLineNumbers/>
        <w:rPr>
          <w:rFonts w:ascii="Arial" w:hAnsi="Arial" w:cs="Arial"/>
          <w:b/>
          <w:sz w:val="24"/>
          <w:szCs w:val="24"/>
        </w:rPr>
      </w:pPr>
    </w:p>
    <w:p w:rsidR="00CA6A57" w:rsidRDefault="00CA6A57" w:rsidP="00CA6A57">
      <w:pPr>
        <w:suppressLineNumbers/>
        <w:rPr>
          <w:rFonts w:ascii="Arial" w:hAnsi="Arial" w:cs="Arial"/>
          <w:b/>
          <w:sz w:val="24"/>
          <w:szCs w:val="24"/>
        </w:rPr>
      </w:pPr>
    </w:p>
    <w:p w:rsidR="00C65BE2" w:rsidRDefault="00CA6A57" w:rsidP="00CA6A57">
      <w:pPr>
        <w:suppressLineNumber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Supplemental Figure 3</w:t>
      </w:r>
    </w:p>
    <w:p w:rsidR="00C65BE2" w:rsidRDefault="00C65BE2" w:rsidP="00C65BE2">
      <w:pPr>
        <w:suppressLineNumber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531360" cy="2967487"/>
            <wp:effectExtent l="19050" t="0" r="2540" b="0"/>
            <wp:docPr id="9" name="Picture 8" descr="Revised Supplemental 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sed Supplemental Figure 1.tif"/>
                    <pic:cNvPicPr/>
                  </pic:nvPicPr>
                  <pic:blipFill>
                    <a:blip r:embed="rId8" cstate="print"/>
                    <a:srcRect l="2583" t="12573" r="21211" b="20890"/>
                    <a:stretch>
                      <a:fillRect/>
                    </a:stretch>
                  </pic:blipFill>
                  <pic:spPr>
                    <a:xfrm>
                      <a:off x="0" y="0"/>
                      <a:ext cx="4531360" cy="296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BE2" w:rsidRDefault="00C65BE2" w:rsidP="00C65BE2">
      <w:pPr>
        <w:suppressLineNumbers/>
        <w:rPr>
          <w:rFonts w:ascii="Arial" w:hAnsi="Arial" w:cs="Arial"/>
          <w:b/>
          <w:sz w:val="24"/>
          <w:szCs w:val="24"/>
        </w:rPr>
      </w:pPr>
    </w:p>
    <w:p w:rsidR="00C65BE2" w:rsidRDefault="00C65BE2" w:rsidP="00C65BE2">
      <w:pPr>
        <w:suppressLineNumber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Supplemental Figure 4</w:t>
      </w:r>
    </w:p>
    <w:p w:rsidR="00C65BE2" w:rsidRDefault="00C65BE2" w:rsidP="00C65BE2">
      <w:pPr>
        <w:suppressLineNumber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070535" cy="3008664"/>
            <wp:effectExtent l="19050" t="0" r="0" b="0"/>
            <wp:docPr id="19" name="Picture 18" descr="Revised Supplemental Figure 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sed Supplemental Figure 4.tif"/>
                    <pic:cNvPicPr/>
                  </pic:nvPicPr>
                  <pic:blipFill>
                    <a:blip r:embed="rId9" cstate="print"/>
                    <a:srcRect l="3454" t="14507" r="19170" b="24345"/>
                    <a:stretch>
                      <a:fillRect/>
                    </a:stretch>
                  </pic:blipFill>
                  <pic:spPr>
                    <a:xfrm>
                      <a:off x="0" y="0"/>
                      <a:ext cx="5072756" cy="300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br w:type="page"/>
      </w:r>
    </w:p>
    <w:p w:rsidR="00C65BE2" w:rsidRDefault="00C65BE2" w:rsidP="00C65BE2">
      <w:pPr>
        <w:suppressLineNumbers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Supplemental Figure 5</w:t>
      </w:r>
    </w:p>
    <w:p w:rsidR="00C65BE2" w:rsidRDefault="00C65BE2" w:rsidP="00C65BE2">
      <w:pPr>
        <w:suppressLineNumber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5BE2" w:rsidRDefault="00C65BE2" w:rsidP="00C65BE2">
      <w:pPr>
        <w:suppressLineNumber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955763" cy="3640347"/>
            <wp:effectExtent l="19050" t="0" r="6887" b="0"/>
            <wp:docPr id="20" name="Picture 19" descr="Revised Supplemental Figure 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sed Supplemental Figure 5.tif"/>
                    <pic:cNvPicPr/>
                  </pic:nvPicPr>
                  <pic:blipFill>
                    <a:blip r:embed="rId10" cstate="print"/>
                    <a:srcRect t="4439" r="13048"/>
                    <a:stretch>
                      <a:fillRect/>
                    </a:stretch>
                  </pic:blipFill>
                  <pic:spPr>
                    <a:xfrm>
                      <a:off x="0" y="0"/>
                      <a:ext cx="5955763" cy="364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br w:type="page"/>
      </w:r>
    </w:p>
    <w:p w:rsidR="00C65BE2" w:rsidRDefault="00C65BE2" w:rsidP="00C65BE2">
      <w:pPr>
        <w:suppressLineNumbers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Supplemental Figure 6</w:t>
      </w:r>
    </w:p>
    <w:p w:rsidR="00C65BE2" w:rsidRDefault="00C65BE2" w:rsidP="00C65BE2">
      <w:pPr>
        <w:suppressLineNumber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5BE2" w:rsidRDefault="00C65BE2" w:rsidP="00C65BE2">
      <w:pPr>
        <w:suppressLineNumber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769275" cy="4598443"/>
            <wp:effectExtent l="19050" t="0" r="2875" b="0"/>
            <wp:docPr id="2" name="Picture 0" descr="Revised Supplemental Figure 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sed Supplemental Figure 6.tif"/>
                    <pic:cNvPicPr/>
                  </pic:nvPicPr>
                  <pic:blipFill>
                    <a:blip r:embed="rId11" cstate="print"/>
                    <a:srcRect l="7084" t="5803" r="5543" b="1354"/>
                    <a:stretch>
                      <a:fillRect/>
                    </a:stretch>
                  </pic:blipFill>
                  <pic:spPr>
                    <a:xfrm>
                      <a:off x="0" y="0"/>
                      <a:ext cx="5769395" cy="4598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EFA" w:rsidRPr="00C65BE2" w:rsidRDefault="00067EFA">
      <w:pPr>
        <w:rPr>
          <w:rFonts w:ascii="Arial" w:hAnsi="Arial" w:cs="Arial"/>
          <w:b/>
          <w:sz w:val="24"/>
          <w:szCs w:val="24"/>
        </w:rPr>
      </w:pPr>
    </w:p>
    <w:sectPr w:rsidR="00067EFA" w:rsidRPr="00C65BE2" w:rsidSect="00067EF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1E6" w:rsidRDefault="007F31E6" w:rsidP="00C65BE2">
      <w:pPr>
        <w:spacing w:after="0" w:line="240" w:lineRule="auto"/>
      </w:pPr>
      <w:r>
        <w:separator/>
      </w:r>
    </w:p>
  </w:endnote>
  <w:endnote w:type="continuationSeparator" w:id="0">
    <w:p w:rsidR="007F31E6" w:rsidRDefault="007F31E6" w:rsidP="00C6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57533"/>
      <w:docPartObj>
        <w:docPartGallery w:val="Page Numbers (Bottom of Page)"/>
        <w:docPartUnique/>
      </w:docPartObj>
    </w:sdtPr>
    <w:sdtContent>
      <w:p w:rsidR="007F31E6" w:rsidRDefault="00822577">
        <w:pPr>
          <w:pStyle w:val="Footer"/>
          <w:jc w:val="center"/>
        </w:pPr>
        <w:fldSimple w:instr=" PAGE   \* MERGEFORMAT ">
          <w:r w:rsidR="00D206C5">
            <w:rPr>
              <w:noProof/>
            </w:rPr>
            <w:t>6</w:t>
          </w:r>
        </w:fldSimple>
      </w:p>
    </w:sdtContent>
  </w:sdt>
  <w:p w:rsidR="007F31E6" w:rsidRDefault="007F31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1E6" w:rsidRDefault="007F31E6" w:rsidP="00C65BE2">
      <w:pPr>
        <w:spacing w:after="0" w:line="240" w:lineRule="auto"/>
      </w:pPr>
      <w:r>
        <w:separator/>
      </w:r>
    </w:p>
  </w:footnote>
  <w:footnote w:type="continuationSeparator" w:id="0">
    <w:p w:rsidR="007F31E6" w:rsidRDefault="007F31E6" w:rsidP="00C65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Cancer Resear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C65BE2"/>
    <w:rsid w:val="00067EFA"/>
    <w:rsid w:val="00102FCE"/>
    <w:rsid w:val="003064BF"/>
    <w:rsid w:val="00675524"/>
    <w:rsid w:val="007F31E6"/>
    <w:rsid w:val="00822577"/>
    <w:rsid w:val="00900CA6"/>
    <w:rsid w:val="00A43AA1"/>
    <w:rsid w:val="00C65BE2"/>
    <w:rsid w:val="00CA6A57"/>
    <w:rsid w:val="00CE6E45"/>
    <w:rsid w:val="00D206C5"/>
    <w:rsid w:val="00E1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5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5BE2"/>
  </w:style>
  <w:style w:type="paragraph" w:styleId="Footer">
    <w:name w:val="footer"/>
    <w:basedOn w:val="Normal"/>
    <w:link w:val="FooterChar"/>
    <w:uiPriority w:val="99"/>
    <w:unhideWhenUsed/>
    <w:rsid w:val="00C65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BE2"/>
  </w:style>
  <w:style w:type="character" w:styleId="Hyperlink">
    <w:name w:val="Hyperlink"/>
    <w:basedOn w:val="DefaultParagraphFont"/>
    <w:uiPriority w:val="99"/>
    <w:unhideWhenUsed/>
    <w:rsid w:val="003064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tiff"/><Relationship Id="rId5" Type="http://schemas.openxmlformats.org/officeDocument/2006/relationships/endnotes" Target="endnotes.xml"/><Relationship Id="rId10" Type="http://schemas.openxmlformats.org/officeDocument/2006/relationships/image" Target="media/image5.tiff"/><Relationship Id="rId4" Type="http://schemas.openxmlformats.org/officeDocument/2006/relationships/footnotes" Target="footnotes.xml"/><Relationship Id="rId9" Type="http://schemas.openxmlformats.org/officeDocument/2006/relationships/image" Target="media/image4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2</cp:revision>
  <dcterms:created xsi:type="dcterms:W3CDTF">2016-07-20T16:26:00Z</dcterms:created>
  <dcterms:modified xsi:type="dcterms:W3CDTF">2016-07-20T16:26:00Z</dcterms:modified>
</cp:coreProperties>
</file>