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68" w:rsidRDefault="00B874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1890"/>
        <w:gridCol w:w="1890"/>
        <w:gridCol w:w="1080"/>
      </w:tblGrid>
      <w:tr w:rsidR="00982714" w:rsidRPr="00394867" w:rsidTr="007B22B5">
        <w:tc>
          <w:tcPr>
            <w:tcW w:w="9378" w:type="dxa"/>
            <w:gridSpan w:val="4"/>
            <w:tcBorders>
              <w:bottom w:val="single" w:sz="4" w:space="0" w:color="auto"/>
            </w:tcBorders>
          </w:tcPr>
          <w:p w:rsidR="00982714" w:rsidRPr="007B22B5" w:rsidRDefault="00F50E82" w:rsidP="00F50E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2B5">
              <w:rPr>
                <w:rFonts w:ascii="Arial" w:hAnsi="Arial" w:cs="Arial"/>
                <w:b/>
                <w:sz w:val="20"/>
                <w:szCs w:val="20"/>
              </w:rPr>
              <w:t xml:space="preserve">Supplementary </w:t>
            </w:r>
            <w:r w:rsidR="00982714" w:rsidRPr="007B22B5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 w:rsidRPr="007B22B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82714" w:rsidRPr="007B22B5">
              <w:rPr>
                <w:rFonts w:ascii="Arial" w:hAnsi="Arial" w:cs="Arial"/>
                <w:b/>
                <w:sz w:val="20"/>
                <w:szCs w:val="20"/>
              </w:rPr>
              <w:t>: Results for samples obtained ≤12 months prior to therapy (“optimal”) vs. those obtained &gt;12 months from treatment or shortly after starting therapy (“non-optimal”)</w:t>
            </w:r>
          </w:p>
        </w:tc>
      </w:tr>
      <w:tr w:rsidR="00982714" w:rsidRPr="00394867" w:rsidTr="007B22B5"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714" w:rsidRPr="007B22B5" w:rsidRDefault="00982714" w:rsidP="007B2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2B5">
              <w:rPr>
                <w:rFonts w:ascii="Arial" w:hAnsi="Arial" w:cs="Arial"/>
                <w:b/>
                <w:sz w:val="20"/>
                <w:szCs w:val="20"/>
              </w:rPr>
              <w:t>Optimal samples (n = 43)</w:t>
            </w:r>
          </w:p>
        </w:tc>
      </w:tr>
      <w:tr w:rsidR="00982714" w:rsidRPr="00394867" w:rsidTr="007B22B5">
        <w:tc>
          <w:tcPr>
            <w:tcW w:w="45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Responders</w:t>
            </w:r>
          </w:p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n = 21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Non-responders</w:t>
            </w:r>
          </w:p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n = 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p-value</w:t>
            </w:r>
          </w:p>
        </w:tc>
      </w:tr>
      <w:tr w:rsidR="00982714" w:rsidRPr="00394867" w:rsidTr="007B22B5">
        <w:tc>
          <w:tcPr>
            <w:tcW w:w="4518" w:type="dxa"/>
            <w:tcBorders>
              <w:bottom w:val="single" w:sz="4" w:space="0" w:color="auto"/>
            </w:tcBorders>
          </w:tcPr>
          <w:p w:rsidR="00982714" w:rsidRPr="007B22B5" w:rsidRDefault="00982714" w:rsidP="004A62AE">
            <w:pPr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Mutational load (mutations/MB)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43.5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982714" w:rsidRPr="00394867" w:rsidTr="007B22B5">
        <w:tc>
          <w:tcPr>
            <w:tcW w:w="93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714" w:rsidRPr="007B22B5" w:rsidRDefault="00982714" w:rsidP="007B2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2B5">
              <w:rPr>
                <w:rFonts w:ascii="Arial" w:hAnsi="Arial" w:cs="Arial"/>
                <w:b/>
                <w:sz w:val="20"/>
                <w:szCs w:val="20"/>
              </w:rPr>
              <w:t>Non-optimal samples (n = 22)</w:t>
            </w:r>
          </w:p>
        </w:tc>
      </w:tr>
      <w:tr w:rsidR="00982714" w:rsidRPr="00394867" w:rsidTr="007B22B5">
        <w:tc>
          <w:tcPr>
            <w:tcW w:w="45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Responders</w:t>
            </w:r>
          </w:p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n = 11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Non-responders</w:t>
            </w:r>
          </w:p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n = 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22B5">
              <w:rPr>
                <w:rFonts w:ascii="Arial" w:hAnsi="Arial" w:cs="Arial"/>
                <w:i/>
                <w:sz w:val="20"/>
                <w:szCs w:val="20"/>
              </w:rPr>
              <w:t>p-value</w:t>
            </w:r>
          </w:p>
        </w:tc>
      </w:tr>
      <w:tr w:rsidR="00982714" w:rsidRPr="00394867" w:rsidTr="007B22B5">
        <w:tc>
          <w:tcPr>
            <w:tcW w:w="4518" w:type="dxa"/>
          </w:tcPr>
          <w:p w:rsidR="00982714" w:rsidRPr="007B22B5" w:rsidRDefault="00982714" w:rsidP="004A62AE">
            <w:pPr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Mutational load (mutations/MB)</w:t>
            </w:r>
          </w:p>
        </w:tc>
        <w:tc>
          <w:tcPr>
            <w:tcW w:w="1890" w:type="dxa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890" w:type="dxa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080" w:type="dxa"/>
            <w:vAlign w:val="center"/>
          </w:tcPr>
          <w:p w:rsidR="00982714" w:rsidRPr="007B22B5" w:rsidRDefault="00982714" w:rsidP="004A62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2B5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</w:tr>
    </w:tbl>
    <w:p w:rsidR="00982714" w:rsidRDefault="00982714"/>
    <w:p w:rsidR="007B22B5" w:rsidRDefault="007B22B5"/>
    <w:p w:rsidR="007B22B5" w:rsidRDefault="007B22B5"/>
    <w:p w:rsidR="007B22B5" w:rsidRP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7B22B5">
        <w:rPr>
          <w:rFonts w:ascii="Arial" w:eastAsia="Calibri" w:hAnsi="Arial" w:cs="Arial"/>
          <w:b/>
          <w:sz w:val="20"/>
          <w:szCs w:val="20"/>
        </w:rPr>
        <w:t>Supplementary Table 2: Cox proportional hazards model of OS adjusting for baseline variables</w:t>
      </w:r>
    </w:p>
    <w:tbl>
      <w:tblPr>
        <w:tblStyle w:val="PlainTable3"/>
        <w:tblW w:w="9810" w:type="dxa"/>
        <w:tblLook w:val="04A0" w:firstRow="1" w:lastRow="0" w:firstColumn="1" w:lastColumn="0" w:noHBand="0" w:noVBand="1"/>
      </w:tblPr>
      <w:tblGrid>
        <w:gridCol w:w="1072"/>
        <w:gridCol w:w="2374"/>
        <w:gridCol w:w="1550"/>
        <w:gridCol w:w="1339"/>
        <w:gridCol w:w="1078"/>
        <w:gridCol w:w="978"/>
        <w:gridCol w:w="1419"/>
      </w:tblGrid>
      <w:tr w:rsidR="007B22B5" w:rsidRPr="007B22B5" w:rsidTr="00F2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6" w:type="dxa"/>
            <w:gridSpan w:val="2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Variable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Coefficient</w:t>
            </w:r>
          </w:p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β</m:t>
              </m:r>
            </m:oMath>
            <w:r w:rsidRPr="007B22B5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Standard</w:t>
            </w:r>
          </w:p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Error (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β</m:t>
              </m:r>
            </m:oMath>
            <w:r w:rsidRPr="007B22B5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P value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HR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95% CI 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Mutational Load Group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Intermediate vs. Low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-0.22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0.48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0.64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0.80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(0.31, 2.0)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High vs. Low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-2.39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0.65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0.0002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0.09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(0.02, 0.32)</w:t>
            </w: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Age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-0.01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0.02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0.54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0.99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(0.95, 1.0)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M vs. F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0.49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0.48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0.30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1.64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(0.64, 4.2)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Stage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B22B5">
              <w:rPr>
                <w:rFonts w:ascii="Arial" w:eastAsia="Calibri" w:hAnsi="Arial" w:cs="Arial"/>
                <w:sz w:val="20"/>
                <w:szCs w:val="20"/>
              </w:rPr>
              <w:t>IVc</w:t>
            </w:r>
            <w:proofErr w:type="spellEnd"/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 vs. IIIC - </w:t>
            </w:r>
            <w:proofErr w:type="spellStart"/>
            <w:r w:rsidRPr="007B22B5">
              <w:rPr>
                <w:rFonts w:ascii="Arial" w:eastAsia="Calibri" w:hAnsi="Arial" w:cs="Arial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0.29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0.64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0.65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1.33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(0.38, 4.67)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Prior ipilimumab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bCs/>
                <w:sz w:val="20"/>
                <w:szCs w:val="20"/>
              </w:rPr>
              <w:t>Yes vs. No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1.35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0.47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0.004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3.85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(1.53, 9.69)</w:t>
            </w:r>
          </w:p>
        </w:tc>
      </w:tr>
    </w:tbl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P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B22B5" w:rsidRP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0"/>
          <w:szCs w:val="24"/>
        </w:rPr>
      </w:pPr>
      <w:r w:rsidRPr="007B22B5">
        <w:rPr>
          <w:rFonts w:ascii="Arial" w:eastAsia="Calibri" w:hAnsi="Arial" w:cs="Arial"/>
          <w:b/>
          <w:sz w:val="20"/>
          <w:szCs w:val="24"/>
        </w:rPr>
        <w:lastRenderedPageBreak/>
        <w:t>Supplementary Table 3: Cox proportional hazards model of PFS adjusting for baseline variables</w:t>
      </w:r>
    </w:p>
    <w:tbl>
      <w:tblPr>
        <w:tblStyle w:val="PlainTable3"/>
        <w:tblW w:w="9810" w:type="dxa"/>
        <w:tblLook w:val="04A0" w:firstRow="1" w:lastRow="0" w:firstColumn="1" w:lastColumn="0" w:noHBand="0" w:noVBand="1"/>
      </w:tblPr>
      <w:tblGrid>
        <w:gridCol w:w="1072"/>
        <w:gridCol w:w="2374"/>
        <w:gridCol w:w="1550"/>
        <w:gridCol w:w="1339"/>
        <w:gridCol w:w="1078"/>
        <w:gridCol w:w="978"/>
        <w:gridCol w:w="1419"/>
      </w:tblGrid>
      <w:tr w:rsidR="007B22B5" w:rsidRPr="007B22B5" w:rsidTr="00F2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46" w:type="dxa"/>
            <w:gridSpan w:val="2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Variable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Coefficient</w:t>
            </w:r>
          </w:p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β</m:t>
              </m:r>
            </m:oMath>
            <w:r w:rsidRPr="007B22B5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Standard</w:t>
            </w:r>
          </w:p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Error (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Arial"/>
                  <w:sz w:val="20"/>
                  <w:szCs w:val="20"/>
                </w:rPr>
                <m:t>β</m:t>
              </m:r>
            </m:oMath>
            <w:r w:rsidRPr="007B22B5">
              <w:rPr>
                <w:rFonts w:ascii="Arial" w:eastAsia="SimSun" w:hAnsi="Arial" w:cs="Arial"/>
                <w:sz w:val="20"/>
                <w:szCs w:val="20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P value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HR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95% CI 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Mutational Load Group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Intermediate vs. Low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-0.10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0.40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0.80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0.90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(0.41, 1.99)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High vs. Low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-2.00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0.48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&lt;0.0001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0.14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(0.05, 0.35)</w:t>
            </w: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Age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0.0002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0.01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0.99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1.0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(0.97, 1.0)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Gender</w:t>
            </w: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M vs. F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-0.20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0.34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0.54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0.81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(0.42, 1.58)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Stage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B22B5">
              <w:rPr>
                <w:rFonts w:ascii="Arial" w:eastAsia="Calibri" w:hAnsi="Arial" w:cs="Arial"/>
                <w:sz w:val="20"/>
                <w:szCs w:val="20"/>
              </w:rPr>
              <w:t>IVc</w:t>
            </w:r>
            <w:proofErr w:type="spellEnd"/>
            <w:r w:rsidRPr="007B22B5">
              <w:rPr>
                <w:rFonts w:ascii="Arial" w:eastAsia="Calibri" w:hAnsi="Arial" w:cs="Arial"/>
                <w:sz w:val="20"/>
                <w:szCs w:val="20"/>
              </w:rPr>
              <w:t xml:space="preserve"> vs. IIIC - </w:t>
            </w:r>
            <w:proofErr w:type="spellStart"/>
            <w:r w:rsidRPr="007B22B5">
              <w:rPr>
                <w:rFonts w:ascii="Arial" w:eastAsia="Calibri" w:hAnsi="Arial" w:cs="Arial"/>
                <w:sz w:val="20"/>
                <w:szCs w:val="20"/>
              </w:rPr>
              <w:t>IVb</w:t>
            </w:r>
            <w:proofErr w:type="spellEnd"/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-0.10</w:t>
            </w: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0.44</w:t>
            </w: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0.82</w:t>
            </w: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0.90</w:t>
            </w: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(0.38, 2.16)</w:t>
            </w:r>
          </w:p>
        </w:tc>
      </w:tr>
      <w:tr w:rsidR="007B22B5" w:rsidRPr="007B22B5" w:rsidTr="00F2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gridSpan w:val="2"/>
            <w:tcBorders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Prior ipilimumab</w:t>
            </w:r>
          </w:p>
        </w:tc>
        <w:tc>
          <w:tcPr>
            <w:tcW w:w="1550" w:type="dxa"/>
            <w:tcBorders>
              <w:left w:val="nil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3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B22B5" w:rsidRPr="007B22B5" w:rsidTr="00F24F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bottom w:val="single" w:sz="4" w:space="0" w:color="auto"/>
              <w:right w:val="none" w:sz="0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nil"/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bCs/>
                <w:sz w:val="20"/>
                <w:szCs w:val="20"/>
              </w:rPr>
              <w:t>Yes vs. No</w:t>
            </w:r>
          </w:p>
        </w:tc>
        <w:tc>
          <w:tcPr>
            <w:tcW w:w="1550" w:type="dxa"/>
            <w:tcBorders>
              <w:left w:val="nil"/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0.35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0.56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1.23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B22B5" w:rsidRPr="007B22B5" w:rsidRDefault="007B22B5" w:rsidP="007B22B5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  <w:r w:rsidRPr="007B22B5">
              <w:rPr>
                <w:rFonts w:ascii="Arial" w:eastAsia="Calibri" w:hAnsi="Arial" w:cs="Arial"/>
                <w:sz w:val="20"/>
                <w:szCs w:val="20"/>
              </w:rPr>
              <w:t>(0.62, 2.44)</w:t>
            </w:r>
          </w:p>
        </w:tc>
      </w:tr>
    </w:tbl>
    <w:p w:rsidR="007B22B5" w:rsidRPr="007B22B5" w:rsidRDefault="007B22B5" w:rsidP="007B22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982714" w:rsidRDefault="00982714"/>
    <w:p w:rsidR="00B87468" w:rsidRDefault="00B87468">
      <w:pPr>
        <w:rPr>
          <w:rFonts w:ascii="Times New Roman" w:hAnsi="Times New Roman" w:cs="Times New Roman"/>
          <w:b/>
          <w:sz w:val="24"/>
          <w:szCs w:val="24"/>
        </w:rPr>
      </w:pPr>
    </w:p>
    <w:p w:rsidR="00B87468" w:rsidRDefault="00B87468">
      <w:pPr>
        <w:rPr>
          <w:rFonts w:ascii="Times New Roman" w:hAnsi="Times New Roman" w:cs="Times New Roman"/>
          <w:b/>
          <w:sz w:val="24"/>
          <w:szCs w:val="24"/>
        </w:rPr>
      </w:pPr>
    </w:p>
    <w:p w:rsidR="00B87468" w:rsidRDefault="00B87468">
      <w:pPr>
        <w:rPr>
          <w:rFonts w:ascii="Times New Roman" w:hAnsi="Times New Roman" w:cs="Times New Roman"/>
          <w:b/>
          <w:sz w:val="24"/>
          <w:szCs w:val="24"/>
        </w:rPr>
      </w:pPr>
    </w:p>
    <w:p w:rsidR="00982714" w:rsidRPr="00B87468" w:rsidRDefault="00B874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468">
        <w:rPr>
          <w:rFonts w:ascii="Times New Roman" w:hAnsi="Times New Roman" w:cs="Times New Roman"/>
          <w:b/>
          <w:sz w:val="24"/>
          <w:szCs w:val="24"/>
          <w:u w:val="single"/>
        </w:rPr>
        <w:t xml:space="preserve">Supplemental </w:t>
      </w:r>
      <w:r w:rsidR="00982714" w:rsidRPr="00B87468">
        <w:rPr>
          <w:rFonts w:ascii="Times New Roman" w:hAnsi="Times New Roman" w:cs="Times New Roman"/>
          <w:b/>
          <w:sz w:val="24"/>
          <w:szCs w:val="24"/>
          <w:u w:val="single"/>
        </w:rPr>
        <w:t>Figure</w:t>
      </w:r>
      <w:r w:rsidRPr="00B87468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82714" w:rsidRPr="00B87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87468" w:rsidRDefault="00185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45944D9">
            <wp:extent cx="8515350" cy="40405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169" cy="4039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8" w:rsidRPr="00982714" w:rsidRDefault="00B87468">
      <w:pPr>
        <w:rPr>
          <w:rFonts w:ascii="Times New Roman" w:hAnsi="Times New Roman" w:cs="Times New Roman"/>
          <w:b/>
          <w:sz w:val="24"/>
          <w:szCs w:val="24"/>
        </w:rPr>
      </w:pPr>
    </w:p>
    <w:p w:rsidR="00982714" w:rsidRPr="00982714" w:rsidRDefault="00982714" w:rsidP="0098271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82714">
        <w:rPr>
          <w:rFonts w:ascii="Times New Roman" w:eastAsia="Calibri" w:hAnsi="Times New Roman" w:cs="Times New Roman"/>
          <w:b/>
          <w:sz w:val="24"/>
          <w:szCs w:val="24"/>
        </w:rPr>
        <w:t>Figure S1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: (A) Performance of mutational load across a range of potential thresholds.  Vertical bars indicate the thresholds selected based on local performance maxima and clinical relevance.  (B) Receiver Operating Curve (ROC) for mutational loads cutoffs of 3·3 mutations/MB (low mutational load group) and 23·1 mutations/MB (high mutational load group). </w:t>
      </w:r>
    </w:p>
    <w:p w:rsidR="00982714" w:rsidRPr="00982714" w:rsidRDefault="00185A94" w:rsidP="0098271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D9F506F">
            <wp:extent cx="8353020" cy="61349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245" cy="6134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8" w:rsidRPr="00F50E82" w:rsidRDefault="00982714" w:rsidP="0098271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982714">
        <w:rPr>
          <w:rFonts w:ascii="Times New Roman" w:eastAsia="Calibri" w:hAnsi="Times New Roman" w:cs="Times New Roman"/>
          <w:b/>
          <w:sz w:val="24"/>
          <w:szCs w:val="24"/>
        </w:rPr>
        <w:t xml:space="preserve">Figure S2: </w:t>
      </w:r>
      <w:r w:rsidRPr="00982714">
        <w:rPr>
          <w:rFonts w:ascii="Times New Roman" w:eastAsia="Calibri" w:hAnsi="Times New Roman" w:cs="Times New Roman"/>
          <w:sz w:val="24"/>
          <w:szCs w:val="24"/>
        </w:rPr>
        <w:t>(A) Mutational load in tumors with cutaneous/unknown primaries in responders vs. non-responders. (B) Mutational load in tumors with non-cutaneous primaries (</w:t>
      </w:r>
      <w:proofErr w:type="spellStart"/>
      <w:r w:rsidRPr="00982714">
        <w:rPr>
          <w:rFonts w:ascii="Times New Roman" w:eastAsia="Calibri" w:hAnsi="Times New Roman" w:cs="Times New Roman"/>
          <w:sz w:val="24"/>
          <w:szCs w:val="24"/>
        </w:rPr>
        <w:t>acral</w:t>
      </w:r>
      <w:proofErr w:type="spellEnd"/>
      <w:r w:rsidRPr="00982714">
        <w:rPr>
          <w:rFonts w:ascii="Times New Roman" w:eastAsia="Calibri" w:hAnsi="Times New Roman" w:cs="Times New Roman"/>
          <w:sz w:val="24"/>
          <w:szCs w:val="24"/>
        </w:rPr>
        <w:t>, mucosal, uveal) in responders vs. non-responders.</w:t>
      </w:r>
      <w:r w:rsidRPr="0098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14">
        <w:rPr>
          <w:rFonts w:ascii="Times New Roman" w:eastAsia="Calibri" w:hAnsi="Times New Roman" w:cs="Times New Roman"/>
          <w:sz w:val="24"/>
          <w:szCs w:val="24"/>
        </w:rPr>
        <w:t>(C)</w:t>
      </w:r>
      <w:r w:rsidRPr="0098271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Gene amplifications and deletions in responders vs. non-responders. </w:t>
      </w:r>
    </w:p>
    <w:p w:rsidR="00B87468" w:rsidRDefault="00F50E82" w:rsidP="0098271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2DBEDFF">
            <wp:extent cx="7643159" cy="561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987" cy="561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468" w:rsidRPr="00982714" w:rsidRDefault="00B87468" w:rsidP="0098271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982714" w:rsidRPr="00982714" w:rsidRDefault="00982714" w:rsidP="0098271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82714">
        <w:rPr>
          <w:rFonts w:ascii="Times New Roman" w:eastAsia="Calibri" w:hAnsi="Times New Roman" w:cs="Times New Roman"/>
          <w:b/>
          <w:sz w:val="24"/>
          <w:szCs w:val="24"/>
        </w:rPr>
        <w:t>Figure S</w:t>
      </w:r>
      <w:r w:rsidR="00F50E8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: (A) </w:t>
      </w:r>
      <w:r w:rsidRPr="00982714">
        <w:rPr>
          <w:rFonts w:ascii="Times New Roman" w:eastAsia="Calibri" w:hAnsi="Times New Roman" w:cs="Times New Roman"/>
          <w:i/>
          <w:sz w:val="24"/>
          <w:szCs w:val="24"/>
        </w:rPr>
        <w:t>LRP1B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 mutations/variants of unknown significance in responders vs. non-responders. (B) Total number of mutations among melanomas with and without </w:t>
      </w:r>
      <w:r w:rsidRPr="00982714">
        <w:rPr>
          <w:rFonts w:ascii="Times New Roman" w:eastAsia="Calibri" w:hAnsi="Times New Roman" w:cs="Times New Roman"/>
          <w:i/>
          <w:sz w:val="24"/>
          <w:szCs w:val="24"/>
        </w:rPr>
        <w:t>LRP1B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 mutations. (C) Association between number of </w:t>
      </w:r>
      <w:r w:rsidRPr="00982714">
        <w:rPr>
          <w:rFonts w:ascii="Times New Roman" w:eastAsia="Calibri" w:hAnsi="Times New Roman" w:cs="Times New Roman"/>
          <w:i/>
          <w:sz w:val="24"/>
          <w:szCs w:val="24"/>
        </w:rPr>
        <w:t>LRP1B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 mutations and total mutations in the melanoma TCGA (The Cancer Genome Atlas).</w:t>
      </w:r>
    </w:p>
    <w:p w:rsidR="00982714" w:rsidRPr="00982714" w:rsidRDefault="00982714" w:rsidP="0098271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B87468" w:rsidRDefault="00F50E82" w:rsidP="00982714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84CDCB0">
            <wp:extent cx="8420012" cy="6096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204" cy="609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714" w:rsidRDefault="00982714" w:rsidP="00185A9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982714">
        <w:rPr>
          <w:rFonts w:ascii="Times New Roman" w:eastAsia="Calibri" w:hAnsi="Times New Roman" w:cs="Times New Roman"/>
          <w:b/>
          <w:sz w:val="24"/>
          <w:szCs w:val="24"/>
        </w:rPr>
        <w:t>Figure S</w:t>
      </w:r>
      <w:r w:rsidR="00F50E8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: (A) T cell receptor (TCR) </w:t>
      </w:r>
      <w:proofErr w:type="spellStart"/>
      <w:r w:rsidRPr="00982714">
        <w:rPr>
          <w:rFonts w:ascii="Times New Roman" w:eastAsia="Calibri" w:hAnsi="Times New Roman" w:cs="Times New Roman"/>
          <w:sz w:val="24"/>
          <w:szCs w:val="24"/>
        </w:rPr>
        <w:t>clonality</w:t>
      </w:r>
      <w:proofErr w:type="spellEnd"/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 in responders vs. non-responders. (B) T cell fraction in responders vs. non-responders. (C) TCR </w:t>
      </w:r>
      <w:proofErr w:type="spellStart"/>
      <w:r w:rsidRPr="00982714">
        <w:rPr>
          <w:rFonts w:ascii="Times New Roman" w:eastAsia="Calibri" w:hAnsi="Times New Roman" w:cs="Times New Roman"/>
          <w:sz w:val="24"/>
          <w:szCs w:val="24"/>
        </w:rPr>
        <w:t>clonality</w:t>
      </w:r>
      <w:proofErr w:type="spellEnd"/>
      <w:r w:rsidRPr="00982714">
        <w:rPr>
          <w:rFonts w:ascii="Times New Roman" w:eastAsia="Calibri" w:hAnsi="Times New Roman" w:cs="Times New Roman"/>
          <w:sz w:val="24"/>
          <w:szCs w:val="24"/>
        </w:rPr>
        <w:t xml:space="preserve"> in responders vs. non-responders in “ideal” samples, defined as those obtained within 4 months of anti-PD-1/PD-L1 treatment without other prior therapies. (D) T cell fraction in these “ideal” samples. </w:t>
      </w:r>
    </w:p>
    <w:p w:rsidR="007B22B5" w:rsidRDefault="007B22B5" w:rsidP="00185A9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A4B1FC">
            <wp:extent cx="8534400" cy="321687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218" cy="3216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2B5" w:rsidRPr="00185A94" w:rsidRDefault="007B22B5" w:rsidP="00185A94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B22B5">
        <w:rPr>
          <w:rFonts w:ascii="Times New Roman" w:eastAsia="Calibri" w:hAnsi="Times New Roman" w:cs="Times New Roman"/>
          <w:b/>
          <w:sz w:val="24"/>
          <w:szCs w:val="24"/>
        </w:rPr>
        <w:t>Figure S5</w:t>
      </w:r>
      <w:r>
        <w:rPr>
          <w:rFonts w:ascii="Times New Roman" w:eastAsia="Calibri" w:hAnsi="Times New Roman" w:cs="Times New Roman"/>
          <w:sz w:val="24"/>
          <w:szCs w:val="24"/>
        </w:rPr>
        <w:t xml:space="preserve">: Mutation load correlated with (A) T cell receptor (TCR)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clonality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and (B) T cell fraction. </w:t>
      </w:r>
      <w:bookmarkStart w:id="0" w:name="_GoBack"/>
      <w:bookmarkEnd w:id="0"/>
    </w:p>
    <w:sectPr w:rsidR="007B22B5" w:rsidRPr="00185A94" w:rsidSect="00B874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14"/>
    <w:rsid w:val="000A6F58"/>
    <w:rsid w:val="00185A94"/>
    <w:rsid w:val="001F0075"/>
    <w:rsid w:val="006C45B9"/>
    <w:rsid w:val="007B22B5"/>
    <w:rsid w:val="00840ADE"/>
    <w:rsid w:val="00884971"/>
    <w:rsid w:val="00982714"/>
    <w:rsid w:val="00B00338"/>
    <w:rsid w:val="00B87468"/>
    <w:rsid w:val="00EE219B"/>
    <w:rsid w:val="00F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8"/>
    <w:rPr>
      <w:rFonts w:ascii="Tahoma" w:hAnsi="Tahoma" w:cs="Tahoma"/>
      <w:sz w:val="16"/>
      <w:szCs w:val="16"/>
    </w:rPr>
  </w:style>
  <w:style w:type="table" w:customStyle="1" w:styleId="PlainTable3">
    <w:name w:val="Plain Table 3"/>
    <w:basedOn w:val="TableNormal"/>
    <w:uiPriority w:val="43"/>
    <w:rsid w:val="007B22B5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468"/>
    <w:rPr>
      <w:rFonts w:ascii="Tahoma" w:hAnsi="Tahoma" w:cs="Tahoma"/>
      <w:sz w:val="16"/>
      <w:szCs w:val="16"/>
    </w:rPr>
  </w:style>
  <w:style w:type="table" w:customStyle="1" w:styleId="PlainTable3">
    <w:name w:val="Plain Table 3"/>
    <w:basedOn w:val="TableNormal"/>
    <w:uiPriority w:val="43"/>
    <w:rsid w:val="007B22B5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2016-03-29T20:30:00Z</cp:lastPrinted>
  <dcterms:created xsi:type="dcterms:W3CDTF">2016-08-24T20:30:00Z</dcterms:created>
  <dcterms:modified xsi:type="dcterms:W3CDTF">2016-08-24T20:30:00Z</dcterms:modified>
</cp:coreProperties>
</file>