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1" w:rsidRDefault="009856E1" w:rsidP="009856E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Supplemental Table 1.</w:t>
      </w:r>
      <w:proofErr w:type="gramEnd"/>
      <w:r>
        <w:rPr>
          <w:rFonts w:ascii="Arial" w:hAnsi="Arial" w:cs="Arial"/>
          <w:sz w:val="24"/>
        </w:rPr>
        <w:t xml:space="preserve"> Multivariate analysis of likelihood of </w:t>
      </w:r>
      <w:proofErr w:type="spellStart"/>
      <w:r>
        <w:rPr>
          <w:rFonts w:ascii="Arial" w:hAnsi="Arial" w:cs="Arial"/>
          <w:sz w:val="24"/>
        </w:rPr>
        <w:t>pCR</w:t>
      </w:r>
      <w:proofErr w:type="spellEnd"/>
      <w:r>
        <w:rPr>
          <w:rFonts w:ascii="Arial" w:hAnsi="Arial" w:cs="Arial"/>
          <w:sz w:val="24"/>
        </w:rPr>
        <w:t xml:space="preserve"> on Yale </w:t>
      </w:r>
      <w:proofErr w:type="spellStart"/>
      <w:r>
        <w:rPr>
          <w:rFonts w:ascii="Arial" w:hAnsi="Arial" w:cs="Arial"/>
          <w:sz w:val="24"/>
        </w:rPr>
        <w:t>Neoadjuvant</w:t>
      </w:r>
      <w:proofErr w:type="spellEnd"/>
      <w:r>
        <w:rPr>
          <w:rFonts w:ascii="Arial" w:hAnsi="Arial" w:cs="Arial"/>
          <w:sz w:val="24"/>
        </w:rPr>
        <w:t xml:space="preserve"> Cohort without Ki-67</w:t>
      </w:r>
    </w:p>
    <w:p w:rsidR="009856E1" w:rsidRDefault="009856E1" w:rsidP="009856E1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-34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720"/>
        <w:gridCol w:w="1170"/>
        <w:gridCol w:w="720"/>
        <w:gridCol w:w="720"/>
        <w:gridCol w:w="1260"/>
        <w:gridCol w:w="720"/>
        <w:gridCol w:w="737"/>
        <w:gridCol w:w="1170"/>
        <w:gridCol w:w="720"/>
      </w:tblGrid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Multivariate (TIL)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Multivariate (Epithelial PD-L1)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Multivariate (Stromal PD-L1)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Odds Ratio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Odds Ratio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Odds Ratio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Age (y)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&lt;50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≥50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0.151-2.301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0.4472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0.067-1.849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0.2169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0.051-1.565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0.1474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Nodal Status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Negative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Positive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0.026-0.442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0.0020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0.017-0.438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0.0031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0.018-0.479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0.0045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Tumor Size (cm)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&lt;2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rPr>
          <w:trHeight w:val="204"/>
        </w:trPr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&gt;2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0.202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0.032-1.293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B7267B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67B">
              <w:rPr>
                <w:rFonts w:ascii="Arial" w:hAnsi="Arial" w:cs="Arial"/>
                <w:sz w:val="16"/>
                <w:szCs w:val="16"/>
              </w:rPr>
              <w:t>0.0913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0.016-1.094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471AC3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AC3">
              <w:rPr>
                <w:rFonts w:ascii="Arial" w:hAnsi="Arial" w:cs="Arial"/>
                <w:sz w:val="16"/>
                <w:szCs w:val="16"/>
              </w:rPr>
              <w:t>0.0606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0.022-1.747</w:t>
            </w:r>
          </w:p>
        </w:tc>
        <w:tc>
          <w:tcPr>
            <w:tcW w:w="720" w:type="dxa"/>
            <w:vAlign w:val="center"/>
          </w:tcPr>
          <w:p w:rsidR="009856E1" w:rsidRPr="00C12246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246">
              <w:rPr>
                <w:rFonts w:ascii="Arial" w:hAnsi="Arial" w:cs="Arial"/>
                <w:sz w:val="16"/>
                <w:szCs w:val="16"/>
              </w:rPr>
              <w:t>0.1441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Nuclear Grade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1-2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3.294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0.798-13.597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0.0993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1.079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0.215-5.405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0.9267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1.149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0.237-5.575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0.8635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Molecular Category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HR+/HER2 -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HER2+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4.687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0.875-25.104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7.121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0.861-58.901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0.0686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7.255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0.954-55.181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0.0556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Triple Negative       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2.102</w:t>
            </w:r>
          </w:p>
        </w:tc>
        <w:tc>
          <w:tcPr>
            <w:tcW w:w="1170" w:type="dxa"/>
            <w:vAlign w:val="center"/>
          </w:tcPr>
          <w:p w:rsidR="009856E1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0.342-12.917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0.4227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5.811</w:t>
            </w:r>
          </w:p>
        </w:tc>
        <w:tc>
          <w:tcPr>
            <w:tcW w:w="1260" w:type="dxa"/>
            <w:vAlign w:val="center"/>
          </w:tcPr>
          <w:p w:rsidR="009856E1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0.953-35.436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0.0564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7.288</w:t>
            </w:r>
          </w:p>
        </w:tc>
        <w:tc>
          <w:tcPr>
            <w:tcW w:w="1170" w:type="dxa"/>
            <w:vAlign w:val="center"/>
          </w:tcPr>
          <w:p w:rsidR="009856E1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1.129-47.033</w:t>
            </w:r>
          </w:p>
        </w:tc>
        <w:tc>
          <w:tcPr>
            <w:tcW w:w="720" w:type="dxa"/>
            <w:vAlign w:val="center"/>
          </w:tcPr>
          <w:p w:rsidR="009856E1" w:rsidRPr="0097296A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296A">
              <w:rPr>
                <w:rFonts w:ascii="Arial" w:hAnsi="Arial" w:cs="Arial"/>
                <w:b/>
                <w:sz w:val="16"/>
                <w:szCs w:val="16"/>
              </w:rPr>
              <w:t>0.0368</w:t>
            </w: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LPBC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Yes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28.306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1.272-629.80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B7267B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7B">
              <w:rPr>
                <w:rFonts w:ascii="Arial" w:hAnsi="Arial" w:cs="Arial"/>
                <w:b/>
                <w:sz w:val="16"/>
                <w:szCs w:val="16"/>
              </w:rPr>
              <w:t>0.0347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Epithelial PD-L1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Low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High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7.627</w:t>
            </w: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1.303-44.660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471AC3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AC3">
              <w:rPr>
                <w:rFonts w:ascii="Arial" w:hAnsi="Arial" w:cs="Arial"/>
                <w:b/>
                <w:sz w:val="16"/>
                <w:szCs w:val="16"/>
              </w:rPr>
              <w:t>0.0242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Stromal PD-L1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Low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E1" w:rsidRPr="00896F6E" w:rsidTr="008A6F07">
        <w:tc>
          <w:tcPr>
            <w:tcW w:w="1711" w:type="dxa"/>
          </w:tcPr>
          <w:p w:rsidR="009856E1" w:rsidRPr="00896F6E" w:rsidRDefault="009856E1" w:rsidP="008A6F07">
            <w:pPr>
              <w:rPr>
                <w:rFonts w:ascii="Arial" w:hAnsi="Arial" w:cs="Arial"/>
                <w:sz w:val="16"/>
                <w:szCs w:val="16"/>
              </w:rPr>
            </w:pPr>
            <w:r w:rsidRPr="00896F6E">
              <w:rPr>
                <w:rFonts w:ascii="Arial" w:hAnsi="Arial" w:cs="Arial"/>
                <w:sz w:val="16"/>
                <w:szCs w:val="16"/>
              </w:rPr>
              <w:t xml:space="preserve">   High</w:t>
            </w:r>
          </w:p>
        </w:tc>
        <w:tc>
          <w:tcPr>
            <w:tcW w:w="72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7.341</w:t>
            </w:r>
          </w:p>
        </w:tc>
        <w:tc>
          <w:tcPr>
            <w:tcW w:w="1170" w:type="dxa"/>
            <w:vAlign w:val="center"/>
          </w:tcPr>
          <w:p w:rsidR="009856E1" w:rsidRPr="00896F6E" w:rsidRDefault="009856E1" w:rsidP="008A6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1.237-43.559</w:t>
            </w:r>
          </w:p>
        </w:tc>
        <w:tc>
          <w:tcPr>
            <w:tcW w:w="720" w:type="dxa"/>
            <w:vAlign w:val="center"/>
          </w:tcPr>
          <w:p w:rsidR="009856E1" w:rsidRPr="0097296A" w:rsidRDefault="009856E1" w:rsidP="008A6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296A">
              <w:rPr>
                <w:rFonts w:ascii="Arial" w:hAnsi="Arial" w:cs="Arial"/>
                <w:b/>
                <w:sz w:val="16"/>
                <w:szCs w:val="16"/>
              </w:rPr>
              <w:t>0.0282</w:t>
            </w:r>
          </w:p>
        </w:tc>
      </w:tr>
    </w:tbl>
    <w:p w:rsidR="009856E1" w:rsidRDefault="009856E1" w:rsidP="009856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Odds Ratio indicates likelihood of </w:t>
      </w:r>
      <w:proofErr w:type="spellStart"/>
      <w:r>
        <w:rPr>
          <w:rFonts w:ascii="Arial" w:hAnsi="Arial" w:cs="Arial"/>
          <w:sz w:val="24"/>
        </w:rPr>
        <w:t>pCR</w:t>
      </w:r>
      <w:proofErr w:type="spellEnd"/>
    </w:p>
    <w:p w:rsidR="000647A1" w:rsidRDefault="000647A1" w:rsidP="009856E1">
      <w:bookmarkStart w:id="0" w:name="_GoBack"/>
      <w:bookmarkEnd w:id="0"/>
    </w:p>
    <w:sectPr w:rsidR="0006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1"/>
    <w:rsid w:val="000647A1"/>
    <w:rsid w:val="00616DEF"/>
    <w:rsid w:val="009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EF"/>
    <w:pPr>
      <w:spacing w:after="0" w:line="240" w:lineRule="auto"/>
    </w:pPr>
  </w:style>
  <w:style w:type="table" w:styleId="TableGrid">
    <w:name w:val="Table Grid"/>
    <w:basedOn w:val="TableNormal"/>
    <w:uiPriority w:val="59"/>
    <w:rsid w:val="0098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EF"/>
    <w:pPr>
      <w:spacing w:after="0" w:line="240" w:lineRule="auto"/>
    </w:pPr>
  </w:style>
  <w:style w:type="table" w:styleId="TableGrid">
    <w:name w:val="Table Grid"/>
    <w:basedOn w:val="TableNormal"/>
    <w:uiPriority w:val="59"/>
    <w:rsid w:val="0098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2014-11-23T15:11:00Z</dcterms:created>
  <dcterms:modified xsi:type="dcterms:W3CDTF">2014-11-23T15:12:00Z</dcterms:modified>
</cp:coreProperties>
</file>