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69" w:rsidRDefault="00297E4C" w:rsidP="00512121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</w:pPr>
      <w:bookmarkStart w:id="0" w:name="_GoBack"/>
      <w:bookmarkEnd w:id="0"/>
      <w:r w:rsidRPr="0006333B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Supplementary </w:t>
      </w:r>
      <w:r w:rsidR="000E5F69" w:rsidRPr="0006333B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>Methods</w:t>
      </w:r>
    </w:p>
    <w:p w:rsidR="00512121" w:rsidRDefault="00512121" w:rsidP="00512121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</w:pPr>
    </w:p>
    <w:p w:rsidR="00290A27" w:rsidRPr="0006333B" w:rsidRDefault="002148FA" w:rsidP="006F21F5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kern w:val="0"/>
          <w:sz w:val="24"/>
          <w:szCs w:val="24"/>
        </w:rPr>
        <w:t>Inclusion and e</w:t>
      </w:r>
      <w:r w:rsidR="00290A27">
        <w:rPr>
          <w:rFonts w:ascii="Times New Roman" w:eastAsia="ＭＳ 明朝" w:hAnsi="Times New Roman" w:cs="Times New Roman" w:hint="eastAsia"/>
          <w:b/>
          <w:bCs/>
          <w:kern w:val="0"/>
          <w:sz w:val="24"/>
          <w:szCs w:val="24"/>
        </w:rPr>
        <w:t>xclusion criteria for enrollment of patients</w:t>
      </w:r>
    </w:p>
    <w:p w:rsidR="00290A27" w:rsidRDefault="00063F32" w:rsidP="006F21F5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 w:rsidR="00512121">
        <w:rPr>
          <w:rFonts w:ascii="Times New Roman" w:hAnsi="Times New Roman" w:hint="eastAsia"/>
          <w:sz w:val="24"/>
        </w:rPr>
        <w:t>The</w:t>
      </w:r>
      <w:r w:rsidR="00290A27" w:rsidRPr="00033217">
        <w:rPr>
          <w:rFonts w:ascii="Times New Roman" w:hAnsi="Times New Roman"/>
          <w:sz w:val="24"/>
        </w:rPr>
        <w:t xml:space="preserve"> inclusion criteria </w:t>
      </w:r>
      <w:r w:rsidR="00512121">
        <w:rPr>
          <w:rFonts w:ascii="Times New Roman" w:hAnsi="Times New Roman" w:hint="eastAsia"/>
          <w:sz w:val="24"/>
        </w:rPr>
        <w:t xml:space="preserve">for </w:t>
      </w:r>
      <w:r w:rsidR="00512121" w:rsidRPr="00512121">
        <w:rPr>
          <w:rFonts w:ascii="Times New Roman" w:eastAsia="ＭＳ 明朝" w:hAnsi="Times New Roman" w:cs="Times New Roman" w:hint="eastAsia"/>
          <w:bCs/>
          <w:kern w:val="0"/>
          <w:sz w:val="24"/>
          <w:szCs w:val="24"/>
        </w:rPr>
        <w:t>enrollment of patients</w:t>
      </w:r>
      <w:r w:rsidR="00512121" w:rsidRPr="00512121">
        <w:rPr>
          <w:rFonts w:ascii="Times New Roman" w:hAnsi="Times New Roman"/>
          <w:sz w:val="24"/>
        </w:rPr>
        <w:t xml:space="preserve"> </w:t>
      </w:r>
      <w:r w:rsidR="00290A27" w:rsidRPr="00033217">
        <w:rPr>
          <w:rFonts w:ascii="Times New Roman" w:hAnsi="Times New Roman"/>
          <w:sz w:val="24"/>
        </w:rPr>
        <w:t>were as follows: age of more than 20 years; an Eastern Cooperative Oncology Group (</w:t>
      </w:r>
      <w:r w:rsidR="00290A27" w:rsidRPr="00033217">
        <w:rPr>
          <w:rFonts w:ascii="Times New Roman" w:hAnsi="Times New Roman"/>
          <w:bCs/>
          <w:sz w:val="24"/>
        </w:rPr>
        <w:t xml:space="preserve">ECOG) performance status of 0 or 1; positive status for </w:t>
      </w:r>
      <w:r w:rsidR="00290A27" w:rsidRPr="00033217">
        <w:rPr>
          <w:rFonts w:ascii="Times New Roman" w:hAnsi="Times New Roman"/>
          <w:sz w:val="24"/>
        </w:rPr>
        <w:t xml:space="preserve">HLA-A2, -A3, -A11, -A24, -A26, -A31, or -A33; </w:t>
      </w:r>
      <w:r w:rsidR="00290A27" w:rsidRPr="00033217">
        <w:rPr>
          <w:rFonts w:ascii="Times New Roman" w:hAnsi="Times New Roman"/>
          <w:bCs/>
          <w:sz w:val="24"/>
        </w:rPr>
        <w:t xml:space="preserve">life expectancy of </w:t>
      </w:r>
      <w:r w:rsidR="00290A27" w:rsidRPr="00033217">
        <w:rPr>
          <w:rFonts w:ascii="Times New Roman" w:hAnsi="Times New Roman"/>
          <w:sz w:val="24"/>
        </w:rPr>
        <w:t xml:space="preserve">at least </w:t>
      </w:r>
      <w:r w:rsidR="00290A27" w:rsidRPr="00033217">
        <w:rPr>
          <w:rFonts w:ascii="Times New Roman" w:hAnsi="Times New Roman"/>
          <w:bCs/>
          <w:sz w:val="24"/>
        </w:rPr>
        <w:t>12 weeks</w:t>
      </w:r>
      <w:r w:rsidR="00290A27" w:rsidRPr="00033217">
        <w:rPr>
          <w:rFonts w:ascii="Times New Roman" w:hAnsi="Times New Roman"/>
          <w:sz w:val="24"/>
        </w:rPr>
        <w:t>; adequate hematologic, renal, and hepatic function (white blood cells &gt;</w:t>
      </w:r>
      <w:r w:rsidR="00290A27" w:rsidRPr="00033217">
        <w:rPr>
          <w:rFonts w:ascii="Times New Roman" w:hAnsi="Times New Roman"/>
          <w:bCs/>
          <w:kern w:val="0"/>
          <w:sz w:val="24"/>
        </w:rPr>
        <w:t>2,500/µl</w:t>
      </w:r>
      <w:r w:rsidR="00290A27" w:rsidRPr="00033217">
        <w:rPr>
          <w:rFonts w:ascii="Times New Roman" w:hAnsi="Times New Roman"/>
          <w:sz w:val="24"/>
        </w:rPr>
        <w:t xml:space="preserve">, </w:t>
      </w:r>
      <w:r w:rsidR="00290A27" w:rsidRPr="00033217">
        <w:rPr>
          <w:rFonts w:ascii="Times New Roman" w:hAnsi="Times New Roman"/>
          <w:bCs/>
          <w:kern w:val="0"/>
          <w:sz w:val="24"/>
        </w:rPr>
        <w:t>lymphocytes &gt;1,000/µl, platelets &gt;80,000/µl, serum</w:t>
      </w:r>
      <w:r w:rsidR="00290A27" w:rsidRPr="00033217">
        <w:rPr>
          <w:rFonts w:ascii="Times New Roman" w:hAnsi="Times New Roman"/>
          <w:bCs/>
          <w:kern w:val="0"/>
          <w:sz w:val="24"/>
          <w:vertAlign w:val="superscript"/>
        </w:rPr>
        <w:t xml:space="preserve"> </w:t>
      </w:r>
      <w:r w:rsidR="00290A27" w:rsidRPr="00033217">
        <w:rPr>
          <w:rFonts w:ascii="Times New Roman" w:hAnsi="Times New Roman"/>
          <w:bCs/>
          <w:kern w:val="0"/>
          <w:sz w:val="24"/>
        </w:rPr>
        <w:t>creatinine &lt;1.5 mg/dl, and total bilirubin &lt;2.5 mg/dl).</w:t>
      </w:r>
      <w:r w:rsidR="00290A27" w:rsidRPr="00033217">
        <w:rPr>
          <w:rFonts w:ascii="Times New Roman" w:hAnsi="Times New Roman"/>
          <w:sz w:val="24"/>
        </w:rPr>
        <w:t xml:space="preserve"> Exclusion criteria included pulmonary, cardiac, or other systemic diseases; acute infection; a history of severe allergic reactions; pregnancy or nursing; or other inappropriate conditions for enrollment as judged by clinicians. </w:t>
      </w:r>
    </w:p>
    <w:p w:rsidR="00290A27" w:rsidRDefault="00290A27" w:rsidP="006F21F5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</w:p>
    <w:p w:rsidR="00297E4C" w:rsidRPr="0006333B" w:rsidRDefault="00297E4C" w:rsidP="006F21F5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</w:pPr>
      <w:r w:rsidRPr="0006333B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Measurement of </w:t>
      </w:r>
      <w:r w:rsidR="00AA7979">
        <w:rPr>
          <w:rFonts w:ascii="Times New Roman" w:eastAsia="ＭＳ 明朝" w:hAnsi="Times New Roman" w:cs="Times New Roman" w:hint="eastAsia"/>
          <w:b/>
          <w:bCs/>
          <w:kern w:val="0"/>
          <w:sz w:val="24"/>
          <w:szCs w:val="24"/>
        </w:rPr>
        <w:t xml:space="preserve">humoral and </w:t>
      </w:r>
      <w:r w:rsidRPr="0006333B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>cellular immune</w:t>
      </w:r>
      <w:r w:rsidRPr="0006333B"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 responses </w:t>
      </w:r>
    </w:p>
    <w:p w:rsidR="00AA7979" w:rsidRDefault="00297E4C" w:rsidP="006F21F5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ab/>
      </w:r>
      <w:proofErr w:type="gramStart"/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The humoral immune responses specific to the vaccine peptides were determined by peptide-specific IgG titers using a bead-based multiplex assay with the </w:t>
      </w:r>
      <w:proofErr w:type="spellStart"/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>Luminex</w:t>
      </w:r>
      <w:proofErr w:type="spellEnd"/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20</w:t>
      </w:r>
      <w:r w:rsidR="00AA7979">
        <w:rPr>
          <w:rFonts w:ascii="Times New Roman" w:eastAsia="ＭＳ 明朝" w:hAnsi="Times New Roman" w:cs="Times New Roman"/>
          <w:kern w:val="0"/>
          <w:sz w:val="24"/>
          <w:szCs w:val="24"/>
        </w:rPr>
        <w:t>0 system (</w:t>
      </w:r>
      <w:proofErr w:type="spellStart"/>
      <w:r w:rsidR="00AA7979">
        <w:rPr>
          <w:rFonts w:ascii="Times New Roman" w:eastAsia="ＭＳ 明朝" w:hAnsi="Times New Roman" w:cs="Times New Roman"/>
          <w:kern w:val="0"/>
          <w:sz w:val="24"/>
          <w:szCs w:val="24"/>
        </w:rPr>
        <w:t>Luminex</w:t>
      </w:r>
      <w:proofErr w:type="spellEnd"/>
      <w:r w:rsidR="00AA7979">
        <w:rPr>
          <w:rFonts w:ascii="Times New Roman" w:eastAsia="ＭＳ 明朝" w:hAnsi="Times New Roman" w:cs="Times New Roman"/>
          <w:kern w:val="0"/>
          <w:sz w:val="24"/>
          <w:szCs w:val="24"/>
        </w:rPr>
        <w:t>, Austin, TX)</w:t>
      </w:r>
      <w:r w:rsidR="00AA7979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.</w:t>
      </w:r>
      <w:proofErr w:type="gramEnd"/>
      <w:r w:rsidR="00AA7979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</w:t>
      </w:r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In brief, plasma </w:t>
      </w:r>
      <w:r w:rsidR="00AA7979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from patients before and after vaccination </w:t>
      </w:r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was incubated with 100 </w:t>
      </w:r>
      <w:r w:rsidR="00AA7979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µ</w:t>
      </w:r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L of peptide-coupled color-coded beads for 1.5 </w:t>
      </w:r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lastRenderedPageBreak/>
        <w:t xml:space="preserve">hours at 30°C. </w:t>
      </w:r>
      <w:r w:rsidR="00AA7979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A</w:t>
      </w:r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fter washing, the beads were incubated with 100 </w:t>
      </w:r>
      <w:r w:rsidR="00AA7979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µ</w:t>
      </w:r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L of </w:t>
      </w:r>
      <w:proofErr w:type="spellStart"/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>biotinylated</w:t>
      </w:r>
      <w:proofErr w:type="spellEnd"/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goat anti-human IgG </w:t>
      </w:r>
      <w:r w:rsidR="00AA7979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Ab </w:t>
      </w:r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>(gamma chain-specific; Vector Laboratories, Burlingame, CA)</w:t>
      </w:r>
      <w:r w:rsid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for 1 hour at 30°C. After washing, the beads were incubated with 100 </w:t>
      </w:r>
      <w:r w:rsidR="00AA7979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µ</w:t>
      </w:r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L of streptavidin-PE (Life Technologies, Carlsbad, CA) for 30 min at 30°C, followed by washing and detection of fluorescence intensity unit (FIU) on the beads using the </w:t>
      </w:r>
      <w:proofErr w:type="spellStart"/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>Luminex</w:t>
      </w:r>
      <w:proofErr w:type="spellEnd"/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20</w:t>
      </w:r>
      <w:r w:rsid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0 </w:t>
      </w:r>
      <w:r w:rsidR="00AA7979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system. </w:t>
      </w:r>
    </w:p>
    <w:p w:rsidR="00297E4C" w:rsidRPr="00AA7979" w:rsidRDefault="00AA7979" w:rsidP="006F21F5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CTL responses </w:t>
      </w:r>
      <w:r w:rsidR="00297E4C" w:rsidRPr="0006333B">
        <w:rPr>
          <w:rFonts w:ascii="Times New Roman" w:eastAsia="ＭＳ 明朝" w:hAnsi="Times New Roman" w:cs="Times New Roman"/>
          <w:bCs/>
          <w:sz w:val="24"/>
          <w:szCs w:val="24"/>
        </w:rPr>
        <w:t>specific to the vaccine peptides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were evaluated by interferon (IFN)-</w:t>
      </w:r>
      <w:r w:rsidR="00297E4C" w:rsidRPr="0006333B">
        <w:rPr>
          <w:rFonts w:ascii="Symbol" w:eastAsia="ＭＳ 明朝" w:hAnsi="Symbol" w:cs="Times New Roman"/>
          <w:kern w:val="0"/>
          <w:sz w:val="24"/>
          <w:szCs w:val="24"/>
        </w:rPr>
        <w:t>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ELISPOT assay. </w:t>
      </w:r>
      <w:r w:rsidR="00215329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After thawing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, PBMCs (1 × 10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  <w:vertAlign w:val="superscript"/>
        </w:rPr>
        <w:t>5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cells/well) were incubated in 96-well </w:t>
      </w:r>
      <w:proofErr w:type="spellStart"/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microculture</w:t>
      </w:r>
      <w:proofErr w:type="spellEnd"/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plates (IWAKI, Tokyo, Japan) with 100 µL of medium (</w:t>
      </w:r>
      <w:proofErr w:type="spellStart"/>
      <w:r w:rsidR="00297E4C" w:rsidRPr="0006333B">
        <w:rPr>
          <w:rFonts w:ascii="Times New Roman" w:eastAsia="ＭＳ 明朝" w:hAnsi="Times New Roman" w:cs="Times New Roman"/>
          <w:sz w:val="24"/>
          <w:szCs w:val="24"/>
        </w:rPr>
        <w:t>OpTmizer</w:t>
      </w:r>
      <w:proofErr w:type="spellEnd"/>
      <w:r w:rsidR="00297E4C" w:rsidRPr="0006333B">
        <w:rPr>
          <w:rFonts w:ascii="Times New Roman" w:eastAsia="ＭＳ 明朝" w:hAnsi="Times New Roman" w:cs="Times New Roman"/>
          <w:sz w:val="24"/>
          <w:szCs w:val="24"/>
        </w:rPr>
        <w:t>™ T Cell Expansion SFM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; </w:t>
      </w:r>
      <w:r w:rsidR="00BC1694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>Life Technologies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,</w:t>
      </w:r>
      <w:r w:rsidR="00297E4C" w:rsidRPr="0006333B">
        <w:rPr>
          <w:rFonts w:ascii="Times New Roman" w:eastAsia="ＭＳ 明朝" w:hAnsi="Times New Roman" w:cs="Times New Roman"/>
          <w:sz w:val="24"/>
          <w:szCs w:val="24"/>
        </w:rPr>
        <w:t xml:space="preserve"> Carlsbad, </w:t>
      </w:r>
      <w:r w:rsidR="00297E4C" w:rsidRPr="0006333B">
        <w:rPr>
          <w:rFonts w:ascii="Times New Roman" w:eastAsia="ＭＳ 明朝" w:hAnsi="Times New Roman" w:cs="Times New Roman"/>
          <w:bCs/>
          <w:sz w:val="24"/>
          <w:szCs w:val="24"/>
        </w:rPr>
        <w:t>CA</w:t>
      </w:r>
      <w:r w:rsidR="00297E4C" w:rsidRPr="0006333B">
        <w:rPr>
          <w:rFonts w:ascii="Times New Roman" w:eastAsia="ＭＳ 明朝" w:hAnsi="Times New Roman" w:cs="Times New Roman"/>
          <w:sz w:val="24"/>
          <w:szCs w:val="24"/>
        </w:rPr>
        <w:t>)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containing 10% FBS (MP Biologicals, Solon, OH), 1% L-glutamine (</w:t>
      </w:r>
      <w:r w:rsidR="00BC1694" w:rsidRPr="00AA7979">
        <w:rPr>
          <w:rFonts w:ascii="Times New Roman" w:eastAsia="ＭＳ 明朝" w:hAnsi="Times New Roman" w:cs="Times New Roman"/>
          <w:kern w:val="0"/>
          <w:sz w:val="24"/>
          <w:szCs w:val="24"/>
        </w:rPr>
        <w:t>Life Technologies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), IL-2 (20 IU/mL; </w:t>
      </w:r>
      <w:proofErr w:type="spellStart"/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AbD</w:t>
      </w:r>
      <w:proofErr w:type="spellEnd"/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proofErr w:type="spellStart"/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serotec</w:t>
      </w:r>
      <w:proofErr w:type="spellEnd"/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, </w:t>
      </w:r>
      <w:proofErr w:type="spellStart"/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Kidlington</w:t>
      </w:r>
      <w:proofErr w:type="spellEnd"/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, UK), and mixture of vaccinated peptides (20 µg/ml) for 6 days. The cultured cells were harvested and tested for their ability to produce IFN-</w:t>
      </w:r>
      <w:r w:rsidR="00297E4C" w:rsidRPr="0006333B">
        <w:rPr>
          <w:rFonts w:ascii="Symbol" w:eastAsia="ＭＳ 明朝" w:hAnsi="Symbol" w:cs="Times New Roman"/>
          <w:kern w:val="0"/>
          <w:sz w:val="24"/>
          <w:szCs w:val="24"/>
        </w:rPr>
        <w:t>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in response to either the corresponding peptides or negative control peptides from human immunodeficiency virus (HIV). The cells (5 X 10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  <w:vertAlign w:val="superscript"/>
        </w:rPr>
        <w:t>4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cells/well) were cultured in triplicate for 18 hours at 37°C with the C1R cells transfected with each type of HLA (1 X 10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  <w:vertAlign w:val="superscript"/>
        </w:rPr>
        <w:t>4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cells/well) loaded with specific or control peptides (10 µg/ml) in 96-well ELISPOT plate (</w:t>
      </w:r>
      <w:proofErr w:type="spellStart"/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>MultiScreen</w:t>
      </w:r>
      <w:proofErr w:type="spellEnd"/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HTS, Millipore) coated with anti-human IFN-</w:t>
      </w:r>
      <w:r w:rsidR="00297E4C" w:rsidRPr="0006333B">
        <w:rPr>
          <w:rFonts w:ascii="Symbol" w:eastAsia="ＭＳ 明朝" w:hAnsi="Symbol" w:cs="Times New Roman"/>
          <w:kern w:val="0"/>
          <w:sz w:val="24"/>
          <w:szCs w:val="24"/>
        </w:rPr>
        <w:t></w:t>
      </w:r>
      <w:r w:rsidR="00297E4C" w:rsidRPr="0006333B">
        <w:rPr>
          <w:rFonts w:ascii="Symbol" w:eastAsia="ＭＳ 明朝" w:hAnsi="Symbol" w:cs="Times New Roman"/>
          <w:kern w:val="0"/>
          <w:sz w:val="24"/>
          <w:szCs w:val="24"/>
        </w:rPr>
        <w:t>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Ab </w:t>
      </w:r>
      <w:r w:rsidR="00297E4C" w:rsidRPr="0006333B">
        <w:rPr>
          <w:rFonts w:ascii="Times New Roman" w:eastAsia="ＭＳ 明朝" w:hAnsi="Times New Roman" w:cs="Times New Roman"/>
          <w:kern w:val="0"/>
          <w:sz w:val="24"/>
          <w:szCs w:val="24"/>
        </w:rPr>
        <w:lastRenderedPageBreak/>
        <w:t>(MABTECH, Cincinnati, OH). After washing, the spots were developed with biotin-conjugated a</w:t>
      </w:r>
      <w:r w:rsidR="00297E4C" w:rsidRPr="00A70CA9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nti-human IFN-</w:t>
      </w:r>
      <w:r w:rsidR="00297E4C" w:rsidRPr="00A70CA9">
        <w:rPr>
          <w:rFonts w:ascii="Symbol" w:eastAsia="ＭＳ 明朝" w:hAnsi="Symbol" w:cs="Times New Roman"/>
          <w:color w:val="000000" w:themeColor="text1"/>
          <w:kern w:val="0"/>
          <w:sz w:val="24"/>
          <w:szCs w:val="24"/>
        </w:rPr>
        <w:t></w:t>
      </w:r>
      <w:r w:rsidR="00297E4C" w:rsidRPr="00A70CA9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Ab (MABTECH), streptavidin-ALP (MABTECH), and BCIP/NBT substrate  (Sigma-Aldrich, St. Louis, MO), and then counted by </w:t>
      </w:r>
      <w:r w:rsidR="00297E4C" w:rsidRPr="00A70CA9">
        <w:rPr>
          <w:rFonts w:ascii="Times New Roman" w:eastAsia="ＭＳ 明朝" w:hAnsi="Times New Roman" w:cs="Times New Roman"/>
          <w:bCs/>
          <w:color w:val="000000" w:themeColor="text1"/>
          <w:sz w:val="24"/>
          <w:szCs w:val="24"/>
        </w:rPr>
        <w:t>ELISPOT reader</w:t>
      </w:r>
      <w:r w:rsidR="00297E4C" w:rsidRPr="00A70CA9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97E4C" w:rsidRPr="00A70CA9">
        <w:rPr>
          <w:rFonts w:ascii="Times New Roman" w:eastAsia="ＭＳ 明朝" w:hAnsi="Times New Roman" w:cs="Times New Roman"/>
          <w:bCs/>
          <w:color w:val="000000" w:themeColor="text1"/>
          <w:sz w:val="24"/>
          <w:szCs w:val="24"/>
        </w:rPr>
        <w:t>ImmunoSpot</w:t>
      </w:r>
      <w:proofErr w:type="spellEnd"/>
      <w:r w:rsidR="00297E4C" w:rsidRPr="00A70CA9">
        <w:rPr>
          <w:rFonts w:ascii="Times New Roman" w:eastAsia="ＭＳ 明朝" w:hAnsi="Times New Roman" w:cs="Times New Roman"/>
          <w:bCs/>
          <w:color w:val="000000" w:themeColor="text1"/>
          <w:sz w:val="24"/>
          <w:szCs w:val="24"/>
        </w:rPr>
        <w:t xml:space="preserve"> S5 Versa Analyzer; Cellular Technology Ltd, </w:t>
      </w:r>
      <w:r w:rsidR="00297E4C" w:rsidRPr="00A70CA9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Shaker Heights, OH)</w:t>
      </w:r>
      <w:r w:rsidR="00297E4C" w:rsidRPr="00A70CA9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proofErr w:type="gramStart"/>
      <w:r w:rsidRPr="00AA7979">
        <w:rPr>
          <w:rFonts w:ascii="Times New Roman" w:hAnsi="Times New Roman" w:hint="eastAsia"/>
          <w:kern w:val="0"/>
          <w:sz w:val="24"/>
        </w:rPr>
        <w:t>W</w:t>
      </w:r>
      <w:r w:rsidRPr="00AA7979">
        <w:rPr>
          <w:rFonts w:ascii="Times New Roman" w:hAnsi="Times New Roman"/>
          <w:kern w:val="0"/>
          <w:sz w:val="24"/>
        </w:rPr>
        <w:t>hen the spot numbers in response to the specific peptides were significantly higher (P &lt; 0.05 by Student’s t-test) than those in response to the control peptides</w:t>
      </w:r>
      <w:r w:rsidRPr="00AA7979">
        <w:rPr>
          <w:rFonts w:ascii="Times New Roman" w:hAnsi="Times New Roman" w:hint="eastAsia"/>
          <w:kern w:val="0"/>
          <w:sz w:val="24"/>
        </w:rPr>
        <w:t>, a</w:t>
      </w:r>
      <w:r w:rsidRPr="00AA7979">
        <w:rPr>
          <w:rFonts w:ascii="Times New Roman" w:hAnsi="Times New Roman"/>
          <w:kern w:val="0"/>
          <w:sz w:val="24"/>
        </w:rPr>
        <w:t>ntigen-specific CTL responses were shown as the differences between the</w:t>
      </w:r>
      <w:r w:rsidRPr="00AA7979">
        <w:rPr>
          <w:rFonts w:ascii="Times New Roman" w:hAnsi="Times New Roman" w:hint="eastAsia"/>
          <w:kern w:val="0"/>
          <w:sz w:val="24"/>
        </w:rPr>
        <w:t>m</w:t>
      </w:r>
      <w:r w:rsidRPr="00AA7979">
        <w:rPr>
          <w:rFonts w:ascii="Times New Roman" w:hAnsi="Times New Roman"/>
          <w:kern w:val="0"/>
          <w:sz w:val="24"/>
        </w:rPr>
        <w:t xml:space="preserve"> (means of the triplicate samples).</w:t>
      </w:r>
      <w:proofErr w:type="gramEnd"/>
    </w:p>
    <w:p w:rsidR="00297E4C" w:rsidRPr="0006333B" w:rsidRDefault="00297E4C" w:rsidP="006F21F5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</w:pPr>
    </w:p>
    <w:sectPr w:rsidR="00297E4C" w:rsidRPr="0006333B" w:rsidSect="00E3527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A8" w:rsidRDefault="006172A8" w:rsidP="006F21F5">
      <w:r>
        <w:separator/>
      </w:r>
    </w:p>
  </w:endnote>
  <w:endnote w:type="continuationSeparator" w:id="0">
    <w:p w:rsidR="006172A8" w:rsidRDefault="006172A8" w:rsidP="006F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A8" w:rsidRDefault="006172A8" w:rsidP="006F21F5">
      <w:r>
        <w:separator/>
      </w:r>
    </w:p>
  </w:footnote>
  <w:footnote w:type="continuationSeparator" w:id="0">
    <w:p w:rsidR="006172A8" w:rsidRDefault="006172A8" w:rsidP="006F2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C"/>
    <w:rsid w:val="000328AF"/>
    <w:rsid w:val="0006333B"/>
    <w:rsid w:val="00063F32"/>
    <w:rsid w:val="000E5F69"/>
    <w:rsid w:val="000F3D8B"/>
    <w:rsid w:val="00140300"/>
    <w:rsid w:val="00145288"/>
    <w:rsid w:val="002148FA"/>
    <w:rsid w:val="00215329"/>
    <w:rsid w:val="0023674C"/>
    <w:rsid w:val="00290A27"/>
    <w:rsid w:val="00297E4C"/>
    <w:rsid w:val="00512121"/>
    <w:rsid w:val="00553AD0"/>
    <w:rsid w:val="00614935"/>
    <w:rsid w:val="006172A8"/>
    <w:rsid w:val="006F21F5"/>
    <w:rsid w:val="00A70CA9"/>
    <w:rsid w:val="00A962F0"/>
    <w:rsid w:val="00AA7979"/>
    <w:rsid w:val="00B43671"/>
    <w:rsid w:val="00B678F5"/>
    <w:rsid w:val="00BC1694"/>
    <w:rsid w:val="00C24F5B"/>
    <w:rsid w:val="00C61808"/>
    <w:rsid w:val="00D87D23"/>
    <w:rsid w:val="00E35278"/>
    <w:rsid w:val="00EA2AD9"/>
    <w:rsid w:val="00F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1F5"/>
  </w:style>
  <w:style w:type="paragraph" w:styleId="a5">
    <w:name w:val="footer"/>
    <w:basedOn w:val="a"/>
    <w:link w:val="a6"/>
    <w:uiPriority w:val="99"/>
    <w:unhideWhenUsed/>
    <w:rsid w:val="006F2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1F5"/>
  </w:style>
  <w:style w:type="paragraph" w:styleId="a5">
    <w:name w:val="footer"/>
    <w:basedOn w:val="a"/>
    <w:link w:val="a6"/>
    <w:uiPriority w:val="99"/>
    <w:unhideWhenUsed/>
    <w:rsid w:val="006F2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tsasada</dc:creator>
  <cp:lastModifiedBy>tsasada</cp:lastModifiedBy>
  <cp:revision>15</cp:revision>
  <dcterms:created xsi:type="dcterms:W3CDTF">2014-07-16T04:06:00Z</dcterms:created>
  <dcterms:modified xsi:type="dcterms:W3CDTF">2014-09-18T04:59:00Z</dcterms:modified>
</cp:coreProperties>
</file>