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ADD6" w14:textId="77777777" w:rsidR="00317CA4" w:rsidRPr="007732CA" w:rsidRDefault="00317CA4" w:rsidP="00317CA4">
      <w:pPr>
        <w:spacing w:before="240"/>
        <w:jc w:val="both"/>
      </w:pPr>
      <w:r w:rsidRPr="007732CA">
        <w:rPr>
          <w:b/>
        </w:rPr>
        <w:t xml:space="preserve">Supplementary clinical information on patients enrolled on SJCAR19 </w:t>
      </w:r>
      <w:r w:rsidRPr="007732CA">
        <w:rPr>
          <w:rFonts w:eastAsia="Arial Unicode MS"/>
        </w:rPr>
        <w:t xml:space="preserve">(A Phase I/II Study evaluating CD19-specific engineered autologous T cells in pediatric and young adult patients ≤ 21 years of age with relapsed or refractory CD19+ acute lymphoblastic </w:t>
      </w:r>
      <w:proofErr w:type="gramStart"/>
      <w:r w:rsidRPr="007732CA">
        <w:rPr>
          <w:rFonts w:eastAsia="Arial Unicode MS"/>
        </w:rPr>
        <w:t>leukemia;</w:t>
      </w:r>
      <w:proofErr w:type="gramEnd"/>
      <w:r w:rsidRPr="007732CA">
        <w:rPr>
          <w:rFonts w:eastAsia="Arial Unicode MS"/>
        </w:rPr>
        <w:t xml:space="preserve"> NCT03573700)</w:t>
      </w:r>
    </w:p>
    <w:p w14:paraId="03D7E03F" w14:textId="20D34D3D" w:rsidR="000A05B3" w:rsidRDefault="00317CA4" w:rsidP="00317CA4">
      <w:pPr>
        <w:spacing w:before="240" w:after="240" w:line="360" w:lineRule="auto"/>
        <w:jc w:val="both"/>
      </w:pPr>
      <w:r w:rsidRPr="007732CA">
        <w:t>The clinical results of patients 1 to 12 have been reported elsewhere (</w:t>
      </w:r>
      <w:proofErr w:type="spellStart"/>
      <w:r w:rsidRPr="007732CA">
        <w:rPr>
          <w:i/>
        </w:rPr>
        <w:t>Talleur</w:t>
      </w:r>
      <w:proofErr w:type="spellEnd"/>
      <w:r w:rsidRPr="007732CA">
        <w:rPr>
          <w:i/>
        </w:rPr>
        <w:t xml:space="preserve"> et al; Blood Adv 2022</w:t>
      </w:r>
      <w:r>
        <w:rPr>
          <w:i/>
        </w:rPr>
        <w:t xml:space="preserve">, </w:t>
      </w:r>
      <w:r w:rsidRPr="00317CA4">
        <w:rPr>
          <w:i/>
        </w:rPr>
        <w:t>Online ahead of print</w:t>
      </w:r>
      <w:r>
        <w:rPr>
          <w:i/>
        </w:rPr>
        <w:t>:</w:t>
      </w:r>
      <w:r>
        <w:rPr>
          <w:sz w:val="21"/>
          <w:szCs w:val="21"/>
        </w:rPr>
        <w:t xml:space="preserve"> </w:t>
      </w:r>
      <w:hyperlink r:id="rId4" w:history="1">
        <w:r w:rsidRPr="00AB1AB3">
          <w:rPr>
            <w:rStyle w:val="Hyperlink"/>
            <w:sz w:val="21"/>
            <w:szCs w:val="21"/>
          </w:rPr>
          <w:t>https://doi.org/10.1182/bloodadvances.2021006293</w:t>
        </w:r>
      </w:hyperlink>
      <w:r w:rsidRPr="007732CA">
        <w:rPr>
          <w:i/>
        </w:rPr>
        <w:t>)</w:t>
      </w:r>
      <w:r w:rsidRPr="007732CA">
        <w:t>. In addition, the clinical course of patients 1 and 9 have been published (</w:t>
      </w:r>
      <w:r w:rsidRPr="007732CA">
        <w:rPr>
          <w:i/>
        </w:rPr>
        <w:t xml:space="preserve">Hines et al; Br J </w:t>
      </w:r>
      <w:proofErr w:type="spellStart"/>
      <w:r w:rsidRPr="007732CA">
        <w:rPr>
          <w:i/>
        </w:rPr>
        <w:t>Haematol</w:t>
      </w:r>
      <w:proofErr w:type="spellEnd"/>
      <w:r w:rsidRPr="007732CA">
        <w:rPr>
          <w:i/>
        </w:rPr>
        <w:t>. 2021 Aug;194(4):701-707</w:t>
      </w:r>
      <w:r>
        <w:rPr>
          <w:i/>
        </w:rPr>
        <w:t>:</w:t>
      </w:r>
      <w:r>
        <w:t xml:space="preserve"> </w:t>
      </w:r>
      <w:hyperlink r:id="rId5" w:history="1">
        <w:r w:rsidRPr="00AB1AB3">
          <w:rPr>
            <w:rStyle w:val="Hyperlink"/>
          </w:rPr>
          <w:t>https://doi.org/10.1111/bjh.17662</w:t>
        </w:r>
      </w:hyperlink>
      <w:r w:rsidRPr="007732CA">
        <w:t xml:space="preserve">). For patient 0, a GMP CD19-CAR T cell product was manufactured, but he did not proceed to the treatment portion of the clinical study due to poor clinical status in the setting of rapidly progressive B-ALL. Patients 13 – 23 were enrolled on the Phase II portion of the clinical trial and received protocol prescribed treatment with lymphodepleting chemotherapy (fludarabine/ cyclophosphamide) followed by infusion of CD19-CAR T cells (3x10^6 CAR+ T cells/kg). These 11 patients were majority male (n=6), with a median age of 6.5 years old (range 2 – 9 years) at time of infusion. Pre-treatment disease burden in the marrow ranged from 0-61% blasts by morphology; none had detectable leukemia in the cerebrospinal fluid. The outcome of these patients was </w:t>
      </w:r>
      <w:proofErr w:type="gramStart"/>
      <w:r w:rsidRPr="007732CA">
        <w:t>similar to</w:t>
      </w:r>
      <w:proofErr w:type="gramEnd"/>
      <w:r w:rsidRPr="007732CA">
        <w:t xml:space="preserve"> the first 12 patients reported in our publication (</w:t>
      </w:r>
      <w:proofErr w:type="spellStart"/>
      <w:r w:rsidRPr="007732CA">
        <w:rPr>
          <w:i/>
        </w:rPr>
        <w:t>Talleur</w:t>
      </w:r>
      <w:proofErr w:type="spellEnd"/>
      <w:r w:rsidRPr="007732CA">
        <w:rPr>
          <w:i/>
        </w:rPr>
        <w:t xml:space="preserve"> et al; Blood Adv 2022</w:t>
      </w:r>
      <w:r w:rsidRPr="007732CA">
        <w:t>): CAR T cell infusions were well tolerated with a low incidence of both cytokine release syndrome (any grade, n=7) and immune effector cell-associated neurotoxicity syndrome (ICANS; n=1). Ten out of 11 patients (patients 13 to 20 and 22 to 23) achieved a complete response (CR) at 4 weeks post infusion, of which two were MRD (measurable residual disease) positive. As with the initial patient cohort, patients who achieved a CR and proceeded to consolidative allogeneic HCT had excellent outcomes, with 5 out of 6 patients being alive and in CR at time of last follow-up.</w:t>
      </w:r>
    </w:p>
    <w:p w14:paraId="02A5848D" w14:textId="77777777" w:rsidR="00317CA4" w:rsidRDefault="00317CA4" w:rsidP="00317CA4">
      <w:pPr>
        <w:spacing w:before="240" w:after="240" w:line="360" w:lineRule="auto"/>
        <w:jc w:val="both"/>
      </w:pPr>
    </w:p>
    <w:sectPr w:rsidR="0031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8D"/>
    <w:rsid w:val="000A05B3"/>
    <w:rsid w:val="00317CA4"/>
    <w:rsid w:val="00C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C74F"/>
  <w15:chartTrackingRefBased/>
  <w15:docId w15:val="{A7B63F02-E79D-4AFC-85AA-332DDDAE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A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C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bjh.17662" TargetMode="External"/><Relationship Id="rId4" Type="http://schemas.openxmlformats.org/officeDocument/2006/relationships/hyperlink" Target="https://doi.org/10.1182/bloodadvances.202100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1824</Characters>
  <Application>Microsoft Office Word</Application>
  <DocSecurity>0</DocSecurity>
  <Lines>76</Lines>
  <Paragraphs>27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Jeremy</dc:creator>
  <cp:keywords/>
  <dc:description/>
  <cp:lastModifiedBy>Crawford, Jeremy</cp:lastModifiedBy>
  <cp:revision>2</cp:revision>
  <dcterms:created xsi:type="dcterms:W3CDTF">2022-06-24T17:49:00Z</dcterms:created>
  <dcterms:modified xsi:type="dcterms:W3CDTF">2022-06-24T17:54:00Z</dcterms:modified>
</cp:coreProperties>
</file>