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BAE3821" w14:textId="0C6DB9B9" w:rsidR="00844370" w:rsidRDefault="00844370" w:rsidP="0067598D">
      <w:pPr>
        <w:rPr>
          <w:rFonts w:ascii="Arial" w:hAnsi="Arial" w:cs="Arial"/>
          <w:b/>
        </w:rPr>
      </w:pPr>
      <w:r>
        <w:rPr>
          <w:rFonts w:ascii="Arial" w:hAnsi="Arial" w:cs="Arial"/>
          <w:b/>
        </w:rPr>
        <w:t>SUPPLEMENTARY TABLES:</w:t>
      </w:r>
    </w:p>
    <w:p w14:paraId="15AC4207" w14:textId="77777777" w:rsidR="00844370" w:rsidRDefault="00844370" w:rsidP="0067598D">
      <w:pPr>
        <w:rPr>
          <w:rFonts w:ascii="Arial" w:hAnsi="Arial" w:cs="Arial"/>
          <w:b/>
        </w:rPr>
      </w:pPr>
    </w:p>
    <w:p w14:paraId="76887FE0" w14:textId="77777777" w:rsidR="00593DF3" w:rsidRPr="007F56D8" w:rsidRDefault="00593DF3" w:rsidP="008C0333">
      <w:pPr>
        <w:jc w:val="both"/>
        <w:rPr>
          <w:rFonts w:ascii="Arial" w:hAnsi="Arial" w:cs="Arial"/>
        </w:rPr>
      </w:pPr>
      <w:r w:rsidRPr="007F56D8">
        <w:rPr>
          <w:rFonts w:ascii="Arial" w:hAnsi="Arial" w:cs="Arial"/>
          <w:b/>
        </w:rPr>
        <w:t xml:space="preserve">Table S1: Donors. </w:t>
      </w:r>
      <w:r w:rsidRPr="007F56D8">
        <w:rPr>
          <w:rFonts w:ascii="Arial" w:hAnsi="Arial" w:cs="Arial"/>
        </w:rPr>
        <w:t xml:space="preserve">Related to figures 1-7. A table describing the donor information for samples used in the study. </w:t>
      </w:r>
    </w:p>
    <w:p w14:paraId="6D9EB759" w14:textId="77777777" w:rsidR="00593DF3" w:rsidRDefault="00593DF3" w:rsidP="008C0333">
      <w:pPr>
        <w:jc w:val="both"/>
        <w:rPr>
          <w:rFonts w:ascii="Arial" w:hAnsi="Arial" w:cs="Arial"/>
          <w:b/>
        </w:rPr>
      </w:pPr>
    </w:p>
    <w:p w14:paraId="687AA401" w14:textId="443A2FE4" w:rsidR="00844370" w:rsidRDefault="00593DF3" w:rsidP="008C0333">
      <w:pPr>
        <w:jc w:val="both"/>
        <w:rPr>
          <w:rFonts w:ascii="Arial" w:hAnsi="Arial" w:cs="Arial"/>
        </w:rPr>
      </w:pPr>
      <w:r w:rsidRPr="007F56D8">
        <w:rPr>
          <w:rFonts w:ascii="Arial" w:hAnsi="Arial" w:cs="Arial"/>
          <w:b/>
        </w:rPr>
        <w:t>Table S2</w:t>
      </w:r>
      <w:r>
        <w:rPr>
          <w:rFonts w:ascii="Arial" w:hAnsi="Arial" w:cs="Arial"/>
          <w:b/>
        </w:rPr>
        <w:t xml:space="preserve">: </w:t>
      </w:r>
      <w:r w:rsidRPr="007F56D8">
        <w:rPr>
          <w:rFonts w:ascii="Arial" w:hAnsi="Arial" w:cs="Arial"/>
          <w:b/>
        </w:rPr>
        <w:t xml:space="preserve">Differential ChIP-seq peaks. </w:t>
      </w:r>
      <w:r>
        <w:rPr>
          <w:rFonts w:ascii="Arial" w:hAnsi="Arial" w:cs="Arial"/>
        </w:rPr>
        <w:t>Related to figures 1 and supplementary figure 2</w:t>
      </w:r>
      <w:r w:rsidRPr="007F56D8">
        <w:rPr>
          <w:rFonts w:ascii="Arial" w:hAnsi="Arial" w:cs="Arial"/>
        </w:rPr>
        <w:t>. Annotated table</w:t>
      </w:r>
      <w:r>
        <w:rPr>
          <w:rFonts w:ascii="Arial" w:hAnsi="Arial" w:cs="Arial"/>
        </w:rPr>
        <w:t>s</w:t>
      </w:r>
      <w:r w:rsidRPr="007F56D8">
        <w:rPr>
          <w:rFonts w:ascii="Arial" w:hAnsi="Arial" w:cs="Arial"/>
        </w:rPr>
        <w:t xml:space="preserve"> of the H3K4me1, H3K4me3, H3K27me3, and H3K27me3 ChIP-seq peaks that are gained or lost in aged HSCe</w:t>
      </w:r>
      <w:r>
        <w:rPr>
          <w:rFonts w:ascii="Arial" w:hAnsi="Arial" w:cs="Arial"/>
        </w:rPr>
        <w:t xml:space="preserve"> compared to young (LLR&gt;3</w:t>
      </w:r>
      <w:r w:rsidR="002A4672">
        <w:rPr>
          <w:rFonts w:ascii="Arial" w:hAnsi="Arial" w:cs="Arial"/>
        </w:rPr>
        <w:t xml:space="preserve"> and absolute fold-change&gt;1.5</w:t>
      </w:r>
      <w:r>
        <w:rPr>
          <w:rFonts w:ascii="Arial" w:hAnsi="Arial" w:cs="Arial"/>
        </w:rPr>
        <w:t xml:space="preserve">) as well as functional annotation of the peaks that have decreased </w:t>
      </w:r>
      <w:r w:rsidRPr="007F56D8">
        <w:rPr>
          <w:rFonts w:ascii="Arial" w:hAnsi="Arial" w:cs="Arial"/>
        </w:rPr>
        <w:t>H3K4me1,</w:t>
      </w:r>
      <w:r>
        <w:rPr>
          <w:rFonts w:ascii="Arial" w:hAnsi="Arial" w:cs="Arial"/>
        </w:rPr>
        <w:t xml:space="preserve"> H3K4me3, H3K27me3, or H3K27me3 with age.</w:t>
      </w:r>
    </w:p>
    <w:p w14:paraId="5EE7C9EC" w14:textId="77777777" w:rsidR="00593DF3" w:rsidRDefault="00593DF3" w:rsidP="008C0333">
      <w:pPr>
        <w:jc w:val="both"/>
        <w:rPr>
          <w:rFonts w:ascii="Arial" w:hAnsi="Arial" w:cs="Arial"/>
        </w:rPr>
      </w:pPr>
    </w:p>
    <w:p w14:paraId="0EA7B330" w14:textId="2C61EE16" w:rsidR="002F3EC1" w:rsidRPr="007F56D8" w:rsidRDefault="002F3EC1" w:rsidP="008C0333">
      <w:pPr>
        <w:jc w:val="both"/>
        <w:rPr>
          <w:rFonts w:ascii="Arial" w:hAnsi="Arial" w:cs="Arial"/>
        </w:rPr>
      </w:pPr>
      <w:r>
        <w:rPr>
          <w:rFonts w:ascii="Arial" w:hAnsi="Arial" w:cs="Arial"/>
          <w:b/>
        </w:rPr>
        <w:t>Table S3</w:t>
      </w:r>
      <w:r w:rsidRPr="007F56D8">
        <w:rPr>
          <w:rFonts w:ascii="Arial" w:hAnsi="Arial" w:cs="Arial"/>
          <w:b/>
        </w:rPr>
        <w:t xml:space="preserve">: Differentially methylated regions. </w:t>
      </w:r>
      <w:r>
        <w:rPr>
          <w:rFonts w:ascii="Arial" w:hAnsi="Arial" w:cs="Arial"/>
        </w:rPr>
        <w:t>Related to figure 1</w:t>
      </w:r>
      <w:r w:rsidRPr="007F56D8">
        <w:rPr>
          <w:rFonts w:ascii="Arial" w:hAnsi="Arial" w:cs="Arial"/>
        </w:rPr>
        <w:t>. Differentially methylated regions (DMRs) in Aged HSCe compared to Young HSCe (regions with ≥2 DMC, ≥3 CpG, absolute mean methylation difference ≥ 20, and DMR q-value ≤ 0.05).</w:t>
      </w:r>
    </w:p>
    <w:p w14:paraId="5291E924" w14:textId="77777777" w:rsidR="002F3EC1" w:rsidRDefault="002F3EC1" w:rsidP="008C0333">
      <w:pPr>
        <w:jc w:val="both"/>
        <w:rPr>
          <w:rFonts w:ascii="Arial" w:hAnsi="Arial" w:cs="Arial"/>
        </w:rPr>
      </w:pPr>
    </w:p>
    <w:p w14:paraId="4886C004" w14:textId="77777777" w:rsidR="00EF0ADC" w:rsidRDefault="00EF0ADC" w:rsidP="00EF0ADC">
      <w:pPr>
        <w:jc w:val="both"/>
        <w:rPr>
          <w:rFonts w:ascii="Arial" w:hAnsi="Arial" w:cs="Arial"/>
        </w:rPr>
      </w:pPr>
      <w:r>
        <w:rPr>
          <w:rFonts w:ascii="Arial" w:hAnsi="Arial" w:cs="Arial"/>
          <w:b/>
        </w:rPr>
        <w:t xml:space="preserve">Table S4: Clusters of age-associated epigenetic changes. </w:t>
      </w:r>
      <w:r>
        <w:rPr>
          <w:rFonts w:ascii="Arial" w:hAnsi="Arial" w:cs="Arial"/>
        </w:rPr>
        <w:t>Related to figures 2 and 3. Contains the list of peaks within each cluster. Also contains the significant (FDR &lt; 0.1) KEGG pathways enriched in each cluster.</w:t>
      </w:r>
    </w:p>
    <w:p w14:paraId="668CF458" w14:textId="77777777" w:rsidR="00EF0ADC" w:rsidRDefault="00EF0ADC" w:rsidP="008C0333">
      <w:pPr>
        <w:jc w:val="both"/>
        <w:rPr>
          <w:rFonts w:ascii="Arial" w:hAnsi="Arial" w:cs="Arial"/>
        </w:rPr>
      </w:pPr>
    </w:p>
    <w:p w14:paraId="3DF367EB" w14:textId="01A299EC" w:rsidR="00593DF3" w:rsidRDefault="00EF0ADC" w:rsidP="008C0333">
      <w:pPr>
        <w:jc w:val="both"/>
        <w:rPr>
          <w:rFonts w:ascii="Arial" w:hAnsi="Arial" w:cs="Arial"/>
        </w:rPr>
      </w:pPr>
      <w:r>
        <w:rPr>
          <w:rFonts w:ascii="Arial" w:hAnsi="Arial" w:cs="Arial"/>
          <w:b/>
        </w:rPr>
        <w:t>Table S5</w:t>
      </w:r>
      <w:r w:rsidR="00593DF3" w:rsidRPr="00593DF3">
        <w:rPr>
          <w:rFonts w:ascii="Arial" w:hAnsi="Arial" w:cs="Arial"/>
          <w:b/>
        </w:rPr>
        <w:t>: Genomic regulatory regions in young HSC.</w:t>
      </w:r>
      <w:r w:rsidR="00593DF3">
        <w:rPr>
          <w:rFonts w:ascii="Arial" w:hAnsi="Arial" w:cs="Arial"/>
        </w:rPr>
        <w:t xml:space="preserve"> Related to figures 2 and 3. Contains the lists of active and poised enhancers, as well as bivalent promoters, identified in young HSCe.</w:t>
      </w:r>
    </w:p>
    <w:p w14:paraId="4FCA5C11" w14:textId="77777777" w:rsidR="002F3EC1" w:rsidRDefault="002F3EC1" w:rsidP="008C0333">
      <w:pPr>
        <w:jc w:val="both"/>
        <w:rPr>
          <w:rFonts w:ascii="Arial" w:hAnsi="Arial" w:cs="Arial"/>
        </w:rPr>
      </w:pPr>
    </w:p>
    <w:p w14:paraId="6BF04E95" w14:textId="44C56361" w:rsidR="002F3EC1" w:rsidRDefault="008C0333" w:rsidP="008C0333">
      <w:pPr>
        <w:jc w:val="both"/>
        <w:rPr>
          <w:rFonts w:ascii="Arial" w:hAnsi="Arial" w:cs="Arial"/>
        </w:rPr>
      </w:pPr>
      <w:r w:rsidRPr="008C0333">
        <w:rPr>
          <w:rFonts w:ascii="Arial" w:hAnsi="Arial" w:cs="Arial"/>
          <w:b/>
        </w:rPr>
        <w:t>Table S6:</w:t>
      </w:r>
      <w:r>
        <w:rPr>
          <w:rFonts w:ascii="Arial" w:hAnsi="Arial" w:cs="Arial"/>
        </w:rPr>
        <w:t xml:space="preserve"> </w:t>
      </w:r>
      <w:r w:rsidRPr="007F56D8">
        <w:rPr>
          <w:rFonts w:ascii="Arial" w:hAnsi="Arial" w:cs="Arial"/>
          <w:b/>
        </w:rPr>
        <w:t xml:space="preserve">Gene expression. </w:t>
      </w:r>
      <w:r>
        <w:rPr>
          <w:rFonts w:ascii="Arial" w:hAnsi="Arial" w:cs="Arial"/>
        </w:rPr>
        <w:t>Related to figure 4</w:t>
      </w:r>
      <w:r w:rsidRPr="007F56D8">
        <w:rPr>
          <w:rFonts w:ascii="Arial" w:hAnsi="Arial" w:cs="Arial"/>
        </w:rPr>
        <w:t>.</w:t>
      </w:r>
      <w:r w:rsidRPr="007F56D8">
        <w:rPr>
          <w:rFonts w:ascii="Arial" w:hAnsi="Arial" w:cs="Arial"/>
          <w:b/>
        </w:rPr>
        <w:t xml:space="preserve"> </w:t>
      </w:r>
      <w:r w:rsidRPr="007F56D8">
        <w:rPr>
          <w:rFonts w:ascii="Arial" w:hAnsi="Arial" w:cs="Arial"/>
        </w:rPr>
        <w:t>Reported are the differentially expressed (</w:t>
      </w:r>
      <w:proofErr w:type="spellStart"/>
      <w:r w:rsidRPr="007F56D8">
        <w:rPr>
          <w:rFonts w:ascii="Arial" w:hAnsi="Arial" w:cs="Arial"/>
        </w:rPr>
        <w:t>padj</w:t>
      </w:r>
      <w:proofErr w:type="spellEnd"/>
      <w:r w:rsidRPr="007F56D8">
        <w:rPr>
          <w:rFonts w:ascii="Arial" w:hAnsi="Arial" w:cs="Arial"/>
        </w:rPr>
        <w:t>&lt;0.05, fold-change &gt;1.5) genes in aged HSCe compared to young HSCe. A positive log2 fold-change corresponds to increased gene expression in aged HSCe</w:t>
      </w:r>
      <w:r>
        <w:rPr>
          <w:rFonts w:ascii="Arial" w:hAnsi="Arial" w:cs="Arial"/>
        </w:rPr>
        <w:t>.</w:t>
      </w:r>
    </w:p>
    <w:p w14:paraId="271DFED1" w14:textId="77777777" w:rsidR="008C0333" w:rsidRDefault="008C0333" w:rsidP="008C0333">
      <w:pPr>
        <w:jc w:val="both"/>
        <w:rPr>
          <w:rFonts w:ascii="Arial" w:hAnsi="Arial" w:cs="Arial"/>
        </w:rPr>
      </w:pPr>
    </w:p>
    <w:p w14:paraId="30CEF930" w14:textId="29D1D99B" w:rsidR="008C0333" w:rsidRDefault="008C0333" w:rsidP="008C0333">
      <w:pPr>
        <w:jc w:val="both"/>
        <w:rPr>
          <w:rFonts w:ascii="Arial" w:hAnsi="Arial" w:cs="Arial"/>
        </w:rPr>
      </w:pPr>
      <w:r>
        <w:rPr>
          <w:rFonts w:ascii="Arial" w:hAnsi="Arial" w:cs="Arial"/>
          <w:b/>
        </w:rPr>
        <w:t xml:space="preserve">Table S7: </w:t>
      </w:r>
      <w:r w:rsidRPr="007F56D8">
        <w:rPr>
          <w:rFonts w:ascii="Arial" w:hAnsi="Arial" w:cs="Arial"/>
          <w:b/>
        </w:rPr>
        <w:t xml:space="preserve">Gene set enrichment analysis. </w:t>
      </w:r>
      <w:r>
        <w:rPr>
          <w:rFonts w:ascii="Arial" w:hAnsi="Arial" w:cs="Arial"/>
        </w:rPr>
        <w:t>Related to figures 4 and 7</w:t>
      </w:r>
      <w:r w:rsidRPr="007F56D8">
        <w:rPr>
          <w:rFonts w:ascii="Arial" w:hAnsi="Arial" w:cs="Arial"/>
        </w:rPr>
        <w:t>. Reported are the significant (FDR&lt;0.05) GSEA results for the Wald statistic ranked list of aged HSCe gene ex</w:t>
      </w:r>
      <w:r>
        <w:rPr>
          <w:rFonts w:ascii="Arial" w:hAnsi="Arial" w:cs="Arial"/>
        </w:rPr>
        <w:t xml:space="preserve">pression compared to young HSCe and the GSEA </w:t>
      </w:r>
      <w:r w:rsidRPr="007F56D8">
        <w:rPr>
          <w:rFonts w:ascii="Arial" w:hAnsi="Arial" w:cs="Arial"/>
        </w:rPr>
        <w:t xml:space="preserve">results for the Wald statistic ranked list of </w:t>
      </w:r>
      <w:r>
        <w:rPr>
          <w:rFonts w:ascii="Arial" w:hAnsi="Arial" w:cs="Arial"/>
        </w:rPr>
        <w:t xml:space="preserve">gene expression for CD34+ transfected with </w:t>
      </w:r>
      <w:proofErr w:type="spellStart"/>
      <w:r>
        <w:rPr>
          <w:rFonts w:ascii="Arial" w:hAnsi="Arial" w:cs="Arial"/>
        </w:rPr>
        <w:t>sgCTRL</w:t>
      </w:r>
      <w:proofErr w:type="spellEnd"/>
      <w:r>
        <w:rPr>
          <w:rFonts w:ascii="Arial" w:hAnsi="Arial" w:cs="Arial"/>
        </w:rPr>
        <w:t xml:space="preserve"> compared to CD34+ transfected with sgKLF6.</w:t>
      </w:r>
    </w:p>
    <w:p w14:paraId="2E856559" w14:textId="77777777" w:rsidR="00D363E2" w:rsidRDefault="00D363E2" w:rsidP="008C0333">
      <w:pPr>
        <w:jc w:val="both"/>
        <w:rPr>
          <w:rFonts w:ascii="Arial" w:hAnsi="Arial" w:cs="Arial"/>
        </w:rPr>
      </w:pPr>
    </w:p>
    <w:p w14:paraId="4E8DD03D" w14:textId="7F91D216" w:rsidR="00D363E2" w:rsidRDefault="00D363E2" w:rsidP="008C0333">
      <w:pPr>
        <w:jc w:val="both"/>
        <w:rPr>
          <w:rFonts w:ascii="Arial" w:hAnsi="Arial" w:cs="Arial"/>
        </w:rPr>
      </w:pPr>
      <w:r w:rsidRPr="00D363E2">
        <w:rPr>
          <w:rFonts w:ascii="Arial" w:hAnsi="Arial" w:cs="Arial"/>
          <w:b/>
        </w:rPr>
        <w:t>Table S8:</w:t>
      </w:r>
      <w:r>
        <w:rPr>
          <w:rFonts w:ascii="Arial" w:hAnsi="Arial" w:cs="Arial"/>
        </w:rPr>
        <w:t xml:space="preserve"> </w:t>
      </w:r>
      <w:r w:rsidRPr="007F56D8">
        <w:rPr>
          <w:rFonts w:ascii="Arial" w:hAnsi="Arial" w:cs="Arial"/>
          <w:b/>
        </w:rPr>
        <w:t>Overlap with aging signatures</w:t>
      </w:r>
      <w:r>
        <w:rPr>
          <w:rFonts w:ascii="Arial" w:hAnsi="Arial" w:cs="Arial"/>
        </w:rPr>
        <w:t xml:space="preserve">. </w:t>
      </w:r>
      <w:r w:rsidRPr="007F56D8">
        <w:rPr>
          <w:rFonts w:ascii="Arial" w:hAnsi="Arial" w:cs="Arial"/>
        </w:rPr>
        <w:t>Related to figure 5. Results of the comparison of HSCe age-associated differentially expressed genes to genes differential expressed in 9 other tissues by Yang et al., 2015.</w:t>
      </w:r>
    </w:p>
    <w:p w14:paraId="7295E71F" w14:textId="77777777" w:rsidR="008C0333" w:rsidRDefault="008C0333" w:rsidP="008C0333">
      <w:pPr>
        <w:jc w:val="both"/>
        <w:rPr>
          <w:rFonts w:ascii="Arial" w:hAnsi="Arial" w:cs="Arial"/>
        </w:rPr>
      </w:pPr>
    </w:p>
    <w:p w14:paraId="7BD08BF7" w14:textId="531A3FC0" w:rsidR="008C0333" w:rsidRDefault="008C0333" w:rsidP="008C0333">
      <w:pPr>
        <w:jc w:val="both"/>
        <w:rPr>
          <w:rFonts w:ascii="Arial" w:hAnsi="Arial" w:cs="Arial"/>
        </w:rPr>
      </w:pPr>
      <w:r w:rsidRPr="008C0333">
        <w:rPr>
          <w:rFonts w:ascii="Arial" w:hAnsi="Arial" w:cs="Arial"/>
          <w:b/>
        </w:rPr>
        <w:t>Table S</w:t>
      </w:r>
      <w:r w:rsidR="009816F2">
        <w:rPr>
          <w:rFonts w:ascii="Arial" w:hAnsi="Arial" w:cs="Arial"/>
          <w:b/>
        </w:rPr>
        <w:t>9</w:t>
      </w:r>
      <w:r>
        <w:rPr>
          <w:rFonts w:ascii="Arial" w:hAnsi="Arial" w:cs="Arial"/>
        </w:rPr>
        <w:t xml:space="preserve">: </w:t>
      </w:r>
      <w:r>
        <w:rPr>
          <w:rFonts w:ascii="Arial" w:hAnsi="Arial" w:cs="Arial"/>
          <w:b/>
        </w:rPr>
        <w:t xml:space="preserve">sc-RNAseq. </w:t>
      </w:r>
      <w:r w:rsidRPr="00B701BE">
        <w:rPr>
          <w:rFonts w:ascii="Arial" w:hAnsi="Arial" w:cs="Arial"/>
        </w:rPr>
        <w:t>Related to figure 7.</w:t>
      </w:r>
      <w:r>
        <w:rPr>
          <w:rFonts w:ascii="Arial" w:hAnsi="Arial" w:cs="Arial"/>
        </w:rPr>
        <w:t xml:space="preserve"> Contains the donor information for samples used for sc-RNAseq, as well as the differentially expressed genes in young vs. aged non-cycling HSC.</w:t>
      </w:r>
    </w:p>
    <w:p w14:paraId="2160905C" w14:textId="77777777" w:rsidR="008C0333" w:rsidRDefault="008C0333" w:rsidP="008C0333">
      <w:pPr>
        <w:jc w:val="both"/>
        <w:rPr>
          <w:rFonts w:ascii="Arial" w:hAnsi="Arial" w:cs="Arial"/>
        </w:rPr>
      </w:pPr>
    </w:p>
    <w:p w14:paraId="108EF06B" w14:textId="509CDD85" w:rsidR="008C0333" w:rsidRPr="007F56D8" w:rsidRDefault="009816F2" w:rsidP="008C0333">
      <w:pPr>
        <w:jc w:val="both"/>
        <w:rPr>
          <w:rFonts w:ascii="Arial" w:hAnsi="Arial" w:cs="Arial"/>
        </w:rPr>
      </w:pPr>
      <w:r>
        <w:rPr>
          <w:rFonts w:ascii="Arial" w:hAnsi="Arial" w:cs="Arial"/>
          <w:b/>
        </w:rPr>
        <w:t>Table S10</w:t>
      </w:r>
      <w:r w:rsidR="008C0333" w:rsidRPr="008C0333">
        <w:rPr>
          <w:rFonts w:ascii="Arial" w:hAnsi="Arial" w:cs="Arial"/>
          <w:b/>
        </w:rPr>
        <w:t>:</w:t>
      </w:r>
      <w:r w:rsidR="008C0333">
        <w:rPr>
          <w:rFonts w:ascii="Arial" w:hAnsi="Arial" w:cs="Arial"/>
        </w:rPr>
        <w:t xml:space="preserve"> </w:t>
      </w:r>
      <w:r w:rsidR="008C0333" w:rsidRPr="007F56D8">
        <w:rPr>
          <w:rFonts w:ascii="Arial" w:hAnsi="Arial" w:cs="Arial"/>
          <w:b/>
        </w:rPr>
        <w:t xml:space="preserve">Regions predisposing to AML. </w:t>
      </w:r>
      <w:r w:rsidR="008C0333" w:rsidRPr="007F56D8">
        <w:rPr>
          <w:rFonts w:ascii="Arial" w:hAnsi="Arial" w:cs="Arial"/>
        </w:rPr>
        <w:t>Related to figure 6. Contains the results of the k-means clustering performed using young and aged HSCe and AML sample</w:t>
      </w:r>
      <w:r w:rsidR="00475292">
        <w:rPr>
          <w:rFonts w:ascii="Arial" w:hAnsi="Arial" w:cs="Arial"/>
        </w:rPr>
        <w:t>s for both DNA methylation and the histone modifications.</w:t>
      </w:r>
    </w:p>
    <w:p w14:paraId="0F3A6382" w14:textId="77777777" w:rsidR="008C0333" w:rsidRDefault="008C0333" w:rsidP="008C0333">
      <w:pPr>
        <w:jc w:val="both"/>
        <w:rPr>
          <w:rFonts w:ascii="Arial" w:hAnsi="Arial" w:cs="Arial"/>
          <w:b/>
        </w:rPr>
      </w:pPr>
    </w:p>
    <w:p w14:paraId="63826235" w14:textId="15776447" w:rsidR="008C0333" w:rsidRPr="008C0333" w:rsidRDefault="009816F2" w:rsidP="00593DF3">
      <w:pPr>
        <w:rPr>
          <w:rFonts w:ascii="Arial" w:hAnsi="Arial" w:cs="Arial"/>
          <w:b/>
        </w:rPr>
      </w:pPr>
      <w:r>
        <w:rPr>
          <w:rFonts w:ascii="Arial" w:hAnsi="Arial" w:cs="Arial"/>
          <w:b/>
        </w:rPr>
        <w:lastRenderedPageBreak/>
        <w:t>Table S11</w:t>
      </w:r>
      <w:r w:rsidR="00F60778">
        <w:rPr>
          <w:rFonts w:ascii="Arial" w:hAnsi="Arial" w:cs="Arial"/>
          <w:b/>
        </w:rPr>
        <w:t xml:space="preserve">: </w:t>
      </w:r>
      <w:r w:rsidR="00F60778" w:rsidRPr="007F56D8">
        <w:rPr>
          <w:rFonts w:ascii="Arial" w:hAnsi="Arial" w:cs="Arial"/>
          <w:b/>
        </w:rPr>
        <w:t>Oligonucleotides.</w:t>
      </w:r>
      <w:r w:rsidR="009B3E65">
        <w:rPr>
          <w:rFonts w:ascii="Arial" w:hAnsi="Arial" w:cs="Arial"/>
        </w:rPr>
        <w:t xml:space="preserve"> Related to figures 1 and 7 and S7</w:t>
      </w:r>
      <w:r w:rsidR="00F60778" w:rsidRPr="007F56D8">
        <w:rPr>
          <w:rFonts w:ascii="Arial" w:hAnsi="Arial" w:cs="Arial"/>
        </w:rPr>
        <w:t>.</w:t>
      </w:r>
      <w:r w:rsidR="00F60778" w:rsidRPr="007F56D8">
        <w:rPr>
          <w:rFonts w:ascii="Arial" w:hAnsi="Arial" w:cs="Arial"/>
          <w:b/>
        </w:rPr>
        <w:t xml:space="preserve"> </w:t>
      </w:r>
      <w:r w:rsidR="00F60778" w:rsidRPr="007F56D8">
        <w:rPr>
          <w:rFonts w:ascii="Arial" w:hAnsi="Arial" w:cs="Arial"/>
        </w:rPr>
        <w:t>Oligonucleotides used throughout the study.</w:t>
      </w:r>
    </w:p>
    <w:p w14:paraId="43F2A43D" w14:textId="77777777" w:rsidR="00844370" w:rsidRDefault="00844370" w:rsidP="0067598D">
      <w:pPr>
        <w:rPr>
          <w:rFonts w:ascii="Arial" w:hAnsi="Arial" w:cs="Arial"/>
          <w:b/>
        </w:rPr>
      </w:pPr>
    </w:p>
    <w:p w14:paraId="358C958D" w14:textId="77777777" w:rsidR="009B3E65" w:rsidRDefault="009B3E65">
      <w:pPr>
        <w:rPr>
          <w:rFonts w:ascii="Arial" w:hAnsi="Arial" w:cs="Arial"/>
          <w:b/>
        </w:rPr>
      </w:pPr>
      <w:r>
        <w:rPr>
          <w:rFonts w:ascii="Arial" w:hAnsi="Arial" w:cs="Arial"/>
          <w:b/>
        </w:rPr>
        <w:br w:type="page"/>
      </w:r>
    </w:p>
    <w:p w14:paraId="2A5F1253" w14:textId="79A47795" w:rsidR="0067598D" w:rsidRDefault="0067598D" w:rsidP="0067598D">
      <w:pPr>
        <w:rPr>
          <w:rFonts w:ascii="Arial" w:hAnsi="Arial" w:cs="Arial"/>
          <w:b/>
        </w:rPr>
      </w:pPr>
      <w:r>
        <w:rPr>
          <w:rFonts w:ascii="Arial" w:hAnsi="Arial" w:cs="Arial"/>
          <w:b/>
        </w:rPr>
        <w:lastRenderedPageBreak/>
        <w:t>SUPPLEMENTARY FIGURES:</w:t>
      </w:r>
    </w:p>
    <w:p w14:paraId="1C4EB603" w14:textId="77777777" w:rsidR="0067598D" w:rsidRDefault="0067598D" w:rsidP="0067598D">
      <w:pPr>
        <w:rPr>
          <w:rFonts w:ascii="Arial" w:hAnsi="Arial" w:cs="Arial"/>
          <w:b/>
        </w:rPr>
      </w:pPr>
    </w:p>
    <w:p w14:paraId="12A960B4" w14:textId="77777777" w:rsidR="0067598D" w:rsidRDefault="0067598D" w:rsidP="0067598D">
      <w:pPr>
        <w:rPr>
          <w:rFonts w:ascii="Arial" w:hAnsi="Arial" w:cs="Arial"/>
          <w:b/>
        </w:rPr>
      </w:pPr>
      <w:r>
        <w:rPr>
          <w:rFonts w:ascii="Arial" w:hAnsi="Arial" w:cs="Arial"/>
          <w:b/>
        </w:rPr>
        <w:t>Supplementary Figure S1:</w:t>
      </w:r>
    </w:p>
    <w:p w14:paraId="06EF9FCA" w14:textId="70C4C7D1" w:rsidR="000129B6" w:rsidRDefault="00F44BA1">
      <w:r>
        <w:rPr>
          <w:noProof/>
        </w:rPr>
        <w:drawing>
          <wp:inline distT="0" distB="0" distL="0" distR="0" wp14:anchorId="483289A6" wp14:editId="3AD97740">
            <wp:extent cx="5943106" cy="4397071"/>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_S1-01.jpg"/>
                    <pic:cNvPicPr/>
                  </pic:nvPicPr>
                  <pic:blipFill rotWithShape="1">
                    <a:blip r:embed="rId4">
                      <a:extLst>
                        <a:ext uri="{28A0092B-C50C-407E-A947-70E740481C1C}">
                          <a14:useLocalDpi xmlns:a14="http://schemas.microsoft.com/office/drawing/2010/main" val="0"/>
                        </a:ext>
                      </a:extLst>
                    </a:blip>
                    <a:srcRect t="4962" b="37867"/>
                    <a:stretch/>
                  </pic:blipFill>
                  <pic:spPr bwMode="auto">
                    <a:xfrm>
                      <a:off x="0" y="0"/>
                      <a:ext cx="5943600" cy="4397436"/>
                    </a:xfrm>
                    <a:prstGeom prst="rect">
                      <a:avLst/>
                    </a:prstGeom>
                    <a:ln>
                      <a:noFill/>
                    </a:ln>
                    <a:extLst>
                      <a:ext uri="{53640926-AAD7-44D8-BBD7-CCE9431645EC}">
                        <a14:shadowObscured xmlns:a14="http://schemas.microsoft.com/office/drawing/2010/main"/>
                      </a:ext>
                    </a:extLst>
                  </pic:spPr>
                </pic:pic>
              </a:graphicData>
            </a:graphic>
          </wp:inline>
        </w:drawing>
      </w:r>
    </w:p>
    <w:p w14:paraId="31D1C1AB" w14:textId="77777777" w:rsidR="0067598D" w:rsidRDefault="0067598D"/>
    <w:p w14:paraId="56FF7E92" w14:textId="77777777" w:rsidR="0067598D" w:rsidRDefault="0067598D" w:rsidP="0067598D">
      <w:pPr>
        <w:jc w:val="both"/>
        <w:rPr>
          <w:rFonts w:ascii="Arial" w:hAnsi="Arial" w:cs="Arial"/>
        </w:rPr>
      </w:pPr>
      <w:r>
        <w:rPr>
          <w:rFonts w:ascii="Arial" w:hAnsi="Arial" w:cs="Arial"/>
          <w:b/>
        </w:rPr>
        <w:t>Supplementary Fig. S1</w:t>
      </w:r>
      <w:r w:rsidRPr="00D375F5">
        <w:rPr>
          <w:rFonts w:ascii="Arial" w:hAnsi="Arial" w:cs="Arial"/>
          <w:b/>
        </w:rPr>
        <w:t xml:space="preserve">: FACS Isolation of HSCe and HSPC. </w:t>
      </w:r>
      <w:r w:rsidRPr="007D1BC5">
        <w:rPr>
          <w:rFonts w:ascii="Arial" w:hAnsi="Arial" w:cs="Arial"/>
          <w:b/>
        </w:rPr>
        <w:t>(A)</w:t>
      </w:r>
      <w:r>
        <w:rPr>
          <w:rFonts w:ascii="Arial" w:hAnsi="Arial" w:cs="Arial"/>
        </w:rPr>
        <w:t xml:space="preserve"> Cell isolation schema </w:t>
      </w:r>
      <w:r w:rsidRPr="00D375F5">
        <w:rPr>
          <w:rFonts w:ascii="Arial" w:hAnsi="Arial" w:cs="Arial"/>
        </w:rPr>
        <w:t xml:space="preserve">used to isolate HSCe (Lin-, CD34+, CD38-) and HSPC (Lin-, CD34+, CD38+) from human healthy bone marrow donors. </w:t>
      </w:r>
      <w:r w:rsidRPr="007D1BC5">
        <w:rPr>
          <w:rFonts w:ascii="Arial" w:hAnsi="Arial" w:cs="Arial"/>
          <w:b/>
        </w:rPr>
        <w:t>(B)</w:t>
      </w:r>
      <w:r>
        <w:rPr>
          <w:rFonts w:ascii="Arial" w:hAnsi="Arial" w:cs="Arial"/>
        </w:rPr>
        <w:t xml:space="preserve"> FACS gating strategy. Shown are representative plots for a young donor (top) and aged donor (bottom). </w:t>
      </w:r>
      <w:r w:rsidRPr="007D1BC5">
        <w:rPr>
          <w:rFonts w:ascii="Arial" w:hAnsi="Arial" w:cs="Arial"/>
          <w:b/>
        </w:rPr>
        <w:t xml:space="preserve">(C) </w:t>
      </w:r>
      <w:r>
        <w:rPr>
          <w:rFonts w:ascii="Arial" w:hAnsi="Arial" w:cs="Arial"/>
        </w:rPr>
        <w:t xml:space="preserve">Plots of the frequencies of HSCe, MEP, CMP, and GMP in young and aged samples. Each dot is representative of 1 donor (n=41 young and n=55 aged). p-values calculated using t-test in Prism, </w:t>
      </w:r>
      <w:r w:rsidRPr="006541F6">
        <w:rPr>
          <w:rFonts w:ascii="Arial" w:hAnsi="Arial" w:cs="Arial"/>
        </w:rPr>
        <w:t>p&gt;0.05=ns, p ≤ 0.05=*, p≤0.01=**, p≤0.001=***, p≤0.0001=****</w:t>
      </w:r>
      <w:r>
        <w:rPr>
          <w:rFonts w:ascii="Arial" w:hAnsi="Arial" w:cs="Arial"/>
        </w:rPr>
        <w:t>. See also Table S1.</w:t>
      </w:r>
    </w:p>
    <w:p w14:paraId="43C0AEA3" w14:textId="51F87BA1" w:rsidR="00F44BA1" w:rsidRDefault="00F44BA1">
      <w:pPr>
        <w:rPr>
          <w:rFonts w:ascii="Arial" w:hAnsi="Arial" w:cs="Arial"/>
        </w:rPr>
      </w:pPr>
      <w:r>
        <w:rPr>
          <w:rFonts w:ascii="Arial" w:hAnsi="Arial" w:cs="Arial"/>
        </w:rPr>
        <w:br w:type="page"/>
      </w:r>
    </w:p>
    <w:p w14:paraId="44ABB637" w14:textId="74BFF77A" w:rsidR="00F44BA1" w:rsidRDefault="00F44BA1" w:rsidP="0067598D">
      <w:pPr>
        <w:jc w:val="both"/>
        <w:rPr>
          <w:rFonts w:ascii="Arial" w:hAnsi="Arial" w:cs="Arial"/>
          <w:b/>
        </w:rPr>
      </w:pPr>
      <w:r>
        <w:rPr>
          <w:rFonts w:ascii="Arial" w:hAnsi="Arial" w:cs="Arial"/>
          <w:b/>
        </w:rPr>
        <w:lastRenderedPageBreak/>
        <w:t>Supplementary Figure S2:</w:t>
      </w:r>
    </w:p>
    <w:p w14:paraId="5F73E4DD" w14:textId="77777777" w:rsidR="00D729F8" w:rsidRDefault="00D729F8" w:rsidP="0067598D">
      <w:pPr>
        <w:jc w:val="both"/>
        <w:rPr>
          <w:rFonts w:ascii="Arial" w:hAnsi="Arial" w:cs="Arial"/>
          <w:b/>
        </w:rPr>
      </w:pPr>
    </w:p>
    <w:p w14:paraId="10CD4377" w14:textId="7B9002BF" w:rsidR="00F44BA1" w:rsidRDefault="00D729F8" w:rsidP="0067598D">
      <w:pPr>
        <w:jc w:val="both"/>
        <w:rPr>
          <w:rFonts w:ascii="Arial" w:hAnsi="Arial" w:cs="Arial"/>
          <w:b/>
        </w:rPr>
      </w:pPr>
      <w:r>
        <w:rPr>
          <w:rFonts w:ascii="Arial" w:hAnsi="Arial" w:cs="Arial"/>
          <w:b/>
          <w:noProof/>
        </w:rPr>
        <w:drawing>
          <wp:inline distT="0" distB="0" distL="0" distR="0" wp14:anchorId="5EC6564A" wp14:editId="3A3D5F0A">
            <wp:extent cx="5943168" cy="3288145"/>
            <wp:effectExtent l="0" t="0" r="63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_S2-01.jpg"/>
                    <pic:cNvPicPr/>
                  </pic:nvPicPr>
                  <pic:blipFill rotWithShape="1">
                    <a:blip r:embed="rId5">
                      <a:extLst>
                        <a:ext uri="{28A0092B-C50C-407E-A947-70E740481C1C}">
                          <a14:useLocalDpi xmlns:a14="http://schemas.microsoft.com/office/drawing/2010/main" val="0"/>
                        </a:ext>
                      </a:extLst>
                    </a:blip>
                    <a:srcRect t="7085" b="50163"/>
                    <a:stretch/>
                  </pic:blipFill>
                  <pic:spPr bwMode="auto">
                    <a:xfrm>
                      <a:off x="0" y="0"/>
                      <a:ext cx="5943600" cy="3288384"/>
                    </a:xfrm>
                    <a:prstGeom prst="rect">
                      <a:avLst/>
                    </a:prstGeom>
                    <a:ln>
                      <a:noFill/>
                    </a:ln>
                    <a:extLst>
                      <a:ext uri="{53640926-AAD7-44D8-BBD7-CCE9431645EC}">
                        <a14:shadowObscured xmlns:a14="http://schemas.microsoft.com/office/drawing/2010/main"/>
                      </a:ext>
                    </a:extLst>
                  </pic:spPr>
                </pic:pic>
              </a:graphicData>
            </a:graphic>
          </wp:inline>
        </w:drawing>
      </w:r>
    </w:p>
    <w:p w14:paraId="106E5BAF" w14:textId="77777777" w:rsidR="00F44BA1" w:rsidRDefault="00F44BA1" w:rsidP="0067598D">
      <w:pPr>
        <w:jc w:val="both"/>
        <w:rPr>
          <w:rFonts w:ascii="Arial" w:hAnsi="Arial" w:cs="Arial"/>
          <w:b/>
        </w:rPr>
      </w:pPr>
    </w:p>
    <w:p w14:paraId="0385F84A" w14:textId="150C9167" w:rsidR="00F44BA1" w:rsidRDefault="00F44BA1" w:rsidP="0067598D">
      <w:pPr>
        <w:jc w:val="both"/>
        <w:rPr>
          <w:rFonts w:ascii="Arial" w:hAnsi="Arial" w:cs="Arial"/>
        </w:rPr>
      </w:pPr>
      <w:r>
        <w:rPr>
          <w:rFonts w:ascii="Arial" w:hAnsi="Arial" w:cs="Arial"/>
          <w:b/>
        </w:rPr>
        <w:t xml:space="preserve">Supplementary Fig. S2: Focal reduction of activating histone </w:t>
      </w:r>
      <w:r w:rsidR="009F5999">
        <w:rPr>
          <w:rFonts w:ascii="Arial" w:hAnsi="Arial" w:cs="Arial"/>
          <w:b/>
        </w:rPr>
        <w:t>modifications</w:t>
      </w:r>
      <w:r>
        <w:rPr>
          <w:rFonts w:ascii="Arial" w:hAnsi="Arial" w:cs="Arial"/>
          <w:b/>
        </w:rPr>
        <w:t xml:space="preserve"> with age. (A) </w:t>
      </w:r>
      <w:r w:rsidRPr="001E1104">
        <w:rPr>
          <w:rFonts w:ascii="Arial" w:hAnsi="Arial" w:cs="Arial"/>
        </w:rPr>
        <w:t>Metaplots of log</w:t>
      </w:r>
      <w:r w:rsidRPr="001E1104">
        <w:rPr>
          <w:rFonts w:ascii="Arial" w:hAnsi="Arial" w:cs="Arial"/>
          <w:vertAlign w:val="subscript"/>
        </w:rPr>
        <w:t>2</w:t>
      </w:r>
      <w:r w:rsidRPr="001E1104">
        <w:rPr>
          <w:rFonts w:ascii="Arial" w:hAnsi="Arial" w:cs="Arial"/>
        </w:rPr>
        <w:t>(Pooled IP/Pooled Input) signal at regions that lose (log</w:t>
      </w:r>
      <w:r w:rsidRPr="001E1104">
        <w:rPr>
          <w:rFonts w:ascii="Arial" w:hAnsi="Arial" w:cs="Arial"/>
          <w:vertAlign w:val="subscript"/>
        </w:rPr>
        <w:t>10</w:t>
      </w:r>
      <w:r w:rsidRPr="001E1104">
        <w:rPr>
          <w:rFonts w:ascii="Arial" w:hAnsi="Arial" w:cs="Arial"/>
        </w:rPr>
        <w:t xml:space="preserve"> likelihood ratio &gt; 3, absolute</w:t>
      </w:r>
      <w:r>
        <w:rPr>
          <w:rFonts w:ascii="Arial" w:hAnsi="Arial" w:cs="Arial"/>
        </w:rPr>
        <w:t xml:space="preserve"> </w:t>
      </w:r>
      <w:r w:rsidRPr="001E1104">
        <w:rPr>
          <w:rFonts w:ascii="Arial" w:hAnsi="Arial" w:cs="Arial"/>
        </w:rPr>
        <w:t xml:space="preserve">fold-change &gt;1.5) H3K4me1, H3K27ac, H3K4me3, or H3K27me3 signal in aged HSCe compared to young. Represented are 10-kb regions centered around the differential peak areas. </w:t>
      </w:r>
      <w:r>
        <w:rPr>
          <w:rFonts w:ascii="Arial" w:hAnsi="Arial" w:cs="Arial"/>
          <w:b/>
        </w:rPr>
        <w:t>(B</w:t>
      </w:r>
      <w:r w:rsidRPr="001E1104">
        <w:rPr>
          <w:rFonts w:ascii="Arial" w:hAnsi="Arial" w:cs="Arial"/>
          <w:b/>
        </w:rPr>
        <w:t>)</w:t>
      </w:r>
      <w:r w:rsidRPr="001E1104">
        <w:rPr>
          <w:rFonts w:ascii="Arial" w:hAnsi="Arial" w:cs="Arial"/>
        </w:rPr>
        <w:t xml:space="preserve"> Bar plots illustrating the percentage of peaks that are unchanged, gained, or lost in aged HSCe compared to young.</w:t>
      </w:r>
      <w:r>
        <w:rPr>
          <w:rFonts w:ascii="Arial" w:hAnsi="Arial" w:cs="Arial"/>
        </w:rPr>
        <w:t xml:space="preserve"> See also Figure 1.</w:t>
      </w:r>
    </w:p>
    <w:p w14:paraId="3089B47D" w14:textId="77777777" w:rsidR="00F44BA1" w:rsidRDefault="00F44BA1" w:rsidP="0067598D">
      <w:pPr>
        <w:jc w:val="both"/>
        <w:rPr>
          <w:rFonts w:ascii="Arial" w:hAnsi="Arial" w:cs="Arial"/>
        </w:rPr>
      </w:pPr>
    </w:p>
    <w:p w14:paraId="2DDDF0EF" w14:textId="3670CC47" w:rsidR="00F44BA1" w:rsidRDefault="00F44BA1">
      <w:pPr>
        <w:rPr>
          <w:rFonts w:ascii="Arial" w:hAnsi="Arial" w:cs="Arial"/>
        </w:rPr>
      </w:pPr>
      <w:r>
        <w:rPr>
          <w:rFonts w:ascii="Arial" w:hAnsi="Arial" w:cs="Arial"/>
        </w:rPr>
        <w:br w:type="page"/>
      </w:r>
    </w:p>
    <w:p w14:paraId="20599643" w14:textId="4A1829FD" w:rsidR="00F44BA1" w:rsidRDefault="00F44BA1" w:rsidP="0067598D">
      <w:pPr>
        <w:jc w:val="both"/>
        <w:rPr>
          <w:rFonts w:ascii="Arial" w:hAnsi="Arial" w:cs="Arial"/>
          <w:b/>
        </w:rPr>
      </w:pPr>
      <w:r>
        <w:rPr>
          <w:rFonts w:ascii="Arial" w:hAnsi="Arial" w:cs="Arial"/>
          <w:b/>
        </w:rPr>
        <w:lastRenderedPageBreak/>
        <w:t>Supplementary Figure S3:</w:t>
      </w:r>
    </w:p>
    <w:p w14:paraId="67EAE21D" w14:textId="3B76B61B" w:rsidR="00F44BA1" w:rsidRDefault="00CB62C8" w:rsidP="0067598D">
      <w:pPr>
        <w:jc w:val="both"/>
        <w:rPr>
          <w:rFonts w:ascii="Arial" w:hAnsi="Arial" w:cs="Arial"/>
          <w:b/>
        </w:rPr>
      </w:pPr>
      <w:r>
        <w:rPr>
          <w:rFonts w:ascii="Arial" w:hAnsi="Arial" w:cs="Arial"/>
          <w:b/>
          <w:noProof/>
        </w:rPr>
        <w:drawing>
          <wp:inline distT="0" distB="0" distL="0" distR="0" wp14:anchorId="54350140" wp14:editId="25541D85">
            <wp:extent cx="5943600" cy="5828145"/>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_S3-01.jpg"/>
                    <pic:cNvPicPr/>
                  </pic:nvPicPr>
                  <pic:blipFill rotWithShape="1">
                    <a:blip r:embed="rId6">
                      <a:extLst>
                        <a:ext uri="{28A0092B-C50C-407E-A947-70E740481C1C}">
                          <a14:useLocalDpi xmlns:a14="http://schemas.microsoft.com/office/drawing/2010/main" val="0"/>
                        </a:ext>
                      </a:extLst>
                    </a:blip>
                    <a:srcRect t="6605" b="17624"/>
                    <a:stretch/>
                  </pic:blipFill>
                  <pic:spPr bwMode="auto">
                    <a:xfrm>
                      <a:off x="0" y="0"/>
                      <a:ext cx="5943600" cy="5828145"/>
                    </a:xfrm>
                    <a:prstGeom prst="rect">
                      <a:avLst/>
                    </a:prstGeom>
                    <a:ln>
                      <a:noFill/>
                    </a:ln>
                    <a:extLst>
                      <a:ext uri="{53640926-AAD7-44D8-BBD7-CCE9431645EC}">
                        <a14:shadowObscured xmlns:a14="http://schemas.microsoft.com/office/drawing/2010/main"/>
                      </a:ext>
                    </a:extLst>
                  </pic:spPr>
                </pic:pic>
              </a:graphicData>
            </a:graphic>
          </wp:inline>
        </w:drawing>
      </w:r>
    </w:p>
    <w:p w14:paraId="71446530" w14:textId="77777777" w:rsidR="00F44BA1" w:rsidRDefault="00F44BA1" w:rsidP="00F44BA1">
      <w:pPr>
        <w:jc w:val="both"/>
        <w:rPr>
          <w:rFonts w:ascii="Arial" w:hAnsi="Arial" w:cs="Arial"/>
        </w:rPr>
      </w:pPr>
      <w:r>
        <w:rPr>
          <w:rFonts w:ascii="Arial" w:hAnsi="Arial" w:cs="Arial"/>
          <w:b/>
        </w:rPr>
        <w:t xml:space="preserve">Supplementary Fig. S3: Alterations in histone modifications are not due to donor sex or total change in H3. </w:t>
      </w:r>
      <w:r w:rsidRPr="00742360">
        <w:rPr>
          <w:rFonts w:ascii="Arial" w:hAnsi="Arial" w:cs="Arial"/>
          <w:b/>
        </w:rPr>
        <w:t>(A)</w:t>
      </w:r>
      <w:r>
        <w:rPr>
          <w:rFonts w:ascii="Arial" w:hAnsi="Arial" w:cs="Arial"/>
          <w:b/>
        </w:rPr>
        <w:t xml:space="preserve"> </w:t>
      </w:r>
      <w:r w:rsidRPr="00924249">
        <w:rPr>
          <w:rFonts w:ascii="Arial" w:hAnsi="Arial" w:cs="Arial"/>
        </w:rPr>
        <w:t xml:space="preserve">Representative Western blot analysis performed with 5,000 cells and imaged with the </w:t>
      </w:r>
      <w:proofErr w:type="spellStart"/>
      <w:r w:rsidRPr="00924249">
        <w:rPr>
          <w:rFonts w:ascii="Arial" w:hAnsi="Arial" w:cs="Arial"/>
        </w:rPr>
        <w:t>LiCor</w:t>
      </w:r>
      <w:proofErr w:type="spellEnd"/>
      <w:r w:rsidRPr="00924249">
        <w:rPr>
          <w:rFonts w:ascii="Arial" w:hAnsi="Arial" w:cs="Arial"/>
        </w:rPr>
        <w:t xml:space="preserve"> for each biological replicate of young and aged HSCe for H3 and GAPDH. HSCe from a 53 yo donor were also used to establish the linear range of the assay, with 2,500-12,500 HSCe loaded per lane</w:t>
      </w:r>
      <w:r>
        <w:rPr>
          <w:rFonts w:ascii="Arial" w:hAnsi="Arial" w:cs="Arial"/>
        </w:rPr>
        <w:t xml:space="preserve">. </w:t>
      </w:r>
      <w:r w:rsidRPr="00A4784B">
        <w:rPr>
          <w:rFonts w:ascii="Arial" w:hAnsi="Arial" w:cs="Arial"/>
          <w:b/>
        </w:rPr>
        <w:t>(B)</w:t>
      </w:r>
      <w:r>
        <w:rPr>
          <w:rFonts w:ascii="Arial" w:hAnsi="Arial" w:cs="Arial"/>
        </w:rPr>
        <w:t xml:space="preserve"> </w:t>
      </w:r>
      <w:r w:rsidRPr="00924249">
        <w:rPr>
          <w:rFonts w:ascii="Arial" w:hAnsi="Arial" w:cs="Arial"/>
        </w:rPr>
        <w:t>Densitometry was performed using Image Studio and Image Lab and normalized intensity of H3 was calculated using GAPDH signal. Each sample was then normalized to the mean young intensity. Each point is representative of a biological replicate or the average intensity of the 2 technical replicates. P-value was calculated using the parametric unpaired t-test was pe</w:t>
      </w:r>
      <w:r>
        <w:rPr>
          <w:rFonts w:ascii="Arial" w:hAnsi="Arial" w:cs="Arial"/>
        </w:rPr>
        <w:t xml:space="preserve">rformed using Prism software. </w:t>
      </w:r>
      <w:r w:rsidRPr="00A4784B">
        <w:rPr>
          <w:rFonts w:ascii="Arial" w:hAnsi="Arial" w:cs="Arial"/>
          <w:b/>
        </w:rPr>
        <w:t>(C)</w:t>
      </w:r>
      <w:r>
        <w:rPr>
          <w:rFonts w:ascii="Arial" w:hAnsi="Arial" w:cs="Arial"/>
        </w:rPr>
        <w:t xml:space="preserve"> </w:t>
      </w:r>
      <w:r w:rsidRPr="00924249">
        <w:rPr>
          <w:rFonts w:ascii="Arial" w:hAnsi="Arial" w:cs="Arial"/>
        </w:rPr>
        <w:t xml:space="preserve">Boxplots of genome wide H3 enrichment for 2 young (blue) and 2 aged (red) donors. The genome was binned into 150 </w:t>
      </w:r>
      <w:proofErr w:type="spellStart"/>
      <w:r w:rsidRPr="00924249">
        <w:rPr>
          <w:rFonts w:ascii="Arial" w:hAnsi="Arial" w:cs="Arial"/>
        </w:rPr>
        <w:t>bp</w:t>
      </w:r>
      <w:proofErr w:type="spellEnd"/>
      <w:r w:rsidRPr="00924249">
        <w:rPr>
          <w:rFonts w:ascii="Arial" w:hAnsi="Arial" w:cs="Arial"/>
        </w:rPr>
        <w:t xml:space="preserve"> windows and log2 enrichment of H3 was calculate</w:t>
      </w:r>
      <w:r>
        <w:rPr>
          <w:rFonts w:ascii="Arial" w:hAnsi="Arial" w:cs="Arial"/>
        </w:rPr>
        <w:t xml:space="preserve">d for each bin. </w:t>
      </w:r>
      <w:r w:rsidRPr="00A4784B">
        <w:rPr>
          <w:rFonts w:ascii="Arial" w:hAnsi="Arial" w:cs="Arial"/>
          <w:b/>
        </w:rPr>
        <w:t>(D)</w:t>
      </w:r>
      <w:r>
        <w:rPr>
          <w:rFonts w:ascii="Arial" w:hAnsi="Arial" w:cs="Arial"/>
        </w:rPr>
        <w:t xml:space="preserve"> </w:t>
      </w:r>
      <w:r w:rsidRPr="00924249">
        <w:rPr>
          <w:rFonts w:ascii="Arial" w:hAnsi="Arial" w:cs="Arial"/>
        </w:rPr>
        <w:t>Log</w:t>
      </w:r>
      <w:r w:rsidRPr="00924249">
        <w:rPr>
          <w:rFonts w:ascii="Arial" w:hAnsi="Arial" w:cs="Arial"/>
          <w:vertAlign w:val="subscript"/>
        </w:rPr>
        <w:t>2</w:t>
      </w:r>
      <w:r w:rsidRPr="00924249">
        <w:rPr>
          <w:rFonts w:ascii="Arial" w:hAnsi="Arial" w:cs="Arial"/>
        </w:rPr>
        <w:t xml:space="preserve"> enrichment of H3 and </w:t>
      </w:r>
      <w:r w:rsidRPr="00924249">
        <w:rPr>
          <w:rFonts w:ascii="Arial" w:hAnsi="Arial" w:cs="Arial"/>
        </w:rPr>
        <w:lastRenderedPageBreak/>
        <w:t>H3K4me3 (leftmost), H3K27me3 (second from left), H3K4me1 (second from right) and H3K27ac (rightmost) for the respective histone modifications lost with age. Boxplots are of the log</w:t>
      </w:r>
      <w:r w:rsidRPr="00924249">
        <w:rPr>
          <w:rFonts w:ascii="Arial" w:hAnsi="Arial" w:cs="Arial"/>
          <w:vertAlign w:val="subscript"/>
        </w:rPr>
        <w:t>2</w:t>
      </w:r>
      <w:r w:rsidRPr="00924249">
        <w:rPr>
          <w:rFonts w:ascii="Arial" w:hAnsi="Arial" w:cs="Arial"/>
        </w:rPr>
        <w:t xml:space="preserve"> enrichment of the Pooled IP/Pooled Input.</w:t>
      </w:r>
      <w:r w:rsidRPr="00A4784B">
        <w:rPr>
          <w:rFonts w:ascii="Arial" w:hAnsi="Arial" w:cs="Arial"/>
          <w:b/>
        </w:rPr>
        <w:t xml:space="preserve"> </w:t>
      </w:r>
      <w:r w:rsidRPr="00F23A16">
        <w:rPr>
          <w:rFonts w:ascii="Arial" w:hAnsi="Arial" w:cs="Arial"/>
          <w:b/>
        </w:rPr>
        <w:t>(</w:t>
      </w:r>
      <w:r>
        <w:rPr>
          <w:rFonts w:ascii="Arial" w:hAnsi="Arial" w:cs="Arial"/>
          <w:b/>
        </w:rPr>
        <w:t>E-F</w:t>
      </w:r>
      <w:r w:rsidRPr="00F23A16">
        <w:rPr>
          <w:rFonts w:ascii="Arial" w:hAnsi="Arial" w:cs="Arial"/>
          <w:b/>
        </w:rPr>
        <w:t>)</w:t>
      </w:r>
      <w:r>
        <w:rPr>
          <w:rFonts w:ascii="Arial" w:hAnsi="Arial" w:cs="Arial"/>
        </w:rPr>
        <w:t xml:space="preserve"> </w:t>
      </w:r>
      <w:r w:rsidRPr="001E1104">
        <w:rPr>
          <w:rFonts w:ascii="Arial" w:hAnsi="Arial" w:cs="Arial"/>
        </w:rPr>
        <w:t>Metaplots of log</w:t>
      </w:r>
      <w:r w:rsidRPr="001E1104">
        <w:rPr>
          <w:rFonts w:ascii="Arial" w:hAnsi="Arial" w:cs="Arial"/>
          <w:vertAlign w:val="subscript"/>
        </w:rPr>
        <w:t>2</w:t>
      </w:r>
      <w:r w:rsidRPr="001E1104">
        <w:rPr>
          <w:rFonts w:ascii="Arial" w:hAnsi="Arial" w:cs="Arial"/>
        </w:rPr>
        <w:t>(Pooled IP/Pooled Input) signal at regions that lose (log</w:t>
      </w:r>
      <w:r w:rsidRPr="001E1104">
        <w:rPr>
          <w:rFonts w:ascii="Arial" w:hAnsi="Arial" w:cs="Arial"/>
          <w:vertAlign w:val="subscript"/>
        </w:rPr>
        <w:t>10</w:t>
      </w:r>
      <w:r w:rsidRPr="001E1104">
        <w:rPr>
          <w:rFonts w:ascii="Arial" w:hAnsi="Arial" w:cs="Arial"/>
        </w:rPr>
        <w:t xml:space="preserve"> likelihood ratio &gt; 3, absolute</w:t>
      </w:r>
      <w:r>
        <w:rPr>
          <w:rFonts w:ascii="Arial" w:hAnsi="Arial" w:cs="Arial"/>
        </w:rPr>
        <w:t xml:space="preserve"> </w:t>
      </w:r>
      <w:r w:rsidRPr="001E1104">
        <w:rPr>
          <w:rFonts w:ascii="Arial" w:hAnsi="Arial" w:cs="Arial"/>
        </w:rPr>
        <w:t xml:space="preserve">fold-change &gt;1.5) H3K4me1, H3K27ac, </w:t>
      </w:r>
      <w:r>
        <w:rPr>
          <w:rFonts w:ascii="Arial" w:hAnsi="Arial" w:cs="Arial"/>
        </w:rPr>
        <w:t xml:space="preserve">or </w:t>
      </w:r>
      <w:r w:rsidRPr="001E1104">
        <w:rPr>
          <w:rFonts w:ascii="Arial" w:hAnsi="Arial" w:cs="Arial"/>
        </w:rPr>
        <w:t>H3K4me3</w:t>
      </w:r>
      <w:r>
        <w:rPr>
          <w:rFonts w:ascii="Arial" w:hAnsi="Arial" w:cs="Arial"/>
        </w:rPr>
        <w:t xml:space="preserve"> </w:t>
      </w:r>
      <w:r w:rsidRPr="001E1104">
        <w:rPr>
          <w:rFonts w:ascii="Arial" w:hAnsi="Arial" w:cs="Arial"/>
        </w:rPr>
        <w:t xml:space="preserve">signal in aged </w:t>
      </w:r>
      <w:r>
        <w:rPr>
          <w:rFonts w:ascii="Arial" w:hAnsi="Arial" w:cs="Arial"/>
        </w:rPr>
        <w:t xml:space="preserve">male (E) or female (F) </w:t>
      </w:r>
      <w:r w:rsidRPr="001E1104">
        <w:rPr>
          <w:rFonts w:ascii="Arial" w:hAnsi="Arial" w:cs="Arial"/>
        </w:rPr>
        <w:t>HSCe compared to young</w:t>
      </w:r>
      <w:r>
        <w:rPr>
          <w:rFonts w:ascii="Arial" w:hAnsi="Arial" w:cs="Arial"/>
        </w:rPr>
        <w:t xml:space="preserve"> HSCe</w:t>
      </w:r>
      <w:r w:rsidRPr="001E1104">
        <w:rPr>
          <w:rFonts w:ascii="Arial" w:hAnsi="Arial" w:cs="Arial"/>
        </w:rPr>
        <w:t>. Represented are 10-kb regions centered around the differential peak areas.</w:t>
      </w:r>
      <w:r>
        <w:rPr>
          <w:rFonts w:ascii="Arial" w:hAnsi="Arial" w:cs="Arial"/>
        </w:rPr>
        <w:t xml:space="preserve"> </w:t>
      </w:r>
      <w:r w:rsidRPr="00924249">
        <w:rPr>
          <w:rFonts w:ascii="Arial" w:hAnsi="Arial" w:cs="Arial"/>
        </w:rPr>
        <w:t xml:space="preserve"> </w:t>
      </w:r>
      <w:r>
        <w:rPr>
          <w:rFonts w:ascii="Arial" w:hAnsi="Arial" w:cs="Arial"/>
        </w:rPr>
        <w:t>See also Figure 1.</w:t>
      </w:r>
    </w:p>
    <w:p w14:paraId="4EED9D6B" w14:textId="0CBCF754" w:rsidR="00F44BA1" w:rsidRDefault="00F44BA1">
      <w:pPr>
        <w:rPr>
          <w:rFonts w:ascii="Arial" w:hAnsi="Arial" w:cs="Arial"/>
        </w:rPr>
      </w:pPr>
      <w:r>
        <w:rPr>
          <w:rFonts w:ascii="Arial" w:hAnsi="Arial" w:cs="Arial"/>
        </w:rPr>
        <w:br w:type="page"/>
      </w:r>
    </w:p>
    <w:p w14:paraId="486902BE" w14:textId="7C3A9595" w:rsidR="00F44BA1" w:rsidRDefault="00F44BA1" w:rsidP="00F44BA1">
      <w:pPr>
        <w:jc w:val="both"/>
        <w:rPr>
          <w:rFonts w:ascii="Arial" w:hAnsi="Arial" w:cs="Arial"/>
          <w:b/>
        </w:rPr>
      </w:pPr>
      <w:r>
        <w:rPr>
          <w:rFonts w:ascii="Arial" w:hAnsi="Arial" w:cs="Arial"/>
          <w:b/>
        </w:rPr>
        <w:lastRenderedPageBreak/>
        <w:t>Supplementary Figure S4:</w:t>
      </w:r>
    </w:p>
    <w:p w14:paraId="7F9B19D2" w14:textId="35F8BB1A" w:rsidR="00F44BA1" w:rsidRDefault="003A5941" w:rsidP="00F44BA1">
      <w:pPr>
        <w:jc w:val="both"/>
        <w:rPr>
          <w:rFonts w:ascii="Arial" w:hAnsi="Arial" w:cs="Arial"/>
          <w:b/>
        </w:rPr>
      </w:pPr>
      <w:r>
        <w:rPr>
          <w:rFonts w:ascii="Arial" w:hAnsi="Arial" w:cs="Arial"/>
          <w:b/>
          <w:noProof/>
        </w:rPr>
        <w:drawing>
          <wp:inline distT="0" distB="0" distL="0" distR="0" wp14:anchorId="222EB1BC" wp14:editId="31D9BCFC">
            <wp:extent cx="5943458" cy="1939636"/>
            <wp:effectExtent l="0" t="0" r="63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_S4-01.jpg"/>
                    <pic:cNvPicPr/>
                  </pic:nvPicPr>
                  <pic:blipFill rotWithShape="1">
                    <a:blip r:embed="rId7">
                      <a:extLst>
                        <a:ext uri="{28A0092B-C50C-407E-A947-70E740481C1C}">
                          <a14:useLocalDpi xmlns:a14="http://schemas.microsoft.com/office/drawing/2010/main" val="0"/>
                        </a:ext>
                      </a:extLst>
                    </a:blip>
                    <a:srcRect t="5884" b="68898"/>
                    <a:stretch/>
                  </pic:blipFill>
                  <pic:spPr bwMode="auto">
                    <a:xfrm>
                      <a:off x="0" y="0"/>
                      <a:ext cx="5943600" cy="1939682"/>
                    </a:xfrm>
                    <a:prstGeom prst="rect">
                      <a:avLst/>
                    </a:prstGeom>
                    <a:ln>
                      <a:noFill/>
                    </a:ln>
                    <a:extLst>
                      <a:ext uri="{53640926-AAD7-44D8-BBD7-CCE9431645EC}">
                        <a14:shadowObscured xmlns:a14="http://schemas.microsoft.com/office/drawing/2010/main"/>
                      </a:ext>
                    </a:extLst>
                  </pic:spPr>
                </pic:pic>
              </a:graphicData>
            </a:graphic>
          </wp:inline>
        </w:drawing>
      </w:r>
    </w:p>
    <w:p w14:paraId="3EC9B2D1" w14:textId="77777777" w:rsidR="00F44BA1" w:rsidRDefault="00F44BA1" w:rsidP="00F44BA1">
      <w:pPr>
        <w:jc w:val="both"/>
        <w:rPr>
          <w:rFonts w:ascii="Arial" w:hAnsi="Arial" w:cs="Arial"/>
        </w:rPr>
      </w:pPr>
      <w:r>
        <w:rPr>
          <w:rFonts w:ascii="Arial" w:hAnsi="Arial" w:cs="Arial"/>
          <w:b/>
        </w:rPr>
        <w:t xml:space="preserve">Supplementary Fig. S4: </w:t>
      </w:r>
      <w:r w:rsidRPr="00924249">
        <w:rPr>
          <w:rFonts w:ascii="Arial" w:hAnsi="Arial" w:cs="Arial"/>
          <w:b/>
        </w:rPr>
        <w:t>Transcriptional changes with HSCe aging</w:t>
      </w:r>
      <w:r>
        <w:rPr>
          <w:rFonts w:ascii="Arial" w:hAnsi="Arial" w:cs="Arial"/>
          <w:b/>
        </w:rPr>
        <w:t xml:space="preserve"> are not sex-dependent</w:t>
      </w:r>
      <w:r w:rsidRPr="00924249">
        <w:rPr>
          <w:rFonts w:ascii="Arial" w:hAnsi="Arial" w:cs="Arial"/>
          <w:b/>
        </w:rPr>
        <w:t xml:space="preserve">. </w:t>
      </w:r>
      <w:r>
        <w:rPr>
          <w:rFonts w:ascii="Arial" w:hAnsi="Arial" w:cs="Arial"/>
          <w:b/>
        </w:rPr>
        <w:t>(A</w:t>
      </w:r>
      <w:r w:rsidRPr="00F23A16">
        <w:rPr>
          <w:rFonts w:ascii="Arial" w:hAnsi="Arial" w:cs="Arial"/>
          <w:b/>
        </w:rPr>
        <w:t>)</w:t>
      </w:r>
      <w:r w:rsidRPr="00924249">
        <w:rPr>
          <w:rFonts w:ascii="Arial" w:hAnsi="Arial" w:cs="Arial"/>
        </w:rPr>
        <w:t xml:space="preserve"> Overlap by gene name of genes differentially expressed with aging in HSCe from female donors (pink, n=2</w:t>
      </w:r>
      <w:r>
        <w:rPr>
          <w:rFonts w:ascii="Arial" w:hAnsi="Arial" w:cs="Arial"/>
        </w:rPr>
        <w:t>,</w:t>
      </w:r>
      <w:r w:rsidRPr="00924249">
        <w:rPr>
          <w:rFonts w:ascii="Arial" w:hAnsi="Arial" w:cs="Arial"/>
        </w:rPr>
        <w:t>048 genes) or male and female donors (green, n=1</w:t>
      </w:r>
      <w:r>
        <w:rPr>
          <w:rFonts w:ascii="Arial" w:hAnsi="Arial" w:cs="Arial"/>
        </w:rPr>
        <w:t>,</w:t>
      </w:r>
      <w:r w:rsidRPr="00924249">
        <w:rPr>
          <w:rFonts w:ascii="Arial" w:hAnsi="Arial" w:cs="Arial"/>
        </w:rPr>
        <w:t>133 genes).</w:t>
      </w:r>
      <w:r>
        <w:rPr>
          <w:rFonts w:ascii="Arial" w:hAnsi="Arial" w:cs="Arial"/>
        </w:rPr>
        <w:t xml:space="preserve"> </w:t>
      </w:r>
      <w:r>
        <w:rPr>
          <w:rFonts w:ascii="Arial" w:hAnsi="Arial" w:cs="Arial"/>
          <w:b/>
        </w:rPr>
        <w:t>(B</w:t>
      </w:r>
      <w:r w:rsidRPr="001D5291">
        <w:rPr>
          <w:rFonts w:ascii="Arial" w:hAnsi="Arial" w:cs="Arial"/>
          <w:b/>
        </w:rPr>
        <w:t>)</w:t>
      </w:r>
      <w:r>
        <w:rPr>
          <w:rFonts w:ascii="Arial" w:hAnsi="Arial" w:cs="Arial"/>
        </w:rPr>
        <w:t xml:space="preserve"> </w:t>
      </w:r>
      <w:r w:rsidRPr="001E1104">
        <w:rPr>
          <w:rFonts w:ascii="Arial" w:hAnsi="Arial" w:cs="Arial"/>
        </w:rPr>
        <w:t>Volcano plot of the log</w:t>
      </w:r>
      <w:r w:rsidRPr="001E1104">
        <w:rPr>
          <w:rFonts w:ascii="Arial" w:hAnsi="Arial" w:cs="Arial"/>
          <w:vertAlign w:val="subscript"/>
        </w:rPr>
        <w:t>2</w:t>
      </w:r>
      <w:r w:rsidRPr="001E1104">
        <w:rPr>
          <w:rFonts w:ascii="Arial" w:hAnsi="Arial" w:cs="Arial"/>
        </w:rPr>
        <w:t xml:space="preserve"> fold-change (aged/young) gene expression versus the –log</w:t>
      </w:r>
      <w:r w:rsidRPr="001E1104">
        <w:rPr>
          <w:rFonts w:ascii="Arial" w:hAnsi="Arial" w:cs="Arial"/>
          <w:vertAlign w:val="subscript"/>
        </w:rPr>
        <w:t>10</w:t>
      </w:r>
      <w:r w:rsidRPr="001E1104">
        <w:rPr>
          <w:rFonts w:ascii="Arial" w:hAnsi="Arial" w:cs="Arial"/>
        </w:rPr>
        <w:t>(p-</w:t>
      </w:r>
      <w:proofErr w:type="spellStart"/>
      <w:r w:rsidRPr="001E1104">
        <w:rPr>
          <w:rFonts w:ascii="Arial" w:hAnsi="Arial" w:cs="Arial"/>
        </w:rPr>
        <w:t>adj</w:t>
      </w:r>
      <w:proofErr w:type="spellEnd"/>
      <w:r w:rsidRPr="001E1104">
        <w:rPr>
          <w:rFonts w:ascii="Arial" w:hAnsi="Arial" w:cs="Arial"/>
        </w:rPr>
        <w:t>)</w:t>
      </w:r>
      <w:r>
        <w:rPr>
          <w:rFonts w:ascii="Arial" w:hAnsi="Arial" w:cs="Arial"/>
        </w:rPr>
        <w:t xml:space="preserve"> for HSCe from female donors (n=9 aged and n=3 young donors)</w:t>
      </w:r>
      <w:r w:rsidRPr="001E1104">
        <w:rPr>
          <w:rFonts w:ascii="Arial" w:hAnsi="Arial" w:cs="Arial"/>
        </w:rPr>
        <w:t xml:space="preserve">. Significant downregulated and upregulated genes </w:t>
      </w:r>
      <w:r>
        <w:rPr>
          <w:rFonts w:ascii="Arial" w:hAnsi="Arial" w:cs="Arial"/>
        </w:rPr>
        <w:t xml:space="preserve">in aged HSCe compared to young </w:t>
      </w:r>
      <w:r w:rsidRPr="001E1104">
        <w:rPr>
          <w:rFonts w:ascii="Arial" w:hAnsi="Arial" w:cs="Arial"/>
        </w:rPr>
        <w:t>are colored in blue and red, respectively (FDR &lt; 0.05 and fold-change&lt; -1.5 or fold-change &gt; 1.5, respectively).</w:t>
      </w:r>
      <w:r>
        <w:rPr>
          <w:rFonts w:ascii="Arial" w:hAnsi="Arial" w:cs="Arial"/>
          <w:b/>
        </w:rPr>
        <w:t xml:space="preserve"> </w:t>
      </w:r>
      <w:r>
        <w:rPr>
          <w:rFonts w:ascii="Arial" w:hAnsi="Arial" w:cs="Arial"/>
        </w:rPr>
        <w:t>See also Figure 4.</w:t>
      </w:r>
    </w:p>
    <w:p w14:paraId="31B72878" w14:textId="5A9857D0" w:rsidR="00F44BA1" w:rsidRDefault="00F44BA1">
      <w:pPr>
        <w:rPr>
          <w:rFonts w:ascii="Arial" w:hAnsi="Arial" w:cs="Arial"/>
        </w:rPr>
      </w:pPr>
      <w:r>
        <w:rPr>
          <w:rFonts w:ascii="Arial" w:hAnsi="Arial" w:cs="Arial"/>
        </w:rPr>
        <w:br w:type="page"/>
      </w:r>
    </w:p>
    <w:p w14:paraId="216DA6B3" w14:textId="6347478F" w:rsidR="00F44BA1" w:rsidRDefault="00F44BA1" w:rsidP="00F44BA1">
      <w:pPr>
        <w:jc w:val="both"/>
        <w:rPr>
          <w:rFonts w:ascii="Arial" w:hAnsi="Arial" w:cs="Arial"/>
          <w:b/>
        </w:rPr>
      </w:pPr>
      <w:r>
        <w:rPr>
          <w:rFonts w:ascii="Arial" w:hAnsi="Arial" w:cs="Arial"/>
          <w:b/>
        </w:rPr>
        <w:lastRenderedPageBreak/>
        <w:t>Supplementary Figure S5:</w:t>
      </w:r>
    </w:p>
    <w:p w14:paraId="40350C80" w14:textId="45CE5927" w:rsidR="00F44BA1" w:rsidRDefault="007365F4" w:rsidP="00F44BA1">
      <w:pPr>
        <w:jc w:val="both"/>
        <w:rPr>
          <w:rFonts w:ascii="Arial" w:hAnsi="Arial" w:cs="Arial"/>
          <w:b/>
        </w:rPr>
      </w:pPr>
      <w:r>
        <w:rPr>
          <w:rFonts w:ascii="Arial" w:hAnsi="Arial" w:cs="Arial"/>
          <w:b/>
          <w:noProof/>
        </w:rPr>
        <w:drawing>
          <wp:inline distT="0" distB="0" distL="0" distR="0" wp14:anchorId="183F0F1A" wp14:editId="42FD9D52">
            <wp:extent cx="5943245" cy="3463047"/>
            <wp:effectExtent l="0" t="0" r="63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_S5-01.jpg"/>
                    <pic:cNvPicPr/>
                  </pic:nvPicPr>
                  <pic:blipFill rotWithShape="1">
                    <a:blip r:embed="rId8">
                      <a:extLst>
                        <a:ext uri="{28A0092B-C50C-407E-A947-70E740481C1C}">
                          <a14:useLocalDpi xmlns:a14="http://schemas.microsoft.com/office/drawing/2010/main" val="0"/>
                        </a:ext>
                      </a:extLst>
                    </a:blip>
                    <a:srcRect t="6069" b="48905"/>
                    <a:stretch/>
                  </pic:blipFill>
                  <pic:spPr bwMode="auto">
                    <a:xfrm>
                      <a:off x="0" y="0"/>
                      <a:ext cx="5943600" cy="3463254"/>
                    </a:xfrm>
                    <a:prstGeom prst="rect">
                      <a:avLst/>
                    </a:prstGeom>
                    <a:ln>
                      <a:noFill/>
                    </a:ln>
                    <a:extLst>
                      <a:ext uri="{53640926-AAD7-44D8-BBD7-CCE9431645EC}">
                        <a14:shadowObscured xmlns:a14="http://schemas.microsoft.com/office/drawing/2010/main"/>
                      </a:ext>
                    </a:extLst>
                  </pic:spPr>
                </pic:pic>
              </a:graphicData>
            </a:graphic>
          </wp:inline>
        </w:drawing>
      </w:r>
    </w:p>
    <w:p w14:paraId="1B845EC9" w14:textId="21A75D47" w:rsidR="00F44BA1" w:rsidRDefault="00F44BA1" w:rsidP="00F44BA1">
      <w:pPr>
        <w:jc w:val="both"/>
        <w:rPr>
          <w:rFonts w:ascii="Arial" w:hAnsi="Arial" w:cs="Arial"/>
        </w:rPr>
      </w:pPr>
      <w:r>
        <w:rPr>
          <w:rFonts w:ascii="Arial" w:hAnsi="Arial" w:cs="Arial"/>
          <w:b/>
        </w:rPr>
        <w:t xml:space="preserve">Supplementary Fig. S5: Single-cell RNA-seq of young and aged HSC. (A) </w:t>
      </w:r>
      <w:r>
        <w:rPr>
          <w:rFonts w:ascii="Arial" w:hAnsi="Arial" w:cs="Arial"/>
        </w:rPr>
        <w:t xml:space="preserve">Schematic of the </w:t>
      </w:r>
      <w:proofErr w:type="spellStart"/>
      <w:r>
        <w:rPr>
          <w:rFonts w:ascii="Arial" w:hAnsi="Arial" w:cs="Arial"/>
        </w:rPr>
        <w:t>cellHarmony</w:t>
      </w:r>
      <w:proofErr w:type="spellEnd"/>
      <w:r>
        <w:rPr>
          <w:rFonts w:ascii="Arial" w:hAnsi="Arial" w:cs="Arial"/>
        </w:rPr>
        <w:t xml:space="preserve"> analysis used to identify cell types within the HSCe compartment using sc-RNAseq data from young (24-37 yo) and aged (64-71 yo) HSCe. </w:t>
      </w:r>
      <w:r w:rsidRPr="00CE578B">
        <w:rPr>
          <w:rFonts w:ascii="Arial" w:hAnsi="Arial" w:cs="Arial"/>
          <w:b/>
        </w:rPr>
        <w:t>(B)</w:t>
      </w:r>
      <w:r>
        <w:rPr>
          <w:rFonts w:ascii="Arial" w:hAnsi="Arial" w:cs="Arial"/>
          <w:b/>
        </w:rPr>
        <w:t xml:space="preserve"> </w:t>
      </w:r>
      <w:r>
        <w:rPr>
          <w:rFonts w:ascii="Arial" w:hAnsi="Arial" w:cs="Arial"/>
        </w:rPr>
        <w:t xml:space="preserve">Heatmap of the differentially expressed genes </w:t>
      </w:r>
      <w:r w:rsidRPr="00B55D44">
        <w:rPr>
          <w:rFonts w:ascii="Arial" w:hAnsi="Arial" w:cs="Arial"/>
        </w:rPr>
        <w:t>(n=364,</w:t>
      </w:r>
      <w:r w:rsidRPr="00B55D44">
        <w:rPr>
          <w:rFonts w:ascii="Arial" w:eastAsiaTheme="minorEastAsia" w:hAnsi="Arial" w:cs="Arial"/>
        </w:rPr>
        <w:t xml:space="preserve"> </w:t>
      </w:r>
      <w:r w:rsidRPr="00B55D44">
        <w:rPr>
          <w:rFonts w:ascii="Arial" w:hAnsi="Arial" w:cs="Arial"/>
        </w:rPr>
        <w:t xml:space="preserve">fold-change &gt; 1.5, </w:t>
      </w:r>
      <w:proofErr w:type="spellStart"/>
      <w:r w:rsidRPr="00B55D44">
        <w:rPr>
          <w:rFonts w:ascii="Arial" w:hAnsi="Arial" w:cs="Arial"/>
        </w:rPr>
        <w:t>eBayes</w:t>
      </w:r>
      <w:proofErr w:type="spellEnd"/>
      <w:r w:rsidRPr="00B55D44">
        <w:rPr>
          <w:rFonts w:ascii="Arial" w:hAnsi="Arial" w:cs="Arial"/>
        </w:rPr>
        <w:t xml:space="preserve"> t-test p&lt;0.05, FDR &lt;0.05)</w:t>
      </w:r>
      <w:r>
        <w:rPr>
          <w:rFonts w:ascii="Arial" w:hAnsi="Arial" w:cs="Arial"/>
        </w:rPr>
        <w:t xml:space="preserve"> in young </w:t>
      </w:r>
      <w:proofErr w:type="spellStart"/>
      <w:r>
        <w:rPr>
          <w:rFonts w:ascii="Arial" w:hAnsi="Arial" w:cs="Arial"/>
        </w:rPr>
        <w:t>nc</w:t>
      </w:r>
      <w:proofErr w:type="spellEnd"/>
      <w:r>
        <w:rPr>
          <w:rFonts w:ascii="Arial" w:hAnsi="Arial" w:cs="Arial"/>
        </w:rPr>
        <w:t xml:space="preserve">-HSC compared to aged </w:t>
      </w:r>
      <w:proofErr w:type="spellStart"/>
      <w:r>
        <w:rPr>
          <w:rFonts w:ascii="Arial" w:hAnsi="Arial" w:cs="Arial"/>
        </w:rPr>
        <w:t>nc</w:t>
      </w:r>
      <w:proofErr w:type="spellEnd"/>
      <w:r>
        <w:rPr>
          <w:rFonts w:ascii="Arial" w:hAnsi="Arial" w:cs="Arial"/>
        </w:rPr>
        <w:t xml:space="preserve">-HSC. Each column corresponds to an individual cell. Age of donor is depicted in the bottom bar. Clustering was performed using HOPACH in AltAnalyze, with 3 main clusters identified (C1-Young in green, C2-Aged in purple, and C3-Aged in red). See also Figure </w:t>
      </w:r>
      <w:r w:rsidR="000C2EEC">
        <w:rPr>
          <w:rFonts w:ascii="Arial" w:hAnsi="Arial" w:cs="Arial"/>
        </w:rPr>
        <w:t>5.</w:t>
      </w:r>
    </w:p>
    <w:p w14:paraId="48029309" w14:textId="25CFA580" w:rsidR="00F44BA1" w:rsidRDefault="00F44BA1">
      <w:pPr>
        <w:rPr>
          <w:rFonts w:ascii="Arial" w:hAnsi="Arial" w:cs="Arial"/>
        </w:rPr>
      </w:pPr>
      <w:r>
        <w:rPr>
          <w:rFonts w:ascii="Arial" w:hAnsi="Arial" w:cs="Arial"/>
        </w:rPr>
        <w:br w:type="page"/>
      </w:r>
    </w:p>
    <w:p w14:paraId="318C920F" w14:textId="10E10DE6" w:rsidR="00D85C42" w:rsidRPr="00D85C42" w:rsidRDefault="00D85C42" w:rsidP="00D85C42">
      <w:pPr>
        <w:rPr>
          <w:rFonts w:ascii="Arial" w:hAnsi="Arial" w:cs="Arial"/>
        </w:rPr>
      </w:pPr>
      <w:r>
        <w:rPr>
          <w:rFonts w:ascii="Arial" w:hAnsi="Arial" w:cs="Arial"/>
          <w:b/>
        </w:rPr>
        <w:lastRenderedPageBreak/>
        <w:t>Supplementary Figure S6</w:t>
      </w:r>
      <w:r w:rsidRPr="00481FFC">
        <w:rPr>
          <w:rFonts w:ascii="Arial" w:hAnsi="Arial" w:cs="Arial"/>
          <w:b/>
        </w:rPr>
        <w:t>:</w:t>
      </w:r>
    </w:p>
    <w:p w14:paraId="78CC1619" w14:textId="0452AF6E" w:rsidR="00D85C42" w:rsidRDefault="00B20DDB" w:rsidP="00D85C42">
      <w:pPr>
        <w:jc w:val="both"/>
        <w:rPr>
          <w:rFonts w:ascii="Arial" w:hAnsi="Arial" w:cs="Arial"/>
        </w:rPr>
      </w:pPr>
      <w:r>
        <w:rPr>
          <w:rFonts w:ascii="Arial" w:hAnsi="Arial" w:cs="Arial"/>
          <w:noProof/>
        </w:rPr>
        <w:drawing>
          <wp:inline distT="0" distB="0" distL="0" distR="0" wp14:anchorId="7320B64C" wp14:editId="2085D25C">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_S6-01.jpg"/>
                    <pic:cNvPicPr/>
                  </pic:nvPicPr>
                  <pic:blipFill>
                    <a:blip r:embed="rId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bookmarkStart w:id="0" w:name="_GoBack"/>
      <w:bookmarkEnd w:id="0"/>
    </w:p>
    <w:p w14:paraId="4878B651" w14:textId="0D9FDF9D" w:rsidR="00D85C42" w:rsidRDefault="00D85C42" w:rsidP="00D85C42">
      <w:pPr>
        <w:jc w:val="both"/>
        <w:rPr>
          <w:rFonts w:ascii="Arial" w:hAnsi="Arial"/>
          <w:color w:val="000000" w:themeColor="text1"/>
        </w:rPr>
      </w:pPr>
      <w:r>
        <w:rPr>
          <w:rFonts w:ascii="Arial" w:hAnsi="Arial" w:cs="Arial"/>
          <w:b/>
        </w:rPr>
        <w:t>Supplementary Fig. S6</w:t>
      </w:r>
      <w:r w:rsidRPr="00A1615F">
        <w:rPr>
          <w:rFonts w:ascii="Arial" w:hAnsi="Arial"/>
          <w:b/>
          <w:color w:val="000000" w:themeColor="text1"/>
        </w:rPr>
        <w:t xml:space="preserve">: Age-associated </w:t>
      </w:r>
      <w:r>
        <w:rPr>
          <w:rFonts w:ascii="Arial" w:hAnsi="Arial"/>
          <w:b/>
          <w:color w:val="000000" w:themeColor="text1"/>
        </w:rPr>
        <w:t>histone</w:t>
      </w:r>
      <w:r w:rsidRPr="00A1615F">
        <w:rPr>
          <w:rFonts w:ascii="Arial" w:hAnsi="Arial"/>
          <w:b/>
          <w:color w:val="000000" w:themeColor="text1"/>
        </w:rPr>
        <w:t xml:space="preserve"> changes may predispose for AML.</w:t>
      </w:r>
      <w:r>
        <w:rPr>
          <w:rFonts w:ascii="Arial" w:hAnsi="Arial"/>
          <w:b/>
          <w:color w:val="000000" w:themeColor="text1"/>
        </w:rPr>
        <w:t xml:space="preserve"> (A) </w:t>
      </w:r>
      <w:r>
        <w:rPr>
          <w:rFonts w:ascii="Arial" w:hAnsi="Arial"/>
          <w:color w:val="000000" w:themeColor="text1"/>
        </w:rPr>
        <w:t>Boxplots of the log</w:t>
      </w:r>
      <w:r w:rsidRPr="00A333D3">
        <w:rPr>
          <w:rFonts w:ascii="Arial" w:hAnsi="Arial" w:cs="Times New Roman (Body CS)"/>
          <w:color w:val="000000" w:themeColor="text1"/>
          <w:vertAlign w:val="subscript"/>
        </w:rPr>
        <w:t>2</w:t>
      </w:r>
      <w:r>
        <w:rPr>
          <w:rFonts w:ascii="Arial" w:hAnsi="Arial"/>
          <w:color w:val="000000" w:themeColor="text1"/>
        </w:rPr>
        <w:t xml:space="preserve">(IP/Input) signal for HSCe (n=4-7 donors) and AML (n=16 for </w:t>
      </w:r>
      <w:r>
        <w:rPr>
          <w:rFonts w:ascii="Arial" w:hAnsi="Arial"/>
          <w:color w:val="000000" w:themeColor="text1"/>
        </w:rPr>
        <w:lastRenderedPageBreak/>
        <w:t xml:space="preserve">H3K4me1, n=19 for H3K4me3, n=17 for H3K27me3, and n=71 for H3K27ac, respectively) samples for the defining histone marks at the epigenetic categories that are altered with HSCe aging.  </w:t>
      </w:r>
      <w:r w:rsidRPr="00A1615F">
        <w:rPr>
          <w:rFonts w:ascii="Arial" w:hAnsi="Arial"/>
          <w:color w:val="000000" w:themeColor="text1"/>
        </w:rPr>
        <w:t xml:space="preserve">Arrows denote clusters of </w:t>
      </w:r>
      <w:r>
        <w:rPr>
          <w:rFonts w:ascii="Arial" w:hAnsi="Arial"/>
          <w:color w:val="000000" w:themeColor="text1"/>
        </w:rPr>
        <w:t>regions</w:t>
      </w:r>
      <w:r w:rsidRPr="00A1615F">
        <w:rPr>
          <w:rFonts w:ascii="Arial" w:hAnsi="Arial"/>
          <w:color w:val="000000" w:themeColor="text1"/>
        </w:rPr>
        <w:t xml:space="preserve"> that may be predisposing to AML</w:t>
      </w:r>
      <w:r>
        <w:rPr>
          <w:rFonts w:ascii="Arial" w:hAnsi="Arial"/>
          <w:color w:val="000000" w:themeColor="text1"/>
        </w:rPr>
        <w:t xml:space="preserve"> (Mann-Whitney rank sum test, p-adjusted &lt; 0.005)</w:t>
      </w:r>
      <w:r w:rsidRPr="00A1615F">
        <w:rPr>
          <w:rFonts w:ascii="Arial" w:hAnsi="Arial"/>
          <w:color w:val="000000" w:themeColor="text1"/>
        </w:rPr>
        <w:t>.</w:t>
      </w:r>
      <w:r>
        <w:rPr>
          <w:rFonts w:ascii="Arial" w:hAnsi="Arial"/>
          <w:color w:val="000000" w:themeColor="text1"/>
        </w:rPr>
        <w:t xml:space="preserve"> </w:t>
      </w:r>
      <w:r w:rsidRPr="00AC2ABD">
        <w:rPr>
          <w:rFonts w:ascii="Arial" w:hAnsi="Arial"/>
          <w:b/>
          <w:color w:val="000000" w:themeColor="text1"/>
        </w:rPr>
        <w:t>(B)</w:t>
      </w:r>
      <w:r>
        <w:rPr>
          <w:rFonts w:ascii="Arial" w:hAnsi="Arial"/>
          <w:b/>
          <w:color w:val="000000" w:themeColor="text1"/>
        </w:rPr>
        <w:t xml:space="preserve"> </w:t>
      </w:r>
      <w:r w:rsidRPr="00A1615F">
        <w:rPr>
          <w:rFonts w:ascii="Arial" w:hAnsi="Arial"/>
          <w:color w:val="000000" w:themeColor="text1"/>
        </w:rPr>
        <w:t xml:space="preserve">Select significant (FDR &lt;0.05) gene ontology biological processes associated with </w:t>
      </w:r>
      <w:r>
        <w:rPr>
          <w:rFonts w:ascii="Arial" w:hAnsi="Arial"/>
          <w:color w:val="000000" w:themeColor="text1"/>
        </w:rPr>
        <w:t>the peaks in the significant clusters in (A). See also Figure 6.</w:t>
      </w:r>
    </w:p>
    <w:p w14:paraId="49523C50" w14:textId="77777777" w:rsidR="00D85C42" w:rsidRDefault="00D85C42">
      <w:pPr>
        <w:rPr>
          <w:rFonts w:ascii="Arial" w:hAnsi="Arial"/>
          <w:color w:val="000000" w:themeColor="text1"/>
        </w:rPr>
      </w:pPr>
      <w:r>
        <w:rPr>
          <w:rFonts w:ascii="Arial" w:hAnsi="Arial"/>
          <w:color w:val="000000" w:themeColor="text1"/>
        </w:rPr>
        <w:br w:type="page"/>
      </w:r>
    </w:p>
    <w:p w14:paraId="72E09E54" w14:textId="630DA59D" w:rsidR="00D85C42" w:rsidRDefault="00D85C42" w:rsidP="00D85C42">
      <w:pPr>
        <w:jc w:val="both"/>
        <w:rPr>
          <w:rFonts w:ascii="Arial" w:hAnsi="Arial" w:cs="Arial"/>
          <w:b/>
        </w:rPr>
      </w:pPr>
      <w:r>
        <w:rPr>
          <w:rFonts w:ascii="Arial" w:hAnsi="Arial" w:cs="Arial"/>
          <w:b/>
        </w:rPr>
        <w:lastRenderedPageBreak/>
        <w:t>Supplementary Figure S7:</w:t>
      </w:r>
    </w:p>
    <w:p w14:paraId="59F7175E" w14:textId="77777777" w:rsidR="00D85C42" w:rsidRDefault="00D85C42" w:rsidP="00D85C42">
      <w:pPr>
        <w:jc w:val="both"/>
        <w:rPr>
          <w:rFonts w:ascii="Arial" w:hAnsi="Arial" w:cs="Arial"/>
        </w:rPr>
      </w:pPr>
    </w:p>
    <w:p w14:paraId="0E5D2C85" w14:textId="77777777" w:rsidR="00D85C42" w:rsidRDefault="00D85C42" w:rsidP="00F44BA1">
      <w:pPr>
        <w:jc w:val="both"/>
        <w:rPr>
          <w:rFonts w:ascii="Arial" w:hAnsi="Arial" w:cs="Arial"/>
          <w:b/>
        </w:rPr>
      </w:pPr>
    </w:p>
    <w:p w14:paraId="717B3B8E" w14:textId="2CB242BD" w:rsidR="00F44BA1" w:rsidRDefault="00254707" w:rsidP="00F44BA1">
      <w:pPr>
        <w:jc w:val="both"/>
        <w:rPr>
          <w:rFonts w:ascii="Arial" w:hAnsi="Arial" w:cs="Arial"/>
          <w:b/>
        </w:rPr>
      </w:pPr>
      <w:r>
        <w:rPr>
          <w:rFonts w:ascii="Arial" w:hAnsi="Arial" w:cs="Arial"/>
          <w:b/>
          <w:noProof/>
        </w:rPr>
        <w:drawing>
          <wp:inline distT="0" distB="0" distL="0" distR="0" wp14:anchorId="12012769" wp14:editId="798B4A76">
            <wp:extent cx="5943326" cy="6724073"/>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_S6-01.jpg"/>
                    <pic:cNvPicPr/>
                  </pic:nvPicPr>
                  <pic:blipFill rotWithShape="1">
                    <a:blip r:embed="rId10">
                      <a:extLst>
                        <a:ext uri="{28A0092B-C50C-407E-A947-70E740481C1C}">
                          <a14:useLocalDpi xmlns:a14="http://schemas.microsoft.com/office/drawing/2010/main" val="0"/>
                        </a:ext>
                      </a:extLst>
                    </a:blip>
                    <a:srcRect t="2521" b="10055"/>
                    <a:stretch/>
                  </pic:blipFill>
                  <pic:spPr bwMode="auto">
                    <a:xfrm>
                      <a:off x="0" y="0"/>
                      <a:ext cx="5943600" cy="6724383"/>
                    </a:xfrm>
                    <a:prstGeom prst="rect">
                      <a:avLst/>
                    </a:prstGeom>
                    <a:ln>
                      <a:noFill/>
                    </a:ln>
                    <a:extLst>
                      <a:ext uri="{53640926-AAD7-44D8-BBD7-CCE9431645EC}">
                        <a14:shadowObscured xmlns:a14="http://schemas.microsoft.com/office/drawing/2010/main"/>
                      </a:ext>
                    </a:extLst>
                  </pic:spPr>
                </pic:pic>
              </a:graphicData>
            </a:graphic>
          </wp:inline>
        </w:drawing>
      </w:r>
    </w:p>
    <w:p w14:paraId="72243111" w14:textId="50D0AEC0" w:rsidR="00F44BA1" w:rsidRPr="00FD6F72" w:rsidRDefault="00D85C42" w:rsidP="00F44BA1">
      <w:pPr>
        <w:jc w:val="both"/>
        <w:rPr>
          <w:rFonts w:ascii="Arial" w:hAnsi="Arial" w:cs="Arial"/>
        </w:rPr>
      </w:pPr>
      <w:r>
        <w:rPr>
          <w:rFonts w:ascii="Arial" w:hAnsi="Arial" w:cs="Arial"/>
          <w:b/>
        </w:rPr>
        <w:t>Supplementary Fig. S7</w:t>
      </w:r>
      <w:r w:rsidR="00F44BA1">
        <w:rPr>
          <w:rFonts w:ascii="Arial" w:hAnsi="Arial" w:cs="Arial"/>
          <w:b/>
        </w:rPr>
        <w:t xml:space="preserve">: </w:t>
      </w:r>
      <w:r w:rsidR="00F44BA1" w:rsidRPr="004655C0">
        <w:rPr>
          <w:rFonts w:ascii="Arial" w:hAnsi="Arial" w:cs="Arial"/>
          <w:b/>
          <w:color w:val="000000" w:themeColor="text1"/>
        </w:rPr>
        <w:t xml:space="preserve">Knockdown of LMNA or KLF6 recapitulates aging phenotypes. </w:t>
      </w:r>
      <w:r w:rsidR="00F44BA1">
        <w:rPr>
          <w:rFonts w:ascii="Arial" w:hAnsi="Arial" w:cs="Arial"/>
          <w:b/>
        </w:rPr>
        <w:t xml:space="preserve"> </w:t>
      </w:r>
      <w:r w:rsidR="00F44BA1">
        <w:rPr>
          <w:rFonts w:ascii="Arial" w:hAnsi="Arial" w:cs="Arial"/>
          <w:b/>
          <w:color w:val="000000" w:themeColor="text1"/>
        </w:rPr>
        <w:t xml:space="preserve">(A) </w:t>
      </w:r>
      <w:r w:rsidR="00F44BA1">
        <w:rPr>
          <w:rFonts w:ascii="Arial" w:hAnsi="Arial" w:cs="Arial"/>
          <w:color w:val="000000" w:themeColor="text1"/>
        </w:rPr>
        <w:t>Gel image</w:t>
      </w:r>
      <w:r w:rsidR="00F44BA1" w:rsidRPr="00D80748">
        <w:rPr>
          <w:rFonts w:ascii="Arial" w:hAnsi="Arial" w:cs="Arial"/>
          <w:color w:val="000000" w:themeColor="text1"/>
        </w:rPr>
        <w:t xml:space="preserve"> of KLF6 targeting in </w:t>
      </w:r>
      <w:r w:rsidR="00F44BA1">
        <w:rPr>
          <w:rFonts w:ascii="Arial" w:hAnsi="Arial" w:cs="Arial"/>
          <w:color w:val="000000" w:themeColor="text1"/>
        </w:rPr>
        <w:t>CD34+ cells</w:t>
      </w:r>
      <w:r w:rsidR="00F44BA1" w:rsidRPr="00D80748">
        <w:rPr>
          <w:rFonts w:ascii="Arial" w:hAnsi="Arial" w:cs="Arial"/>
          <w:color w:val="000000" w:themeColor="text1"/>
        </w:rPr>
        <w:t xml:space="preserve"> with (+) or without (-) the </w:t>
      </w:r>
      <w:r w:rsidR="00F44BA1">
        <w:rPr>
          <w:rFonts w:ascii="Arial" w:hAnsi="Arial" w:cs="Arial"/>
          <w:color w:val="000000" w:themeColor="text1"/>
        </w:rPr>
        <w:t xml:space="preserve">T7E1 </w:t>
      </w:r>
      <w:r w:rsidR="00F44BA1" w:rsidRPr="00D80748">
        <w:rPr>
          <w:rFonts w:ascii="Arial" w:hAnsi="Arial" w:cs="Arial"/>
          <w:color w:val="000000" w:themeColor="text1"/>
        </w:rPr>
        <w:t>nuclease</w:t>
      </w:r>
      <w:r w:rsidR="00F44BA1">
        <w:rPr>
          <w:rFonts w:ascii="Arial" w:hAnsi="Arial" w:cs="Arial"/>
          <w:color w:val="000000" w:themeColor="text1"/>
        </w:rPr>
        <w:t xml:space="preserve"> (</w:t>
      </w:r>
      <w:r w:rsidR="007365F4">
        <w:rPr>
          <w:rFonts w:ascii="Arial" w:hAnsi="Arial" w:cs="Arial"/>
          <w:i/>
          <w:color w:val="000000" w:themeColor="text1"/>
        </w:rPr>
        <w:t>top</w:t>
      </w:r>
      <w:r w:rsidR="00F44BA1">
        <w:rPr>
          <w:rFonts w:ascii="Arial" w:hAnsi="Arial" w:cs="Arial"/>
          <w:color w:val="000000" w:themeColor="text1"/>
        </w:rPr>
        <w:t xml:space="preserve">) and flow cytometry histograms showing the percentage of KLF6+ cells (84% and 20% in </w:t>
      </w:r>
      <w:proofErr w:type="spellStart"/>
      <w:r w:rsidR="00F44BA1">
        <w:rPr>
          <w:rFonts w:ascii="Arial" w:hAnsi="Arial" w:cs="Arial"/>
          <w:color w:val="000000" w:themeColor="text1"/>
        </w:rPr>
        <w:t>sgCTRL</w:t>
      </w:r>
      <w:proofErr w:type="spellEnd"/>
      <w:r w:rsidR="00F44BA1">
        <w:rPr>
          <w:rFonts w:ascii="Arial" w:hAnsi="Arial" w:cs="Arial"/>
          <w:color w:val="000000" w:themeColor="text1"/>
        </w:rPr>
        <w:t xml:space="preserve"> and sgKLF6 transfected cells, respectively) 72 </w:t>
      </w:r>
      <w:proofErr w:type="spellStart"/>
      <w:r w:rsidR="00F44BA1">
        <w:rPr>
          <w:rFonts w:ascii="Arial" w:hAnsi="Arial" w:cs="Arial"/>
          <w:color w:val="000000" w:themeColor="text1"/>
        </w:rPr>
        <w:t>hrs</w:t>
      </w:r>
      <w:proofErr w:type="spellEnd"/>
      <w:r w:rsidR="00F44BA1">
        <w:rPr>
          <w:rFonts w:ascii="Arial" w:hAnsi="Arial" w:cs="Arial"/>
          <w:color w:val="000000" w:themeColor="text1"/>
        </w:rPr>
        <w:t xml:space="preserve"> after sorting CD34+ cells (</w:t>
      </w:r>
      <w:r w:rsidR="007365F4">
        <w:rPr>
          <w:rFonts w:ascii="Arial" w:hAnsi="Arial" w:cs="Arial"/>
          <w:i/>
          <w:color w:val="000000" w:themeColor="text1"/>
        </w:rPr>
        <w:t>bottom</w:t>
      </w:r>
      <w:r w:rsidR="00F44BA1" w:rsidRPr="00D80748">
        <w:rPr>
          <w:rFonts w:ascii="Arial" w:hAnsi="Arial" w:cs="Arial"/>
          <w:i/>
          <w:color w:val="000000" w:themeColor="text1"/>
        </w:rPr>
        <w:t>)</w:t>
      </w:r>
      <w:r w:rsidR="00F44BA1">
        <w:rPr>
          <w:rFonts w:ascii="Arial" w:hAnsi="Arial" w:cs="Arial"/>
          <w:color w:val="000000" w:themeColor="text1"/>
        </w:rPr>
        <w:t xml:space="preserve">. </w:t>
      </w:r>
      <w:r w:rsidR="00F44BA1" w:rsidRPr="00DC4899">
        <w:rPr>
          <w:rFonts w:ascii="Arial" w:hAnsi="Arial" w:cs="Arial"/>
          <w:b/>
          <w:color w:val="000000" w:themeColor="text1"/>
        </w:rPr>
        <w:t>(B)</w:t>
      </w:r>
      <w:r w:rsidR="00F44BA1">
        <w:rPr>
          <w:rFonts w:ascii="Arial" w:hAnsi="Arial" w:cs="Arial"/>
          <w:color w:val="000000" w:themeColor="text1"/>
        </w:rPr>
        <w:t xml:space="preserve"> </w:t>
      </w:r>
      <w:r w:rsidR="00F44BA1" w:rsidRPr="00ED54EC">
        <w:rPr>
          <w:rFonts w:ascii="Arial" w:hAnsi="Arial" w:cs="Arial"/>
          <w:color w:val="000000" w:themeColor="text1"/>
        </w:rPr>
        <w:t>Colony-forming unit assays of</w:t>
      </w:r>
      <w:r w:rsidR="00F44BA1">
        <w:rPr>
          <w:rFonts w:ascii="Arial" w:hAnsi="Arial" w:cs="Arial"/>
          <w:color w:val="000000" w:themeColor="text1"/>
        </w:rPr>
        <w:t xml:space="preserve"> CD34+ cells with </w:t>
      </w:r>
      <w:r w:rsidR="00F44BA1">
        <w:rPr>
          <w:rFonts w:ascii="Arial" w:hAnsi="Arial" w:cs="Arial"/>
          <w:color w:val="000000" w:themeColor="text1"/>
        </w:rPr>
        <w:lastRenderedPageBreak/>
        <w:t xml:space="preserve">CRISPR-Cas9 knockout of KLF6. </w:t>
      </w:r>
      <w:r w:rsidR="00F44BA1" w:rsidRPr="00ED54EC">
        <w:rPr>
          <w:rFonts w:ascii="Arial" w:hAnsi="Arial" w:cs="Arial"/>
          <w:color w:val="000000" w:themeColor="text1"/>
        </w:rPr>
        <w:t xml:space="preserve">Colony numbers per </w:t>
      </w:r>
      <w:r w:rsidR="00F44BA1">
        <w:rPr>
          <w:rFonts w:ascii="Arial" w:hAnsi="Arial" w:cs="Arial"/>
          <w:color w:val="000000" w:themeColor="text1"/>
        </w:rPr>
        <w:t xml:space="preserve">500 </w:t>
      </w:r>
      <w:r w:rsidR="00F44BA1" w:rsidRPr="00ED54EC">
        <w:rPr>
          <w:rFonts w:ascii="Arial" w:hAnsi="Arial" w:cs="Arial"/>
          <w:color w:val="000000" w:themeColor="text1"/>
        </w:rPr>
        <w:t>CD34+ cells plated are plotted for total colony number, granulocyte-macrophage (GM), granulocyte-erythrocyte-macrophage-megakaryocyte (GEMM) and burst-forming unit erythroid (BFU-E). Each bar plot is representative of 1 donor and the average of 2 technical replicates is plotted for each donor.</w:t>
      </w:r>
      <w:r w:rsidR="00F44BA1">
        <w:rPr>
          <w:rFonts w:ascii="Arial" w:hAnsi="Arial" w:cs="Arial"/>
          <w:color w:val="000000" w:themeColor="text1"/>
        </w:rPr>
        <w:t xml:space="preserve"> </w:t>
      </w:r>
      <w:r w:rsidR="00F44BA1">
        <w:rPr>
          <w:rFonts w:ascii="Arial" w:hAnsi="Arial" w:cs="Arial"/>
          <w:b/>
          <w:color w:val="000000" w:themeColor="text1"/>
        </w:rPr>
        <w:t xml:space="preserve">(C) </w:t>
      </w:r>
      <w:r w:rsidR="00F44BA1">
        <w:rPr>
          <w:rFonts w:ascii="Arial" w:hAnsi="Arial" w:cs="Arial"/>
          <w:color w:val="000000" w:themeColor="text1"/>
        </w:rPr>
        <w:t>Flow cytometry histograms showing KLF6 levels after 7 days in myeloid culture (</w:t>
      </w:r>
      <w:r w:rsidR="00F44BA1" w:rsidRPr="007365F4">
        <w:rPr>
          <w:rFonts w:ascii="Arial" w:hAnsi="Arial" w:cs="Arial"/>
          <w:i/>
          <w:color w:val="000000" w:themeColor="text1"/>
        </w:rPr>
        <w:t>left</w:t>
      </w:r>
      <w:r w:rsidR="00F44BA1">
        <w:rPr>
          <w:rFonts w:ascii="Arial" w:hAnsi="Arial" w:cs="Arial"/>
          <w:color w:val="000000" w:themeColor="text1"/>
        </w:rPr>
        <w:t>) or erythroid culture (</w:t>
      </w:r>
      <w:r w:rsidR="00F44BA1" w:rsidRPr="007365F4">
        <w:rPr>
          <w:rFonts w:ascii="Arial" w:hAnsi="Arial" w:cs="Arial"/>
          <w:i/>
          <w:color w:val="000000" w:themeColor="text1"/>
        </w:rPr>
        <w:t>right)</w:t>
      </w:r>
      <w:r w:rsidR="00F44BA1">
        <w:rPr>
          <w:rFonts w:ascii="Arial" w:hAnsi="Arial" w:cs="Arial"/>
          <w:color w:val="000000" w:themeColor="text1"/>
        </w:rPr>
        <w:t xml:space="preserve"> in CD34+ cells transfected with </w:t>
      </w:r>
      <w:proofErr w:type="spellStart"/>
      <w:r w:rsidR="00F44BA1">
        <w:rPr>
          <w:rFonts w:ascii="Arial" w:hAnsi="Arial" w:cs="Arial"/>
          <w:color w:val="000000" w:themeColor="text1"/>
        </w:rPr>
        <w:t>sgCTRL</w:t>
      </w:r>
      <w:proofErr w:type="spellEnd"/>
      <w:r w:rsidR="00F44BA1">
        <w:rPr>
          <w:rFonts w:ascii="Arial" w:hAnsi="Arial" w:cs="Arial"/>
          <w:color w:val="000000" w:themeColor="text1"/>
        </w:rPr>
        <w:t xml:space="preserve"> or sgKLF6. Data is from 1 donor. </w:t>
      </w:r>
      <w:r w:rsidR="0040560C" w:rsidRPr="00D55355">
        <w:rPr>
          <w:rFonts w:ascii="Arial" w:hAnsi="Arial" w:cs="Arial"/>
          <w:b/>
          <w:color w:val="000000" w:themeColor="text1"/>
        </w:rPr>
        <w:t>(</w:t>
      </w:r>
      <w:r w:rsidR="0040560C">
        <w:rPr>
          <w:rFonts w:ascii="Arial" w:hAnsi="Arial" w:cs="Arial"/>
          <w:b/>
          <w:color w:val="000000" w:themeColor="text1"/>
        </w:rPr>
        <w:t>D</w:t>
      </w:r>
      <w:r w:rsidR="0040560C" w:rsidRPr="00D55355">
        <w:rPr>
          <w:rFonts w:ascii="Arial" w:hAnsi="Arial" w:cs="Arial"/>
          <w:b/>
          <w:color w:val="000000" w:themeColor="text1"/>
        </w:rPr>
        <w:t>)</w:t>
      </w:r>
      <w:r w:rsidR="0040560C">
        <w:rPr>
          <w:rFonts w:ascii="Arial" w:hAnsi="Arial" w:cs="Arial"/>
          <w:color w:val="000000" w:themeColor="text1"/>
        </w:rPr>
        <w:t xml:space="preserve"> </w:t>
      </w:r>
      <w:r w:rsidR="0040560C" w:rsidRPr="00F2307A">
        <w:rPr>
          <w:rFonts w:ascii="Arial" w:hAnsi="Arial" w:cs="Arial"/>
          <w:color w:val="000000" w:themeColor="text1"/>
        </w:rPr>
        <w:t xml:space="preserve">GSEA leading edge plots showing the enrichment of the gene sets for genes up- or down-regulated with HSCe aging in CD34+ cells with </w:t>
      </w:r>
      <w:r w:rsidR="0040560C" w:rsidRPr="00F2307A">
        <w:rPr>
          <w:rFonts w:ascii="Arial" w:hAnsi="Arial" w:cs="Arial"/>
          <w:i/>
          <w:color w:val="000000" w:themeColor="text1"/>
        </w:rPr>
        <w:t>LMNA</w:t>
      </w:r>
      <w:r w:rsidR="0040560C">
        <w:rPr>
          <w:rFonts w:ascii="Arial" w:hAnsi="Arial" w:cs="Arial"/>
          <w:color w:val="000000" w:themeColor="text1"/>
        </w:rPr>
        <w:t xml:space="preserve"> knockdown (n=8</w:t>
      </w:r>
      <w:r w:rsidR="0040560C" w:rsidRPr="00F2307A">
        <w:rPr>
          <w:rFonts w:ascii="Arial" w:hAnsi="Arial" w:cs="Arial"/>
          <w:color w:val="000000" w:themeColor="text1"/>
        </w:rPr>
        <w:t xml:space="preserve"> independent biological replicates). GSEA was ran using a list pre-ranked by the Wald-</w:t>
      </w:r>
      <w:r w:rsidR="0040560C" w:rsidRPr="00ED54EC">
        <w:rPr>
          <w:rFonts w:ascii="Arial" w:hAnsi="Arial" w:cs="Arial"/>
          <w:color w:val="000000" w:themeColor="text1"/>
        </w:rPr>
        <w:t>statistic (DESeq2), with the weighted enrichment score</w:t>
      </w:r>
      <w:r w:rsidR="0040560C" w:rsidRPr="00A657E4">
        <w:rPr>
          <w:rFonts w:ascii="Arial" w:hAnsi="Arial" w:cs="Arial"/>
          <w:color w:val="000000" w:themeColor="text1"/>
        </w:rPr>
        <w:t>.</w:t>
      </w:r>
      <w:r w:rsidR="0040560C">
        <w:rPr>
          <w:rFonts w:ascii="Arial" w:hAnsi="Arial" w:cs="Arial"/>
          <w:b/>
          <w:color w:val="000000" w:themeColor="text1"/>
        </w:rPr>
        <w:t xml:space="preserve"> </w:t>
      </w:r>
      <w:r w:rsidR="00F44BA1" w:rsidRPr="00DC4899">
        <w:rPr>
          <w:rFonts w:ascii="Arial" w:hAnsi="Arial" w:cs="Arial"/>
          <w:b/>
          <w:color w:val="000000" w:themeColor="text1"/>
        </w:rPr>
        <w:t>(</w:t>
      </w:r>
      <w:r w:rsidR="0040560C">
        <w:rPr>
          <w:rFonts w:ascii="Arial" w:hAnsi="Arial" w:cs="Arial"/>
          <w:b/>
          <w:color w:val="000000" w:themeColor="text1"/>
        </w:rPr>
        <w:t>E</w:t>
      </w:r>
      <w:r w:rsidR="00F44BA1" w:rsidRPr="00DC4899">
        <w:rPr>
          <w:rFonts w:ascii="Arial" w:hAnsi="Arial" w:cs="Arial"/>
          <w:b/>
          <w:color w:val="000000" w:themeColor="text1"/>
        </w:rPr>
        <w:t>)</w:t>
      </w:r>
      <w:r w:rsidR="00F44BA1">
        <w:rPr>
          <w:rFonts w:ascii="Arial" w:hAnsi="Arial" w:cs="Arial"/>
          <w:color w:val="000000" w:themeColor="text1"/>
        </w:rPr>
        <w:t xml:space="preserve"> </w:t>
      </w:r>
      <w:r w:rsidR="00F44BA1" w:rsidRPr="00ED54EC">
        <w:rPr>
          <w:rFonts w:ascii="Arial" w:hAnsi="Arial" w:cs="Arial"/>
          <w:color w:val="000000" w:themeColor="text1"/>
        </w:rPr>
        <w:t xml:space="preserve">Colony-forming unit </w:t>
      </w:r>
      <w:r w:rsidR="00F44BA1" w:rsidRPr="00A657E4">
        <w:rPr>
          <w:rFonts w:ascii="Arial" w:hAnsi="Arial" w:cs="Arial"/>
          <w:color w:val="000000" w:themeColor="text1"/>
        </w:rPr>
        <w:t xml:space="preserve">assays of CD34+ cells with shRNA mediated knockout of LMNA. Colony numbers per 1000 CD34+ cells are shown as in (B). </w:t>
      </w:r>
      <w:r w:rsidR="007365F4">
        <w:rPr>
          <w:rFonts w:ascii="Arial" w:hAnsi="Arial" w:cs="Arial"/>
          <w:b/>
          <w:color w:val="000000" w:themeColor="text1"/>
        </w:rPr>
        <w:t xml:space="preserve">(F) </w:t>
      </w:r>
      <w:r w:rsidR="007365F4">
        <w:rPr>
          <w:rFonts w:ascii="Arial" w:hAnsi="Arial" w:cs="Arial"/>
          <w:color w:val="000000" w:themeColor="text1"/>
        </w:rPr>
        <w:t xml:space="preserve">Bar plot of the relative </w:t>
      </w:r>
      <w:r w:rsidR="007365F4" w:rsidRPr="00ED54EC">
        <w:rPr>
          <w:rFonts w:ascii="Arial" w:hAnsi="Arial" w:cs="Arial"/>
          <w:color w:val="000000" w:themeColor="text1"/>
        </w:rPr>
        <w:t>total colony number, granulocyte-macrophage (GM), granulocyte-erythrocyte-macrophage-megakaryocyte (GEMM) and burst-</w:t>
      </w:r>
      <w:r w:rsidR="007365F4">
        <w:rPr>
          <w:rFonts w:ascii="Arial" w:hAnsi="Arial" w:cs="Arial"/>
          <w:color w:val="000000" w:themeColor="text1"/>
        </w:rPr>
        <w:t xml:space="preserve">forming unit erythroid (BFU-E) for n=7 biological replicates. For each replicate, colony numbers were normalized to the total number of colonies for that replicate. </w:t>
      </w:r>
      <w:r w:rsidR="007365F4">
        <w:rPr>
          <w:rFonts w:ascii="Arial" w:hAnsi="Arial" w:cs="Arial"/>
          <w:b/>
          <w:color w:val="000000" w:themeColor="text1"/>
        </w:rPr>
        <w:t>(G</w:t>
      </w:r>
      <w:r w:rsidR="0040560C" w:rsidRPr="00A657E4">
        <w:rPr>
          <w:rFonts w:ascii="Arial" w:hAnsi="Arial" w:cs="Arial"/>
          <w:b/>
          <w:color w:val="000000" w:themeColor="text1"/>
        </w:rPr>
        <w:t xml:space="preserve">) </w:t>
      </w:r>
      <w:r w:rsidR="0040560C" w:rsidRPr="00A657E4">
        <w:rPr>
          <w:rFonts w:ascii="Arial" w:hAnsi="Arial" w:cs="Arial"/>
        </w:rPr>
        <w:t xml:space="preserve">Representative </w:t>
      </w:r>
      <w:r w:rsidR="0080470E" w:rsidRPr="00A657E4">
        <w:rPr>
          <w:rFonts w:ascii="Arial" w:hAnsi="Arial" w:cs="Arial"/>
        </w:rPr>
        <w:t>contour plots</w:t>
      </w:r>
      <w:r w:rsidR="0040560C" w:rsidRPr="00A657E4">
        <w:rPr>
          <w:rFonts w:ascii="Arial" w:hAnsi="Arial" w:cs="Arial"/>
        </w:rPr>
        <w:t xml:space="preserve"> for 2 donors and contour plots from 1 donor for CD34+ cells transfected with empty vector (EV) or shLMNA and cultured in myeloid (</w:t>
      </w:r>
      <w:r w:rsidR="0040560C" w:rsidRPr="00A657E4">
        <w:rPr>
          <w:rFonts w:ascii="Arial" w:hAnsi="Arial" w:cs="Arial"/>
          <w:i/>
        </w:rPr>
        <w:t>top and middle</w:t>
      </w:r>
      <w:r w:rsidR="0040560C" w:rsidRPr="00A657E4">
        <w:rPr>
          <w:rFonts w:ascii="Arial" w:hAnsi="Arial" w:cs="Arial"/>
        </w:rPr>
        <w:t>) or erythroid (</w:t>
      </w:r>
      <w:r w:rsidR="0040560C" w:rsidRPr="00A657E4">
        <w:rPr>
          <w:rFonts w:ascii="Arial" w:hAnsi="Arial" w:cs="Arial"/>
          <w:i/>
        </w:rPr>
        <w:t>bottom</w:t>
      </w:r>
      <w:r w:rsidR="0040560C" w:rsidRPr="00A657E4">
        <w:rPr>
          <w:rFonts w:ascii="Arial" w:hAnsi="Arial" w:cs="Arial"/>
        </w:rPr>
        <w:t>) promoting conditions for 7 days. Dot plot representation of the percentage of CD34+ cells (top) CD34- CD11b+ (</w:t>
      </w:r>
      <w:r w:rsidR="0040560C" w:rsidRPr="00A657E4">
        <w:rPr>
          <w:rFonts w:ascii="Arial" w:hAnsi="Arial" w:cs="Arial"/>
          <w:i/>
        </w:rPr>
        <w:t>middle</w:t>
      </w:r>
      <w:r w:rsidR="0040560C" w:rsidRPr="00A657E4">
        <w:rPr>
          <w:rFonts w:ascii="Arial" w:hAnsi="Arial" w:cs="Arial"/>
        </w:rPr>
        <w:t>) and CD235a+ CD71+ (</w:t>
      </w:r>
      <w:r w:rsidR="0040560C" w:rsidRPr="00A657E4">
        <w:rPr>
          <w:rFonts w:ascii="Arial" w:hAnsi="Arial" w:cs="Arial"/>
          <w:i/>
        </w:rPr>
        <w:t>bottom</w:t>
      </w:r>
      <w:r w:rsidR="0040560C" w:rsidRPr="00A657E4">
        <w:rPr>
          <w:rFonts w:ascii="Arial" w:hAnsi="Arial" w:cs="Arial"/>
        </w:rPr>
        <w:t xml:space="preserve">) cells is also shown (n=5). </w:t>
      </w:r>
      <w:r w:rsidR="00587545" w:rsidRPr="00A657E4">
        <w:rPr>
          <w:rFonts w:ascii="Arial" w:hAnsi="Arial" w:cs="Arial"/>
        </w:rPr>
        <w:t xml:space="preserve">Prior to setting the above gates, cells were gated on GFP expression. </w:t>
      </w:r>
      <w:r w:rsidR="006F2634" w:rsidRPr="00A657E4">
        <w:rPr>
          <w:rFonts w:ascii="Arial" w:hAnsi="Arial" w:cs="Arial"/>
        </w:rPr>
        <w:t xml:space="preserve">p-values from paired </w:t>
      </w:r>
      <w:r w:rsidR="00A645D7">
        <w:rPr>
          <w:rFonts w:ascii="Arial" w:hAnsi="Arial" w:cs="Arial"/>
        </w:rPr>
        <w:t>one-tailed</w:t>
      </w:r>
      <w:r w:rsidR="00B04722">
        <w:rPr>
          <w:rFonts w:ascii="Arial" w:hAnsi="Arial" w:cs="Arial"/>
        </w:rPr>
        <w:t xml:space="preserve"> </w:t>
      </w:r>
      <w:r w:rsidR="006F2634" w:rsidRPr="00A657E4">
        <w:rPr>
          <w:rFonts w:ascii="Arial" w:hAnsi="Arial" w:cs="Arial"/>
        </w:rPr>
        <w:t>t-test, calculated with Prism, p&gt;0.05=ns, p ≤ 0.05=*, p≤0.01=**, p≤0.001=***, p≤0.0001=****.</w:t>
      </w:r>
      <w:r w:rsidR="006F2634" w:rsidRPr="00A657E4" w:rsidDel="0040560C">
        <w:rPr>
          <w:rFonts w:ascii="Arial" w:hAnsi="Arial" w:cs="Arial"/>
          <w:b/>
          <w:color w:val="000000" w:themeColor="text1"/>
        </w:rPr>
        <w:t xml:space="preserve"> </w:t>
      </w:r>
      <w:r w:rsidR="00F44BA1" w:rsidRPr="00A657E4">
        <w:rPr>
          <w:rFonts w:ascii="Arial" w:hAnsi="Arial" w:cs="Arial"/>
          <w:color w:val="000000" w:themeColor="text1"/>
        </w:rPr>
        <w:t>See also Figure 7.</w:t>
      </w:r>
    </w:p>
    <w:p w14:paraId="4B4E183D" w14:textId="77777777" w:rsidR="00F44BA1" w:rsidRPr="00F44BA1" w:rsidRDefault="00F44BA1" w:rsidP="00F44BA1">
      <w:pPr>
        <w:jc w:val="both"/>
        <w:rPr>
          <w:rFonts w:ascii="Arial" w:hAnsi="Arial" w:cs="Arial"/>
          <w:b/>
        </w:rPr>
      </w:pPr>
    </w:p>
    <w:p w14:paraId="5C2E0DD6" w14:textId="77777777" w:rsidR="00481FFC" w:rsidRDefault="00481FFC" w:rsidP="00F44BA1">
      <w:pPr>
        <w:jc w:val="both"/>
        <w:rPr>
          <w:rFonts w:ascii="Arial" w:hAnsi="Arial" w:cs="Arial"/>
        </w:rPr>
      </w:pPr>
    </w:p>
    <w:p w14:paraId="7CBF0A7F" w14:textId="77777777" w:rsidR="00F44BA1" w:rsidRDefault="00F44BA1" w:rsidP="00F44BA1">
      <w:pPr>
        <w:jc w:val="both"/>
        <w:rPr>
          <w:rFonts w:ascii="Arial" w:hAnsi="Arial" w:cs="Arial"/>
        </w:rPr>
      </w:pPr>
    </w:p>
    <w:p w14:paraId="06A0D63B" w14:textId="77777777" w:rsidR="00F44BA1" w:rsidRDefault="00F44BA1" w:rsidP="00F44BA1">
      <w:pPr>
        <w:jc w:val="both"/>
        <w:rPr>
          <w:rFonts w:ascii="Arial" w:hAnsi="Arial" w:cs="Arial"/>
          <w:b/>
        </w:rPr>
      </w:pPr>
    </w:p>
    <w:p w14:paraId="6E895E8D" w14:textId="77777777" w:rsidR="00F44BA1" w:rsidRDefault="00F44BA1" w:rsidP="00F44BA1">
      <w:pPr>
        <w:jc w:val="both"/>
        <w:rPr>
          <w:rFonts w:ascii="Arial" w:hAnsi="Arial" w:cs="Arial"/>
          <w:b/>
        </w:rPr>
      </w:pPr>
    </w:p>
    <w:p w14:paraId="27E65358" w14:textId="77777777" w:rsidR="00F44BA1" w:rsidRDefault="00F44BA1" w:rsidP="0067598D">
      <w:pPr>
        <w:jc w:val="both"/>
        <w:rPr>
          <w:rFonts w:ascii="Arial" w:hAnsi="Arial" w:cs="Arial"/>
          <w:b/>
        </w:rPr>
      </w:pPr>
    </w:p>
    <w:p w14:paraId="0A7A36F2" w14:textId="77777777" w:rsidR="00F44BA1" w:rsidRDefault="00F44BA1" w:rsidP="0067598D">
      <w:pPr>
        <w:jc w:val="both"/>
        <w:rPr>
          <w:rFonts w:ascii="Arial" w:hAnsi="Arial" w:cs="Arial"/>
          <w:b/>
        </w:rPr>
      </w:pPr>
    </w:p>
    <w:p w14:paraId="01530D1F" w14:textId="77777777" w:rsidR="00F44BA1" w:rsidRPr="00F44BA1" w:rsidRDefault="00F44BA1" w:rsidP="0067598D">
      <w:pPr>
        <w:jc w:val="both"/>
        <w:rPr>
          <w:rFonts w:ascii="Arial" w:hAnsi="Arial" w:cs="Arial"/>
          <w:b/>
        </w:rPr>
      </w:pPr>
    </w:p>
    <w:p w14:paraId="22A78723" w14:textId="77777777" w:rsidR="0067598D" w:rsidRDefault="0067598D"/>
    <w:p w14:paraId="57672778" w14:textId="77777777" w:rsidR="00A657E4" w:rsidRDefault="00A657E4"/>
    <w:sectPr w:rsidR="00A657E4" w:rsidSect="0017275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New Roman (Body CS)">
    <w:panose1 w:val="02020603050405020304"/>
    <w:charset w:val="00"/>
    <w:family w:val="roman"/>
    <w:pitch w:val="default"/>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598D"/>
    <w:rsid w:val="000125F0"/>
    <w:rsid w:val="000129B6"/>
    <w:rsid w:val="00044123"/>
    <w:rsid w:val="000812A2"/>
    <w:rsid w:val="0009543A"/>
    <w:rsid w:val="000B6EF0"/>
    <w:rsid w:val="000C2EEC"/>
    <w:rsid w:val="000E06A8"/>
    <w:rsid w:val="000E620F"/>
    <w:rsid w:val="000F0679"/>
    <w:rsid w:val="001001D0"/>
    <w:rsid w:val="001060BF"/>
    <w:rsid w:val="00136F38"/>
    <w:rsid w:val="00172757"/>
    <w:rsid w:val="00180287"/>
    <w:rsid w:val="0018716B"/>
    <w:rsid w:val="00246565"/>
    <w:rsid w:val="00254707"/>
    <w:rsid w:val="002A4672"/>
    <w:rsid w:val="002A619F"/>
    <w:rsid w:val="002E59C3"/>
    <w:rsid w:val="002F3EC1"/>
    <w:rsid w:val="00367903"/>
    <w:rsid w:val="003A5941"/>
    <w:rsid w:val="003D03AF"/>
    <w:rsid w:val="003F286E"/>
    <w:rsid w:val="00401DC3"/>
    <w:rsid w:val="0040560C"/>
    <w:rsid w:val="00475292"/>
    <w:rsid w:val="00481FFC"/>
    <w:rsid w:val="004A3F9D"/>
    <w:rsid w:val="004C66B9"/>
    <w:rsid w:val="00506770"/>
    <w:rsid w:val="00510953"/>
    <w:rsid w:val="00517F14"/>
    <w:rsid w:val="00547600"/>
    <w:rsid w:val="00554A78"/>
    <w:rsid w:val="00585DAA"/>
    <w:rsid w:val="00587545"/>
    <w:rsid w:val="00593DF3"/>
    <w:rsid w:val="005B1EF1"/>
    <w:rsid w:val="005C06C2"/>
    <w:rsid w:val="005C37CA"/>
    <w:rsid w:val="005C4F3F"/>
    <w:rsid w:val="005C72C4"/>
    <w:rsid w:val="006173B5"/>
    <w:rsid w:val="00617BC0"/>
    <w:rsid w:val="0063168A"/>
    <w:rsid w:val="00644CFD"/>
    <w:rsid w:val="00656679"/>
    <w:rsid w:val="00660EB3"/>
    <w:rsid w:val="006633E5"/>
    <w:rsid w:val="00664327"/>
    <w:rsid w:val="0067598D"/>
    <w:rsid w:val="006A00D2"/>
    <w:rsid w:val="006E4A15"/>
    <w:rsid w:val="006F2634"/>
    <w:rsid w:val="007167FE"/>
    <w:rsid w:val="007365F4"/>
    <w:rsid w:val="00741C5F"/>
    <w:rsid w:val="00787C09"/>
    <w:rsid w:val="007B15FC"/>
    <w:rsid w:val="007B2422"/>
    <w:rsid w:val="007D1B23"/>
    <w:rsid w:val="0080470E"/>
    <w:rsid w:val="00817B1C"/>
    <w:rsid w:val="008237BF"/>
    <w:rsid w:val="0084026F"/>
    <w:rsid w:val="00844370"/>
    <w:rsid w:val="00877DD0"/>
    <w:rsid w:val="008C0333"/>
    <w:rsid w:val="0090667C"/>
    <w:rsid w:val="0092192E"/>
    <w:rsid w:val="00924324"/>
    <w:rsid w:val="009244D8"/>
    <w:rsid w:val="0092578B"/>
    <w:rsid w:val="009542EB"/>
    <w:rsid w:val="009816F2"/>
    <w:rsid w:val="009861A9"/>
    <w:rsid w:val="009A287C"/>
    <w:rsid w:val="009B3E65"/>
    <w:rsid w:val="009C3E2B"/>
    <w:rsid w:val="009D5E0F"/>
    <w:rsid w:val="009E6B75"/>
    <w:rsid w:val="009F5999"/>
    <w:rsid w:val="00A01A47"/>
    <w:rsid w:val="00A10277"/>
    <w:rsid w:val="00A11063"/>
    <w:rsid w:val="00A16EDB"/>
    <w:rsid w:val="00A207A9"/>
    <w:rsid w:val="00A57390"/>
    <w:rsid w:val="00A57A13"/>
    <w:rsid w:val="00A630E1"/>
    <w:rsid w:val="00A645D7"/>
    <w:rsid w:val="00A657E4"/>
    <w:rsid w:val="00AA01B1"/>
    <w:rsid w:val="00AE0542"/>
    <w:rsid w:val="00B04722"/>
    <w:rsid w:val="00B07443"/>
    <w:rsid w:val="00B11DAE"/>
    <w:rsid w:val="00B13C02"/>
    <w:rsid w:val="00B17367"/>
    <w:rsid w:val="00B17E29"/>
    <w:rsid w:val="00B20DDB"/>
    <w:rsid w:val="00B44A44"/>
    <w:rsid w:val="00B537D9"/>
    <w:rsid w:val="00C03A0D"/>
    <w:rsid w:val="00C406AD"/>
    <w:rsid w:val="00C84F7B"/>
    <w:rsid w:val="00C87840"/>
    <w:rsid w:val="00C957B7"/>
    <w:rsid w:val="00C969B3"/>
    <w:rsid w:val="00CA7C2E"/>
    <w:rsid w:val="00CB62C8"/>
    <w:rsid w:val="00D13321"/>
    <w:rsid w:val="00D218F3"/>
    <w:rsid w:val="00D315A7"/>
    <w:rsid w:val="00D363E2"/>
    <w:rsid w:val="00D462A4"/>
    <w:rsid w:val="00D521A9"/>
    <w:rsid w:val="00D61F9A"/>
    <w:rsid w:val="00D626A8"/>
    <w:rsid w:val="00D63140"/>
    <w:rsid w:val="00D71A19"/>
    <w:rsid w:val="00D729F8"/>
    <w:rsid w:val="00D75220"/>
    <w:rsid w:val="00D85C42"/>
    <w:rsid w:val="00D90A51"/>
    <w:rsid w:val="00D94FE7"/>
    <w:rsid w:val="00DC6E88"/>
    <w:rsid w:val="00DD0E95"/>
    <w:rsid w:val="00DE6D39"/>
    <w:rsid w:val="00E02F9C"/>
    <w:rsid w:val="00E247E8"/>
    <w:rsid w:val="00E722C8"/>
    <w:rsid w:val="00E73887"/>
    <w:rsid w:val="00E80D9E"/>
    <w:rsid w:val="00EA2CAA"/>
    <w:rsid w:val="00EB1F7A"/>
    <w:rsid w:val="00ED0C9C"/>
    <w:rsid w:val="00ED1911"/>
    <w:rsid w:val="00EF0ADC"/>
    <w:rsid w:val="00F00950"/>
    <w:rsid w:val="00F0596B"/>
    <w:rsid w:val="00F44BA1"/>
    <w:rsid w:val="00F60778"/>
    <w:rsid w:val="00F61CB6"/>
    <w:rsid w:val="00F92250"/>
    <w:rsid w:val="00FC5A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32E748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67598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0560C"/>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0560C"/>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3" Type="http://schemas.openxmlformats.org/officeDocument/2006/relationships/webSettings" Target="webSettings.xml"/><Relationship Id="rId7" Type="http://schemas.openxmlformats.org/officeDocument/2006/relationships/image" Target="media/image4.jp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fontTable" Target="fontTable.xml"/><Relationship Id="rId5" Type="http://schemas.openxmlformats.org/officeDocument/2006/relationships/image" Target="media/image2.jpg"/><Relationship Id="rId10" Type="http://schemas.openxmlformats.org/officeDocument/2006/relationships/image" Target="media/image7.jpg"/><Relationship Id="rId4" Type="http://schemas.openxmlformats.org/officeDocument/2006/relationships/image" Target="media/image1.jpg"/><Relationship Id="rId9"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1422</Words>
  <Characters>8106</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cp:lastPrinted>2019-04-30T16:16:00Z</cp:lastPrinted>
  <dcterms:created xsi:type="dcterms:W3CDTF">2019-05-08T20:22:00Z</dcterms:created>
  <dcterms:modified xsi:type="dcterms:W3CDTF">2019-05-08T20:22:00Z</dcterms:modified>
</cp:coreProperties>
</file>