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17" w:rsidRPr="001E6DBD" w:rsidRDefault="00D87817" w:rsidP="00D87817">
      <w:pPr>
        <w:spacing w:line="480" w:lineRule="auto"/>
        <w:rPr>
          <w:rFonts w:ascii="Arial" w:hAnsi="Arial" w:cs="Arial"/>
          <w:sz w:val="22"/>
          <w:szCs w:val="22"/>
        </w:rPr>
      </w:pPr>
    </w:p>
    <w:p w:rsidR="00D87817" w:rsidRPr="001E6DBD" w:rsidRDefault="00D87817" w:rsidP="00D87817">
      <w:pPr>
        <w:spacing w:line="480" w:lineRule="auto"/>
        <w:rPr>
          <w:rFonts w:ascii="Arial" w:hAnsi="Arial" w:cs="Arial"/>
          <w:sz w:val="22"/>
          <w:szCs w:val="22"/>
        </w:rPr>
      </w:pPr>
    </w:p>
    <w:p w:rsidR="00D87817" w:rsidRPr="00636E55" w:rsidRDefault="00D87817" w:rsidP="00D87817">
      <w:pPr>
        <w:rPr>
          <w:rFonts w:ascii="Arial" w:hAnsi="Arial" w:cs="Arial"/>
          <w:sz w:val="22"/>
          <w:szCs w:val="22"/>
        </w:rPr>
      </w:pPr>
      <w:r w:rsidRPr="001E6DBD">
        <w:rPr>
          <w:rFonts w:ascii="Arial" w:hAnsi="Arial" w:cs="Arial"/>
          <w:b/>
          <w:sz w:val="22"/>
          <w:szCs w:val="22"/>
        </w:rPr>
        <w:t xml:space="preserve">Supplementary </w:t>
      </w:r>
      <w:r>
        <w:rPr>
          <w:rFonts w:ascii="Arial" w:hAnsi="Arial" w:cs="Arial"/>
          <w:b/>
          <w:sz w:val="22"/>
          <w:szCs w:val="22"/>
        </w:rPr>
        <w:t>Data</w:t>
      </w:r>
    </w:p>
    <w:p w:rsidR="00D87817" w:rsidRPr="001E6DBD" w:rsidRDefault="00D87817" w:rsidP="00D87817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1E6DBD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LightShading"/>
        <w:tblW w:w="10720" w:type="dxa"/>
        <w:tblInd w:w="-1163" w:type="dxa"/>
        <w:tblLook w:val="0420" w:firstRow="1" w:lastRow="0" w:firstColumn="0" w:lastColumn="0" w:noHBand="0" w:noVBand="1"/>
      </w:tblPr>
      <w:tblGrid>
        <w:gridCol w:w="952"/>
        <w:gridCol w:w="929"/>
        <w:gridCol w:w="934"/>
        <w:gridCol w:w="916"/>
        <w:gridCol w:w="996"/>
        <w:gridCol w:w="937"/>
        <w:gridCol w:w="916"/>
        <w:gridCol w:w="959"/>
        <w:gridCol w:w="1114"/>
        <w:gridCol w:w="1110"/>
        <w:gridCol w:w="957"/>
      </w:tblGrid>
      <w:tr w:rsidR="00D87817" w:rsidRPr="00DC3F15" w:rsidTr="00C37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tcW w:w="957" w:type="dxa"/>
            <w:hideMark/>
          </w:tcPr>
          <w:p w:rsidR="00D87817" w:rsidRPr="00DC3F15" w:rsidRDefault="00D87817" w:rsidP="00C37532">
            <w:pPr>
              <w:rPr>
                <w:rFonts w:ascii="Arial" w:eastAsia="Times New Roman" w:hAnsi="Arial" w:cs="Arial"/>
                <w:color w:val="auto"/>
              </w:rPr>
            </w:pPr>
            <w:r w:rsidRPr="00DC3F15">
              <w:rPr>
                <w:rFonts w:ascii="Arial" w:eastAsia="Times New Roman" w:hAnsi="Arial" w:cs="Arial"/>
                <w:color w:val="auto"/>
                <w:kern w:val="24"/>
              </w:rPr>
              <w:t>Cycle</w:t>
            </w:r>
          </w:p>
        </w:tc>
        <w:tc>
          <w:tcPr>
            <w:tcW w:w="939" w:type="dxa"/>
            <w:hideMark/>
          </w:tcPr>
          <w:p w:rsidR="00D87817" w:rsidRPr="00DC3F15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DC3F15">
              <w:rPr>
                <w:rFonts w:ascii="Arial" w:eastAsia="Times New Roman" w:hAnsi="Arial" w:cs="Arial"/>
                <w:color w:val="auto"/>
                <w:kern w:val="24"/>
              </w:rPr>
              <w:t>HR ALL</w:t>
            </w:r>
          </w:p>
        </w:tc>
        <w:tc>
          <w:tcPr>
            <w:tcW w:w="943" w:type="dxa"/>
            <w:hideMark/>
          </w:tcPr>
          <w:p w:rsidR="00D87817" w:rsidRPr="00DC3F15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DC3F15">
              <w:rPr>
                <w:rFonts w:ascii="Arial" w:eastAsia="Times New Roman" w:hAnsi="Arial" w:cs="Arial"/>
                <w:color w:val="auto"/>
                <w:kern w:val="24"/>
              </w:rPr>
              <w:t>NHL</w:t>
            </w:r>
          </w:p>
        </w:tc>
        <w:tc>
          <w:tcPr>
            <w:tcW w:w="930" w:type="dxa"/>
            <w:hideMark/>
          </w:tcPr>
          <w:p w:rsidR="00D87817" w:rsidRPr="00DC3F15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DC3F15">
              <w:rPr>
                <w:rFonts w:ascii="Arial" w:eastAsia="Times New Roman" w:hAnsi="Arial" w:cs="Arial"/>
                <w:color w:val="auto"/>
                <w:kern w:val="24"/>
              </w:rPr>
              <w:t>HD</w:t>
            </w:r>
          </w:p>
        </w:tc>
        <w:tc>
          <w:tcPr>
            <w:tcW w:w="1008" w:type="dxa"/>
            <w:hideMark/>
          </w:tcPr>
          <w:p w:rsidR="00D87817" w:rsidRPr="00DC3F15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  <w:kern w:val="24"/>
              </w:rPr>
              <w:t>T-L/</w:t>
            </w:r>
            <w:r w:rsidRPr="00DC3F15">
              <w:rPr>
                <w:rFonts w:ascii="Arial" w:eastAsia="Times New Roman" w:hAnsi="Arial" w:cs="Arial"/>
                <w:color w:val="auto"/>
                <w:kern w:val="24"/>
              </w:rPr>
              <w:t>L</w:t>
            </w:r>
            <w:r>
              <w:rPr>
                <w:rFonts w:ascii="Arial" w:eastAsia="Times New Roman" w:hAnsi="Arial" w:cs="Arial"/>
                <w:color w:val="auto"/>
                <w:kern w:val="24"/>
              </w:rPr>
              <w:t>y</w:t>
            </w:r>
          </w:p>
        </w:tc>
        <w:tc>
          <w:tcPr>
            <w:tcW w:w="945" w:type="dxa"/>
            <w:hideMark/>
          </w:tcPr>
          <w:p w:rsidR="00D87817" w:rsidRPr="00DC3F15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DC3F15">
              <w:rPr>
                <w:rFonts w:ascii="Arial" w:eastAsia="Times New Roman" w:hAnsi="Arial" w:cs="Arial"/>
                <w:color w:val="auto"/>
                <w:kern w:val="24"/>
              </w:rPr>
              <w:t>AML</w:t>
            </w:r>
          </w:p>
        </w:tc>
        <w:tc>
          <w:tcPr>
            <w:tcW w:w="930" w:type="dxa"/>
            <w:hideMark/>
          </w:tcPr>
          <w:p w:rsidR="00D87817" w:rsidRPr="00DC3F15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DC3F15">
              <w:rPr>
                <w:rFonts w:ascii="Arial" w:eastAsia="Times New Roman" w:hAnsi="Arial" w:cs="Arial"/>
                <w:color w:val="auto"/>
                <w:kern w:val="24"/>
              </w:rPr>
              <w:t>NB</w:t>
            </w:r>
          </w:p>
        </w:tc>
        <w:tc>
          <w:tcPr>
            <w:tcW w:w="961" w:type="dxa"/>
            <w:hideMark/>
          </w:tcPr>
          <w:p w:rsidR="00D87817" w:rsidRPr="00DC3F15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DC3F15">
              <w:rPr>
                <w:rFonts w:ascii="Arial" w:eastAsia="Times New Roman" w:hAnsi="Arial" w:cs="Arial"/>
                <w:color w:val="auto"/>
                <w:kern w:val="24"/>
              </w:rPr>
              <w:t>Wilms</w:t>
            </w:r>
          </w:p>
        </w:tc>
        <w:tc>
          <w:tcPr>
            <w:tcW w:w="1076" w:type="dxa"/>
            <w:hideMark/>
          </w:tcPr>
          <w:p w:rsidR="00D87817" w:rsidRPr="00DC3F15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DC3F15">
              <w:rPr>
                <w:rFonts w:ascii="Arial" w:eastAsia="Times New Roman" w:hAnsi="Arial" w:cs="Arial"/>
                <w:color w:val="auto"/>
                <w:kern w:val="24"/>
              </w:rPr>
              <w:t>Ewing’s</w:t>
            </w:r>
          </w:p>
        </w:tc>
        <w:tc>
          <w:tcPr>
            <w:tcW w:w="1072" w:type="dxa"/>
            <w:hideMark/>
          </w:tcPr>
          <w:p w:rsidR="00D87817" w:rsidRPr="00DC3F15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DC3F15">
              <w:rPr>
                <w:rFonts w:ascii="Arial" w:eastAsia="Times New Roman" w:hAnsi="Arial" w:cs="Arial"/>
                <w:color w:val="auto"/>
                <w:kern w:val="24"/>
              </w:rPr>
              <w:t>Rhabdo</w:t>
            </w:r>
          </w:p>
        </w:tc>
        <w:tc>
          <w:tcPr>
            <w:tcW w:w="959" w:type="dxa"/>
            <w:hideMark/>
          </w:tcPr>
          <w:p w:rsidR="00D87817" w:rsidRPr="00DC3F15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DC3F15">
              <w:rPr>
                <w:rFonts w:ascii="Arial" w:eastAsia="Times New Roman" w:hAnsi="Arial" w:cs="Arial"/>
                <w:color w:val="auto"/>
                <w:kern w:val="24"/>
              </w:rPr>
              <w:t>Osteo</w:t>
            </w:r>
          </w:p>
        </w:tc>
      </w:tr>
      <w:tr w:rsidR="00D87817" w:rsidRPr="00DC3F15" w:rsidTr="00C37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tcW w:w="957" w:type="dxa"/>
            <w:hideMark/>
          </w:tcPr>
          <w:p w:rsidR="00D87817" w:rsidRPr="00DC3F15" w:rsidRDefault="00D87817" w:rsidP="00C37532">
            <w:pPr>
              <w:rPr>
                <w:rFonts w:ascii="Arial" w:eastAsia="Times New Roman" w:hAnsi="Arial" w:cs="Arial"/>
                <w:color w:val="auto"/>
              </w:rPr>
            </w:pPr>
            <w:r w:rsidRPr="00DC3F15">
              <w:rPr>
                <w:rFonts w:ascii="Arial" w:eastAsia="Times New Roman" w:hAnsi="Arial" w:cs="Arial"/>
                <w:color w:val="auto"/>
                <w:kern w:val="24"/>
              </w:rPr>
              <w:t>pre</w:t>
            </w:r>
          </w:p>
        </w:tc>
        <w:tc>
          <w:tcPr>
            <w:tcW w:w="939" w:type="dxa"/>
            <w:hideMark/>
          </w:tcPr>
          <w:p w:rsidR="00D87817" w:rsidRPr="00DC3F15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943" w:type="dxa"/>
            <w:hideMark/>
          </w:tcPr>
          <w:p w:rsidR="00D87817" w:rsidRPr="00DC3F15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DC3F15">
              <w:rPr>
                <w:rFonts w:ascii="Arial" w:eastAsia="Times New Roman" w:hAnsi="Arial" w:cs="Arial"/>
                <w:color w:val="auto"/>
                <w:kern w:val="24"/>
              </w:rPr>
              <w:t>*</w:t>
            </w:r>
          </w:p>
        </w:tc>
        <w:tc>
          <w:tcPr>
            <w:tcW w:w="930" w:type="dxa"/>
            <w:hideMark/>
          </w:tcPr>
          <w:p w:rsidR="00D87817" w:rsidRPr="00DC3F15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DC3F15">
              <w:rPr>
                <w:rFonts w:ascii="Arial" w:eastAsia="Times New Roman" w:hAnsi="Arial" w:cs="Arial"/>
                <w:color w:val="auto"/>
                <w:kern w:val="24"/>
              </w:rPr>
              <w:t>*</w:t>
            </w:r>
          </w:p>
        </w:tc>
        <w:tc>
          <w:tcPr>
            <w:tcW w:w="1008" w:type="dxa"/>
            <w:hideMark/>
          </w:tcPr>
          <w:p w:rsidR="00D87817" w:rsidRPr="00DC3F15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DC3F15">
              <w:rPr>
                <w:rFonts w:ascii="Arial" w:eastAsia="Times New Roman" w:hAnsi="Arial" w:cs="Arial"/>
                <w:color w:val="auto"/>
                <w:kern w:val="24"/>
              </w:rPr>
              <w:t>*</w:t>
            </w:r>
          </w:p>
        </w:tc>
        <w:tc>
          <w:tcPr>
            <w:tcW w:w="945" w:type="dxa"/>
            <w:hideMark/>
          </w:tcPr>
          <w:p w:rsidR="00D87817" w:rsidRPr="00DC3F15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DC3F15">
              <w:rPr>
                <w:rFonts w:ascii="Arial" w:eastAsia="Times New Roman" w:hAnsi="Arial" w:cs="Arial"/>
                <w:color w:val="auto"/>
                <w:kern w:val="24"/>
              </w:rPr>
              <w:t>*</w:t>
            </w:r>
          </w:p>
        </w:tc>
        <w:tc>
          <w:tcPr>
            <w:tcW w:w="930" w:type="dxa"/>
            <w:hideMark/>
          </w:tcPr>
          <w:p w:rsidR="00D87817" w:rsidRPr="00DC3F15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DC3F15">
              <w:rPr>
                <w:rFonts w:ascii="Arial" w:eastAsia="Times New Roman" w:hAnsi="Arial" w:cs="Arial"/>
                <w:color w:val="auto"/>
                <w:kern w:val="24"/>
              </w:rPr>
              <w:t>*</w:t>
            </w:r>
          </w:p>
        </w:tc>
        <w:tc>
          <w:tcPr>
            <w:tcW w:w="961" w:type="dxa"/>
            <w:hideMark/>
          </w:tcPr>
          <w:p w:rsidR="00D87817" w:rsidRPr="00DC3F15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DC3F15">
              <w:rPr>
                <w:rFonts w:ascii="Arial" w:eastAsia="Times New Roman" w:hAnsi="Arial" w:cs="Arial"/>
                <w:color w:val="auto"/>
                <w:kern w:val="24"/>
              </w:rPr>
              <w:t>*</w:t>
            </w:r>
          </w:p>
        </w:tc>
        <w:tc>
          <w:tcPr>
            <w:tcW w:w="1076" w:type="dxa"/>
            <w:hideMark/>
          </w:tcPr>
          <w:p w:rsidR="00D87817" w:rsidRPr="00DC3F15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DC3F15">
              <w:rPr>
                <w:rFonts w:ascii="Arial" w:eastAsia="Times New Roman" w:hAnsi="Arial" w:cs="Arial"/>
                <w:color w:val="auto"/>
                <w:kern w:val="24"/>
              </w:rPr>
              <w:t>*</w:t>
            </w:r>
          </w:p>
        </w:tc>
        <w:tc>
          <w:tcPr>
            <w:tcW w:w="1072" w:type="dxa"/>
            <w:hideMark/>
          </w:tcPr>
          <w:p w:rsidR="00D87817" w:rsidRPr="00DC3F15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DC3F15">
              <w:rPr>
                <w:rFonts w:ascii="Arial" w:eastAsia="Times New Roman" w:hAnsi="Arial" w:cs="Arial"/>
                <w:color w:val="auto"/>
                <w:kern w:val="24"/>
              </w:rPr>
              <w:t>*</w:t>
            </w:r>
          </w:p>
        </w:tc>
        <w:tc>
          <w:tcPr>
            <w:tcW w:w="959" w:type="dxa"/>
            <w:hideMark/>
          </w:tcPr>
          <w:p w:rsidR="00D87817" w:rsidRPr="00DC3F15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DC3F15">
              <w:rPr>
                <w:rFonts w:ascii="Arial" w:eastAsia="Times New Roman" w:hAnsi="Arial" w:cs="Arial"/>
                <w:color w:val="auto"/>
                <w:kern w:val="24"/>
              </w:rPr>
              <w:t>*</w:t>
            </w:r>
          </w:p>
        </w:tc>
      </w:tr>
      <w:tr w:rsidR="00D87817" w:rsidRPr="00DC3F15" w:rsidTr="00C37532">
        <w:trPr>
          <w:trHeight w:val="453"/>
        </w:trPr>
        <w:tc>
          <w:tcPr>
            <w:tcW w:w="957" w:type="dxa"/>
            <w:hideMark/>
          </w:tcPr>
          <w:p w:rsidR="00D87817" w:rsidRPr="00DC3F15" w:rsidRDefault="00D87817" w:rsidP="00C37532">
            <w:pPr>
              <w:rPr>
                <w:rFonts w:ascii="Arial" w:eastAsia="Times New Roman" w:hAnsi="Arial" w:cs="Arial"/>
                <w:color w:val="auto"/>
              </w:rPr>
            </w:pPr>
            <w:r w:rsidRPr="00DC3F15">
              <w:rPr>
                <w:rFonts w:ascii="Arial" w:eastAsia="Times New Roman" w:hAnsi="Arial" w:cs="Arial"/>
                <w:color w:val="auto"/>
                <w:kern w:val="24"/>
              </w:rPr>
              <w:t>1</w:t>
            </w:r>
          </w:p>
        </w:tc>
        <w:tc>
          <w:tcPr>
            <w:tcW w:w="939" w:type="dxa"/>
            <w:hideMark/>
          </w:tcPr>
          <w:p w:rsidR="00D87817" w:rsidRPr="00DC3F15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943" w:type="dxa"/>
            <w:hideMark/>
          </w:tcPr>
          <w:p w:rsidR="00D87817" w:rsidRPr="00DC3F15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DC3F15">
              <w:rPr>
                <w:rFonts w:ascii="Arial" w:eastAsia="Times New Roman" w:hAnsi="Arial" w:cs="Arial"/>
                <w:color w:val="auto"/>
                <w:kern w:val="24"/>
              </w:rPr>
              <w:t>*</w:t>
            </w:r>
          </w:p>
        </w:tc>
        <w:tc>
          <w:tcPr>
            <w:tcW w:w="930" w:type="dxa"/>
            <w:hideMark/>
          </w:tcPr>
          <w:p w:rsidR="00D87817" w:rsidRPr="00DC3F15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DC3F15">
              <w:rPr>
                <w:rFonts w:ascii="Arial" w:eastAsia="Times New Roman" w:hAnsi="Arial" w:cs="Arial"/>
                <w:color w:val="auto"/>
                <w:kern w:val="24"/>
              </w:rPr>
              <w:t>*</w:t>
            </w:r>
          </w:p>
        </w:tc>
        <w:tc>
          <w:tcPr>
            <w:tcW w:w="1008" w:type="dxa"/>
            <w:hideMark/>
          </w:tcPr>
          <w:p w:rsidR="00D87817" w:rsidRPr="00DC3F15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945" w:type="dxa"/>
            <w:hideMark/>
          </w:tcPr>
          <w:p w:rsidR="00D87817" w:rsidRPr="00DC3F15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930" w:type="dxa"/>
            <w:hideMark/>
          </w:tcPr>
          <w:p w:rsidR="00D87817" w:rsidRPr="00DC3F15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DC3F15">
              <w:rPr>
                <w:rFonts w:ascii="Arial" w:eastAsia="Times New Roman" w:hAnsi="Arial" w:cs="Arial"/>
                <w:color w:val="auto"/>
                <w:kern w:val="24"/>
              </w:rPr>
              <w:t>*</w:t>
            </w:r>
          </w:p>
        </w:tc>
        <w:tc>
          <w:tcPr>
            <w:tcW w:w="961" w:type="dxa"/>
            <w:hideMark/>
          </w:tcPr>
          <w:p w:rsidR="00D87817" w:rsidRPr="00DC3F15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076" w:type="dxa"/>
            <w:hideMark/>
          </w:tcPr>
          <w:p w:rsidR="00D87817" w:rsidRPr="00DC3F15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DC3F15">
              <w:rPr>
                <w:rFonts w:ascii="Arial" w:eastAsia="Times New Roman" w:hAnsi="Arial" w:cs="Arial"/>
                <w:color w:val="auto"/>
                <w:kern w:val="24"/>
              </w:rPr>
              <w:t>*</w:t>
            </w:r>
          </w:p>
        </w:tc>
        <w:tc>
          <w:tcPr>
            <w:tcW w:w="1072" w:type="dxa"/>
            <w:hideMark/>
          </w:tcPr>
          <w:p w:rsidR="00D87817" w:rsidRPr="00DC3F15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DC3F15">
              <w:rPr>
                <w:rFonts w:ascii="Arial" w:eastAsia="Times New Roman" w:hAnsi="Arial" w:cs="Arial"/>
                <w:color w:val="auto"/>
                <w:kern w:val="24"/>
              </w:rPr>
              <w:t>*</w:t>
            </w:r>
          </w:p>
        </w:tc>
        <w:tc>
          <w:tcPr>
            <w:tcW w:w="959" w:type="dxa"/>
            <w:hideMark/>
          </w:tcPr>
          <w:p w:rsidR="00D87817" w:rsidRPr="00DC3F15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DC3F15">
              <w:rPr>
                <w:rFonts w:ascii="Arial" w:eastAsia="Times New Roman" w:hAnsi="Arial" w:cs="Arial"/>
                <w:color w:val="auto"/>
                <w:kern w:val="24"/>
              </w:rPr>
              <w:t>*</w:t>
            </w:r>
          </w:p>
        </w:tc>
      </w:tr>
      <w:tr w:rsidR="00D87817" w:rsidRPr="00DC3F15" w:rsidTr="00C37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tcW w:w="957" w:type="dxa"/>
            <w:hideMark/>
          </w:tcPr>
          <w:p w:rsidR="00D87817" w:rsidRPr="00DC3F15" w:rsidRDefault="00D87817" w:rsidP="00C37532">
            <w:pPr>
              <w:rPr>
                <w:rFonts w:ascii="Arial" w:eastAsia="Times New Roman" w:hAnsi="Arial" w:cs="Arial"/>
                <w:color w:val="auto"/>
              </w:rPr>
            </w:pPr>
            <w:r w:rsidRPr="00DC3F15">
              <w:rPr>
                <w:rFonts w:ascii="Arial" w:eastAsia="Times New Roman" w:hAnsi="Arial" w:cs="Arial"/>
                <w:color w:val="auto"/>
                <w:kern w:val="24"/>
              </w:rPr>
              <w:t>2</w:t>
            </w:r>
          </w:p>
        </w:tc>
        <w:tc>
          <w:tcPr>
            <w:tcW w:w="939" w:type="dxa"/>
            <w:hideMark/>
          </w:tcPr>
          <w:p w:rsidR="00D87817" w:rsidRPr="00DC3F15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943" w:type="dxa"/>
            <w:hideMark/>
          </w:tcPr>
          <w:p w:rsidR="00D87817" w:rsidRPr="00DC3F15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DC3F15">
              <w:rPr>
                <w:rFonts w:ascii="Arial" w:eastAsia="Times New Roman" w:hAnsi="Arial" w:cs="Arial"/>
                <w:color w:val="auto"/>
                <w:kern w:val="24"/>
              </w:rPr>
              <w:t>*</w:t>
            </w:r>
          </w:p>
        </w:tc>
        <w:tc>
          <w:tcPr>
            <w:tcW w:w="930" w:type="dxa"/>
            <w:hideMark/>
          </w:tcPr>
          <w:p w:rsidR="00D87817" w:rsidRPr="00DC3F15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DC3F15">
              <w:rPr>
                <w:rFonts w:ascii="Arial" w:eastAsia="Times New Roman" w:hAnsi="Arial" w:cs="Arial"/>
                <w:color w:val="auto"/>
                <w:kern w:val="24"/>
              </w:rPr>
              <w:t>*</w:t>
            </w:r>
          </w:p>
        </w:tc>
        <w:tc>
          <w:tcPr>
            <w:tcW w:w="1008" w:type="dxa"/>
            <w:hideMark/>
          </w:tcPr>
          <w:p w:rsidR="00D87817" w:rsidRPr="00DC3F15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945" w:type="dxa"/>
            <w:hideMark/>
          </w:tcPr>
          <w:p w:rsidR="00D87817" w:rsidRPr="00DC3F15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930" w:type="dxa"/>
            <w:hideMark/>
          </w:tcPr>
          <w:p w:rsidR="00D87817" w:rsidRPr="00DC3F15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DC3F15">
              <w:rPr>
                <w:rFonts w:ascii="Arial" w:eastAsia="Times New Roman" w:hAnsi="Arial" w:cs="Arial"/>
                <w:color w:val="auto"/>
                <w:kern w:val="24"/>
              </w:rPr>
              <w:t>*</w:t>
            </w:r>
          </w:p>
        </w:tc>
        <w:tc>
          <w:tcPr>
            <w:tcW w:w="961" w:type="dxa"/>
            <w:hideMark/>
          </w:tcPr>
          <w:p w:rsidR="00D87817" w:rsidRPr="00DC3F15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076" w:type="dxa"/>
            <w:hideMark/>
          </w:tcPr>
          <w:p w:rsidR="00D87817" w:rsidRPr="00DC3F15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DC3F15">
              <w:rPr>
                <w:rFonts w:ascii="Arial" w:eastAsia="Times New Roman" w:hAnsi="Arial" w:cs="Arial"/>
                <w:color w:val="auto"/>
                <w:kern w:val="24"/>
              </w:rPr>
              <w:t>*</w:t>
            </w:r>
          </w:p>
        </w:tc>
        <w:tc>
          <w:tcPr>
            <w:tcW w:w="1072" w:type="dxa"/>
            <w:hideMark/>
          </w:tcPr>
          <w:p w:rsidR="00D87817" w:rsidRPr="00DC3F15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DC3F15">
              <w:rPr>
                <w:rFonts w:ascii="Arial" w:eastAsia="Times New Roman" w:hAnsi="Arial" w:cs="Arial"/>
                <w:color w:val="auto"/>
                <w:kern w:val="24"/>
              </w:rPr>
              <w:t>*</w:t>
            </w:r>
          </w:p>
        </w:tc>
        <w:tc>
          <w:tcPr>
            <w:tcW w:w="959" w:type="dxa"/>
            <w:hideMark/>
          </w:tcPr>
          <w:p w:rsidR="00D87817" w:rsidRPr="00DC3F15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D87817" w:rsidRPr="00DC3F15" w:rsidTr="00C37532">
        <w:trPr>
          <w:trHeight w:val="453"/>
        </w:trPr>
        <w:tc>
          <w:tcPr>
            <w:tcW w:w="957" w:type="dxa"/>
            <w:hideMark/>
          </w:tcPr>
          <w:p w:rsidR="00D87817" w:rsidRPr="00DC3F15" w:rsidRDefault="00D87817" w:rsidP="00C37532">
            <w:pPr>
              <w:rPr>
                <w:rFonts w:ascii="Arial" w:eastAsia="Times New Roman" w:hAnsi="Arial" w:cs="Arial"/>
                <w:color w:val="auto"/>
              </w:rPr>
            </w:pPr>
            <w:r w:rsidRPr="00DC3F15">
              <w:rPr>
                <w:rFonts w:ascii="Arial" w:eastAsia="Times New Roman" w:hAnsi="Arial" w:cs="Arial"/>
                <w:color w:val="auto"/>
                <w:kern w:val="24"/>
              </w:rPr>
              <w:t>3</w:t>
            </w:r>
          </w:p>
        </w:tc>
        <w:tc>
          <w:tcPr>
            <w:tcW w:w="939" w:type="dxa"/>
            <w:hideMark/>
          </w:tcPr>
          <w:p w:rsidR="00D87817" w:rsidRPr="00DC3F15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DC3F15">
              <w:rPr>
                <w:rFonts w:ascii="Arial" w:eastAsia="Times New Roman" w:hAnsi="Arial" w:cs="Arial"/>
                <w:color w:val="auto"/>
                <w:kern w:val="24"/>
              </w:rPr>
              <w:t>*</w:t>
            </w:r>
          </w:p>
        </w:tc>
        <w:tc>
          <w:tcPr>
            <w:tcW w:w="943" w:type="dxa"/>
            <w:hideMark/>
          </w:tcPr>
          <w:p w:rsidR="00D87817" w:rsidRPr="00DC3F15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DC3F15">
              <w:rPr>
                <w:rFonts w:ascii="Arial" w:eastAsia="Times New Roman" w:hAnsi="Arial" w:cs="Arial"/>
                <w:color w:val="auto"/>
                <w:kern w:val="24"/>
              </w:rPr>
              <w:t>*</w:t>
            </w:r>
          </w:p>
        </w:tc>
        <w:tc>
          <w:tcPr>
            <w:tcW w:w="930" w:type="dxa"/>
            <w:hideMark/>
          </w:tcPr>
          <w:p w:rsidR="00D87817" w:rsidRPr="00DC3F15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DC3F15">
              <w:rPr>
                <w:rFonts w:ascii="Arial" w:eastAsia="Times New Roman" w:hAnsi="Arial" w:cs="Arial"/>
                <w:color w:val="auto"/>
                <w:kern w:val="24"/>
              </w:rPr>
              <w:t>*</w:t>
            </w:r>
          </w:p>
        </w:tc>
        <w:tc>
          <w:tcPr>
            <w:tcW w:w="1008" w:type="dxa"/>
            <w:hideMark/>
          </w:tcPr>
          <w:p w:rsidR="00D87817" w:rsidRPr="00DC3F15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945" w:type="dxa"/>
            <w:hideMark/>
          </w:tcPr>
          <w:p w:rsidR="00D87817" w:rsidRPr="00DC3F15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DC3F15">
              <w:rPr>
                <w:rFonts w:ascii="Arial" w:eastAsia="Times New Roman" w:hAnsi="Arial" w:cs="Arial"/>
                <w:color w:val="auto"/>
                <w:kern w:val="24"/>
              </w:rPr>
              <w:t>*</w:t>
            </w:r>
          </w:p>
        </w:tc>
        <w:tc>
          <w:tcPr>
            <w:tcW w:w="930" w:type="dxa"/>
            <w:hideMark/>
          </w:tcPr>
          <w:p w:rsidR="00D87817" w:rsidRPr="00DC3F15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DC3F15">
              <w:rPr>
                <w:rFonts w:ascii="Arial" w:eastAsia="Times New Roman" w:hAnsi="Arial" w:cs="Arial"/>
                <w:color w:val="auto"/>
                <w:kern w:val="24"/>
              </w:rPr>
              <w:t>*</w:t>
            </w:r>
          </w:p>
        </w:tc>
        <w:tc>
          <w:tcPr>
            <w:tcW w:w="961" w:type="dxa"/>
            <w:hideMark/>
          </w:tcPr>
          <w:p w:rsidR="00D87817" w:rsidRPr="00DC3F15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DC3F15">
              <w:rPr>
                <w:rFonts w:ascii="Arial" w:eastAsia="Times New Roman" w:hAnsi="Arial" w:cs="Arial"/>
                <w:color w:val="auto"/>
                <w:kern w:val="24"/>
              </w:rPr>
              <w:t>*</w:t>
            </w:r>
          </w:p>
        </w:tc>
        <w:tc>
          <w:tcPr>
            <w:tcW w:w="1076" w:type="dxa"/>
            <w:hideMark/>
          </w:tcPr>
          <w:p w:rsidR="00D87817" w:rsidRPr="00DC3F15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DC3F15">
              <w:rPr>
                <w:rFonts w:ascii="Arial" w:eastAsia="Times New Roman" w:hAnsi="Arial" w:cs="Arial"/>
                <w:color w:val="auto"/>
                <w:kern w:val="24"/>
              </w:rPr>
              <w:t>*</w:t>
            </w:r>
          </w:p>
        </w:tc>
        <w:tc>
          <w:tcPr>
            <w:tcW w:w="1072" w:type="dxa"/>
            <w:hideMark/>
          </w:tcPr>
          <w:p w:rsidR="00D87817" w:rsidRPr="00DC3F15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DC3F15">
              <w:rPr>
                <w:rFonts w:ascii="Arial" w:eastAsia="Times New Roman" w:hAnsi="Arial" w:cs="Arial"/>
                <w:color w:val="auto"/>
                <w:kern w:val="24"/>
              </w:rPr>
              <w:t>*</w:t>
            </w:r>
          </w:p>
        </w:tc>
        <w:tc>
          <w:tcPr>
            <w:tcW w:w="959" w:type="dxa"/>
            <w:hideMark/>
          </w:tcPr>
          <w:p w:rsidR="00D87817" w:rsidRPr="00DC3F15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DC3F15">
              <w:rPr>
                <w:rFonts w:ascii="Arial" w:eastAsia="Times New Roman" w:hAnsi="Arial" w:cs="Arial"/>
                <w:color w:val="auto"/>
                <w:kern w:val="24"/>
              </w:rPr>
              <w:t>*</w:t>
            </w:r>
          </w:p>
        </w:tc>
      </w:tr>
      <w:tr w:rsidR="00D87817" w:rsidRPr="00DC3F15" w:rsidTr="00C37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tcW w:w="957" w:type="dxa"/>
            <w:hideMark/>
          </w:tcPr>
          <w:p w:rsidR="00D87817" w:rsidRPr="00DC3F15" w:rsidRDefault="00D87817" w:rsidP="00C37532">
            <w:pPr>
              <w:rPr>
                <w:rFonts w:ascii="Arial" w:eastAsia="Times New Roman" w:hAnsi="Arial" w:cs="Arial"/>
                <w:color w:val="auto"/>
              </w:rPr>
            </w:pPr>
            <w:r w:rsidRPr="00DC3F15">
              <w:rPr>
                <w:rFonts w:ascii="Arial" w:eastAsia="Times New Roman" w:hAnsi="Arial" w:cs="Arial"/>
                <w:color w:val="auto"/>
                <w:kern w:val="24"/>
              </w:rPr>
              <w:t>4</w:t>
            </w:r>
          </w:p>
        </w:tc>
        <w:tc>
          <w:tcPr>
            <w:tcW w:w="939" w:type="dxa"/>
            <w:hideMark/>
          </w:tcPr>
          <w:p w:rsidR="00D87817" w:rsidRPr="00DC3F15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DC3F15">
              <w:rPr>
                <w:rFonts w:ascii="Arial" w:eastAsia="Times New Roman" w:hAnsi="Arial" w:cs="Arial"/>
                <w:color w:val="auto"/>
                <w:kern w:val="24"/>
              </w:rPr>
              <w:t>*</w:t>
            </w:r>
          </w:p>
        </w:tc>
        <w:tc>
          <w:tcPr>
            <w:tcW w:w="943" w:type="dxa"/>
            <w:hideMark/>
          </w:tcPr>
          <w:p w:rsidR="00D87817" w:rsidRPr="00DC3F15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DC3F15">
              <w:rPr>
                <w:rFonts w:ascii="Arial" w:eastAsia="Times New Roman" w:hAnsi="Arial" w:cs="Arial"/>
                <w:color w:val="auto"/>
                <w:kern w:val="24"/>
              </w:rPr>
              <w:t>*</w:t>
            </w:r>
          </w:p>
        </w:tc>
        <w:tc>
          <w:tcPr>
            <w:tcW w:w="930" w:type="dxa"/>
            <w:hideMark/>
          </w:tcPr>
          <w:p w:rsidR="00D87817" w:rsidRPr="00DC3F15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DC3F15">
              <w:rPr>
                <w:rFonts w:ascii="Arial" w:eastAsia="Times New Roman" w:hAnsi="Arial" w:cs="Arial"/>
                <w:color w:val="auto"/>
                <w:kern w:val="24"/>
              </w:rPr>
              <w:t>*</w:t>
            </w:r>
          </w:p>
        </w:tc>
        <w:tc>
          <w:tcPr>
            <w:tcW w:w="1008" w:type="dxa"/>
            <w:hideMark/>
          </w:tcPr>
          <w:p w:rsidR="00D87817" w:rsidRPr="00DC3F15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DC3F15">
              <w:rPr>
                <w:rFonts w:ascii="Arial" w:eastAsia="Times New Roman" w:hAnsi="Arial" w:cs="Arial"/>
                <w:color w:val="auto"/>
                <w:kern w:val="24"/>
              </w:rPr>
              <w:t>*</w:t>
            </w:r>
          </w:p>
        </w:tc>
        <w:tc>
          <w:tcPr>
            <w:tcW w:w="945" w:type="dxa"/>
            <w:hideMark/>
          </w:tcPr>
          <w:p w:rsidR="00D87817" w:rsidRPr="00DC3F15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DC3F15">
              <w:rPr>
                <w:rFonts w:ascii="Arial" w:eastAsia="Times New Roman" w:hAnsi="Arial" w:cs="Arial"/>
                <w:color w:val="auto"/>
                <w:kern w:val="24"/>
              </w:rPr>
              <w:t>*</w:t>
            </w:r>
          </w:p>
        </w:tc>
        <w:tc>
          <w:tcPr>
            <w:tcW w:w="930" w:type="dxa"/>
            <w:hideMark/>
          </w:tcPr>
          <w:p w:rsidR="00D87817" w:rsidRPr="00DC3F15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DC3F15">
              <w:rPr>
                <w:rFonts w:ascii="Arial" w:eastAsia="Times New Roman" w:hAnsi="Arial" w:cs="Arial"/>
                <w:color w:val="auto"/>
                <w:kern w:val="24"/>
              </w:rPr>
              <w:t>*</w:t>
            </w:r>
          </w:p>
        </w:tc>
        <w:tc>
          <w:tcPr>
            <w:tcW w:w="961" w:type="dxa"/>
            <w:hideMark/>
          </w:tcPr>
          <w:p w:rsidR="00D87817" w:rsidRPr="00DC3F15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076" w:type="dxa"/>
            <w:hideMark/>
          </w:tcPr>
          <w:p w:rsidR="00D87817" w:rsidRPr="00DC3F15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DC3F15">
              <w:rPr>
                <w:rFonts w:ascii="Arial" w:eastAsia="Times New Roman" w:hAnsi="Arial" w:cs="Arial"/>
                <w:color w:val="auto"/>
                <w:kern w:val="24"/>
              </w:rPr>
              <w:t>*</w:t>
            </w:r>
          </w:p>
        </w:tc>
        <w:tc>
          <w:tcPr>
            <w:tcW w:w="1072" w:type="dxa"/>
            <w:hideMark/>
          </w:tcPr>
          <w:p w:rsidR="00D87817" w:rsidRPr="00DC3F15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DC3F15">
              <w:rPr>
                <w:rFonts w:ascii="Arial" w:eastAsia="Times New Roman" w:hAnsi="Arial" w:cs="Arial"/>
                <w:color w:val="auto"/>
                <w:kern w:val="24"/>
              </w:rPr>
              <w:t>*</w:t>
            </w:r>
          </w:p>
        </w:tc>
        <w:tc>
          <w:tcPr>
            <w:tcW w:w="959" w:type="dxa"/>
            <w:hideMark/>
          </w:tcPr>
          <w:p w:rsidR="00D87817" w:rsidRPr="00DC3F15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</w:tr>
    </w:tbl>
    <w:p w:rsidR="00D87817" w:rsidRPr="001E6DBD" w:rsidRDefault="00D87817" w:rsidP="00D87817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D87817" w:rsidRPr="001E6DBD" w:rsidRDefault="00D87817" w:rsidP="00D87817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1E6DBD">
        <w:rPr>
          <w:rFonts w:ascii="Arial" w:hAnsi="Arial" w:cs="Arial"/>
          <w:b/>
          <w:sz w:val="22"/>
          <w:szCs w:val="22"/>
        </w:rPr>
        <w:t xml:space="preserve">Table S1. </w:t>
      </w:r>
      <w:r>
        <w:rPr>
          <w:rFonts w:ascii="Arial" w:hAnsi="Arial" w:cs="Arial"/>
          <w:b/>
          <w:sz w:val="22"/>
          <w:szCs w:val="22"/>
        </w:rPr>
        <w:t>Statistical significance of expansion relative to standard risk ALL</w:t>
      </w:r>
      <w:r w:rsidRPr="001E6DBD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Pass rate percentage was compared to SR ALL pass rate at the same cycle of chemotherapy for each disease</w:t>
      </w:r>
      <w:r w:rsidRPr="001E6DB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Statistically significant (p&lt;0.01 with Fisher’s Exact test) differences are noted by a *.</w:t>
      </w:r>
      <w:r w:rsidRPr="001E6DBD">
        <w:rPr>
          <w:rFonts w:ascii="Arial" w:hAnsi="Arial" w:cs="Arial"/>
          <w:sz w:val="22"/>
          <w:szCs w:val="22"/>
        </w:rPr>
        <w:t xml:space="preserve"> </w:t>
      </w:r>
    </w:p>
    <w:p w:rsidR="00D87817" w:rsidRDefault="00D87817" w:rsidP="00D87817">
      <w:pPr>
        <w:spacing w:line="480" w:lineRule="auto"/>
        <w:rPr>
          <w:rFonts w:ascii="Arial" w:hAnsi="Arial" w:cs="Arial"/>
          <w:sz w:val="22"/>
          <w:szCs w:val="22"/>
        </w:rPr>
      </w:pPr>
    </w:p>
    <w:p w:rsidR="00D87817" w:rsidRDefault="00D87817" w:rsidP="00D87817">
      <w:pPr>
        <w:spacing w:line="480" w:lineRule="auto"/>
        <w:rPr>
          <w:rFonts w:ascii="Arial" w:hAnsi="Arial" w:cs="Arial"/>
          <w:sz w:val="22"/>
          <w:szCs w:val="22"/>
        </w:rPr>
      </w:pPr>
    </w:p>
    <w:p w:rsidR="00D87817" w:rsidRPr="001E6DBD" w:rsidRDefault="00D87817" w:rsidP="00D87817">
      <w:pPr>
        <w:spacing w:line="480" w:lineRule="auto"/>
        <w:rPr>
          <w:rFonts w:ascii="Arial" w:hAnsi="Arial" w:cs="Arial"/>
          <w:sz w:val="22"/>
          <w:szCs w:val="22"/>
        </w:rPr>
      </w:pPr>
    </w:p>
    <w:tbl>
      <w:tblPr>
        <w:tblStyle w:val="LightShading"/>
        <w:tblW w:w="10986" w:type="dxa"/>
        <w:tblInd w:w="-1140" w:type="dxa"/>
        <w:tblLayout w:type="fixed"/>
        <w:tblLook w:val="0420" w:firstRow="1" w:lastRow="0" w:firstColumn="0" w:lastColumn="0" w:noHBand="0" w:noVBand="1"/>
      </w:tblPr>
      <w:tblGrid>
        <w:gridCol w:w="798"/>
        <w:gridCol w:w="952"/>
        <w:gridCol w:w="977"/>
        <w:gridCol w:w="967"/>
        <w:gridCol w:w="884"/>
        <w:gridCol w:w="720"/>
        <w:gridCol w:w="90"/>
        <w:gridCol w:w="807"/>
        <w:gridCol w:w="865"/>
        <w:gridCol w:w="848"/>
        <w:gridCol w:w="1170"/>
        <w:gridCol w:w="1031"/>
        <w:gridCol w:w="877"/>
      </w:tblGrid>
      <w:tr w:rsidR="00D87817" w:rsidRPr="005D6CFF" w:rsidTr="00C37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</w:trPr>
        <w:tc>
          <w:tcPr>
            <w:tcW w:w="798" w:type="dxa"/>
            <w:hideMark/>
          </w:tcPr>
          <w:p w:rsidR="00D87817" w:rsidRPr="005D6CFF" w:rsidRDefault="00D87817" w:rsidP="00C37532">
            <w:pPr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952" w:type="dxa"/>
            <w:hideMark/>
          </w:tcPr>
          <w:p w:rsidR="00D87817" w:rsidRPr="005D6CFF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5D6CFF">
              <w:rPr>
                <w:rFonts w:ascii="Calibri" w:eastAsia="Times New Roman" w:hAnsi="Calibri" w:cs="Arial"/>
                <w:color w:val="auto"/>
                <w:kern w:val="24"/>
              </w:rPr>
              <w:t>SR ALL</w:t>
            </w:r>
          </w:p>
        </w:tc>
        <w:tc>
          <w:tcPr>
            <w:tcW w:w="977" w:type="dxa"/>
            <w:hideMark/>
          </w:tcPr>
          <w:p w:rsidR="00D87817" w:rsidRPr="005D6CFF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5D6CFF">
              <w:rPr>
                <w:rFonts w:ascii="Calibri" w:eastAsia="Times New Roman" w:hAnsi="Calibri" w:cs="Arial"/>
                <w:color w:val="auto"/>
                <w:kern w:val="24"/>
              </w:rPr>
              <w:t>HR ALL</w:t>
            </w:r>
          </w:p>
        </w:tc>
        <w:tc>
          <w:tcPr>
            <w:tcW w:w="967" w:type="dxa"/>
            <w:hideMark/>
          </w:tcPr>
          <w:p w:rsidR="00D87817" w:rsidRPr="005D6CFF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5D6CFF">
              <w:rPr>
                <w:rFonts w:ascii="Calibri" w:eastAsia="Times New Roman" w:hAnsi="Calibri" w:cs="Arial"/>
                <w:color w:val="auto"/>
                <w:kern w:val="24"/>
              </w:rPr>
              <w:t>NHL</w:t>
            </w:r>
          </w:p>
        </w:tc>
        <w:tc>
          <w:tcPr>
            <w:tcW w:w="884" w:type="dxa"/>
            <w:hideMark/>
          </w:tcPr>
          <w:p w:rsidR="00D87817" w:rsidRPr="005D6CFF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5D6CFF">
              <w:rPr>
                <w:rFonts w:ascii="Calibri" w:eastAsia="Times New Roman" w:hAnsi="Calibri" w:cs="Arial"/>
                <w:color w:val="auto"/>
                <w:kern w:val="24"/>
              </w:rPr>
              <w:t>HD</w:t>
            </w:r>
          </w:p>
        </w:tc>
        <w:tc>
          <w:tcPr>
            <w:tcW w:w="810" w:type="dxa"/>
            <w:gridSpan w:val="2"/>
            <w:hideMark/>
          </w:tcPr>
          <w:p w:rsidR="00D87817" w:rsidRPr="005D6CFF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color w:val="auto"/>
                <w:kern w:val="24"/>
              </w:rPr>
              <w:t>T-LL/Ly</w:t>
            </w:r>
          </w:p>
        </w:tc>
        <w:tc>
          <w:tcPr>
            <w:tcW w:w="807" w:type="dxa"/>
            <w:hideMark/>
          </w:tcPr>
          <w:p w:rsidR="00D87817" w:rsidRPr="005D6CFF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5D6CFF">
              <w:rPr>
                <w:rFonts w:ascii="Calibri" w:eastAsia="Times New Roman" w:hAnsi="Calibri" w:cs="Arial"/>
                <w:color w:val="auto"/>
                <w:kern w:val="24"/>
              </w:rPr>
              <w:t>AML</w:t>
            </w:r>
          </w:p>
        </w:tc>
        <w:tc>
          <w:tcPr>
            <w:tcW w:w="865" w:type="dxa"/>
            <w:hideMark/>
          </w:tcPr>
          <w:p w:rsidR="00D87817" w:rsidRPr="005D6CFF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5D6CFF">
              <w:rPr>
                <w:rFonts w:ascii="Calibri" w:eastAsia="Times New Roman" w:hAnsi="Calibri" w:cs="Arial"/>
                <w:color w:val="auto"/>
                <w:kern w:val="24"/>
              </w:rPr>
              <w:t>NB</w:t>
            </w:r>
          </w:p>
        </w:tc>
        <w:tc>
          <w:tcPr>
            <w:tcW w:w="848" w:type="dxa"/>
            <w:hideMark/>
          </w:tcPr>
          <w:p w:rsidR="00D87817" w:rsidRPr="005D6CFF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5D6CFF">
              <w:rPr>
                <w:rFonts w:ascii="Calibri" w:eastAsia="Times New Roman" w:hAnsi="Calibri" w:cs="Arial"/>
                <w:color w:val="auto"/>
                <w:kern w:val="24"/>
              </w:rPr>
              <w:t>Wilms</w:t>
            </w:r>
          </w:p>
        </w:tc>
        <w:tc>
          <w:tcPr>
            <w:tcW w:w="1170" w:type="dxa"/>
            <w:hideMark/>
          </w:tcPr>
          <w:p w:rsidR="00D87817" w:rsidRPr="005D6CFF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5D6CFF">
              <w:rPr>
                <w:rFonts w:ascii="Calibri" w:eastAsia="Times New Roman" w:hAnsi="Calibri" w:cs="Arial"/>
                <w:color w:val="auto"/>
                <w:kern w:val="24"/>
              </w:rPr>
              <w:t>Ewing’s</w:t>
            </w:r>
          </w:p>
        </w:tc>
        <w:tc>
          <w:tcPr>
            <w:tcW w:w="1031" w:type="dxa"/>
            <w:hideMark/>
          </w:tcPr>
          <w:p w:rsidR="00D87817" w:rsidRPr="005D6CFF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5D6CFF">
              <w:rPr>
                <w:rFonts w:ascii="Calibri" w:eastAsia="Times New Roman" w:hAnsi="Calibri" w:cs="Arial"/>
                <w:color w:val="auto"/>
                <w:kern w:val="24"/>
              </w:rPr>
              <w:t>Rhabdo</w:t>
            </w:r>
          </w:p>
        </w:tc>
        <w:tc>
          <w:tcPr>
            <w:tcW w:w="877" w:type="dxa"/>
            <w:hideMark/>
          </w:tcPr>
          <w:p w:rsidR="00D87817" w:rsidRPr="005D6CFF" w:rsidRDefault="00D87817" w:rsidP="00C37532">
            <w:pPr>
              <w:jc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5D6CFF">
              <w:rPr>
                <w:rFonts w:ascii="Calibri" w:eastAsia="Times New Roman" w:hAnsi="Calibri" w:cs="Arial"/>
                <w:color w:val="auto"/>
                <w:kern w:val="24"/>
              </w:rPr>
              <w:t>Osteo</w:t>
            </w:r>
          </w:p>
        </w:tc>
      </w:tr>
      <w:tr w:rsidR="00D87817" w:rsidRPr="005D6CFF" w:rsidTr="00C37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tcW w:w="798" w:type="dxa"/>
            <w:hideMark/>
          </w:tcPr>
          <w:p w:rsidR="00D87817" w:rsidRPr="005D6CFF" w:rsidRDefault="00D87817" w:rsidP="00C37532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5D6CFF">
              <w:rPr>
                <w:rFonts w:ascii="Calibri" w:eastAsia="Times New Roman" w:hAnsi="Calibri" w:cs="Arial"/>
                <w:color w:val="000000" w:themeColor="dark1"/>
                <w:kern w:val="24"/>
              </w:rPr>
              <w:t>Naive</w:t>
            </w:r>
          </w:p>
        </w:tc>
        <w:tc>
          <w:tcPr>
            <w:tcW w:w="952" w:type="dxa"/>
            <w:hideMark/>
          </w:tcPr>
          <w:p w:rsidR="00D87817" w:rsidRPr="005D6CFF" w:rsidRDefault="00D87817" w:rsidP="00C375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hideMark/>
          </w:tcPr>
          <w:p w:rsidR="00D87817" w:rsidRPr="005D6CFF" w:rsidRDefault="00D87817" w:rsidP="00C375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6CFF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0.019  ↓</w:t>
            </w:r>
          </w:p>
        </w:tc>
        <w:tc>
          <w:tcPr>
            <w:tcW w:w="967" w:type="dxa"/>
            <w:hideMark/>
          </w:tcPr>
          <w:p w:rsidR="00D87817" w:rsidRPr="005D6CFF" w:rsidRDefault="00D87817" w:rsidP="00C375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0.015</w:t>
            </w:r>
            <w:r w:rsidRPr="005D6CFF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 xml:space="preserve"> ↓</w:t>
            </w:r>
          </w:p>
        </w:tc>
        <w:tc>
          <w:tcPr>
            <w:tcW w:w="884" w:type="dxa"/>
            <w:hideMark/>
          </w:tcPr>
          <w:p w:rsidR="00D87817" w:rsidRPr="005D6CFF" w:rsidRDefault="00D87817" w:rsidP="00C375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6CFF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0.016 ↓</w:t>
            </w:r>
          </w:p>
        </w:tc>
        <w:tc>
          <w:tcPr>
            <w:tcW w:w="720" w:type="dxa"/>
            <w:hideMark/>
          </w:tcPr>
          <w:p w:rsidR="00D87817" w:rsidRPr="005D6CFF" w:rsidRDefault="00D87817" w:rsidP="00C375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hideMark/>
          </w:tcPr>
          <w:p w:rsidR="00D87817" w:rsidRPr="005D6CFF" w:rsidRDefault="00D87817" w:rsidP="00C375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5" w:type="dxa"/>
            <w:hideMark/>
          </w:tcPr>
          <w:p w:rsidR="00D87817" w:rsidRPr="005D6CFF" w:rsidRDefault="00D87817" w:rsidP="00C375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6CFF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0.0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4</w:t>
            </w:r>
            <w:r w:rsidRPr="005D6CFF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 xml:space="preserve"> ↓</w:t>
            </w:r>
          </w:p>
        </w:tc>
        <w:tc>
          <w:tcPr>
            <w:tcW w:w="848" w:type="dxa"/>
            <w:hideMark/>
          </w:tcPr>
          <w:p w:rsidR="00D87817" w:rsidRPr="005D6CFF" w:rsidRDefault="00D87817" w:rsidP="00C375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hideMark/>
          </w:tcPr>
          <w:p w:rsidR="00D87817" w:rsidRPr="005D6CFF" w:rsidRDefault="00D87817" w:rsidP="00C375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6CFF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0.006 ↓</w:t>
            </w:r>
          </w:p>
        </w:tc>
        <w:tc>
          <w:tcPr>
            <w:tcW w:w="1031" w:type="dxa"/>
            <w:hideMark/>
          </w:tcPr>
          <w:p w:rsidR="00D87817" w:rsidRPr="005D6CFF" w:rsidRDefault="00D87817" w:rsidP="00C375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6CFF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0.044 ↓</w:t>
            </w:r>
          </w:p>
        </w:tc>
        <w:tc>
          <w:tcPr>
            <w:tcW w:w="877" w:type="dxa"/>
            <w:hideMark/>
          </w:tcPr>
          <w:p w:rsidR="00D87817" w:rsidRPr="005D6CFF" w:rsidRDefault="00D87817" w:rsidP="00C375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7817" w:rsidRPr="005D6CFF" w:rsidTr="00C37532">
        <w:trPr>
          <w:trHeight w:val="360"/>
        </w:trPr>
        <w:tc>
          <w:tcPr>
            <w:tcW w:w="798" w:type="dxa"/>
            <w:hideMark/>
          </w:tcPr>
          <w:p w:rsidR="00D87817" w:rsidRPr="005D6CFF" w:rsidRDefault="00D87817" w:rsidP="00C37532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5D6CFF">
              <w:rPr>
                <w:rFonts w:ascii="Calibri" w:eastAsia="Times New Roman" w:hAnsi="Calibri" w:cs="Arial"/>
                <w:color w:val="000000" w:themeColor="dark1"/>
                <w:kern w:val="24"/>
              </w:rPr>
              <w:t>SCM</w:t>
            </w:r>
          </w:p>
        </w:tc>
        <w:tc>
          <w:tcPr>
            <w:tcW w:w="952" w:type="dxa"/>
            <w:hideMark/>
          </w:tcPr>
          <w:p w:rsidR="00D87817" w:rsidRPr="005D6CFF" w:rsidRDefault="00D87817" w:rsidP="00C375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hideMark/>
          </w:tcPr>
          <w:p w:rsidR="00D87817" w:rsidRPr="005D6CFF" w:rsidRDefault="00D87817" w:rsidP="00C375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hideMark/>
          </w:tcPr>
          <w:p w:rsidR="00D87817" w:rsidRPr="005D6CFF" w:rsidRDefault="00D87817" w:rsidP="00C375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6CFF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0.00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1</w:t>
            </w:r>
            <w:r w:rsidRPr="005D6CFF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 xml:space="preserve"> ↓</w:t>
            </w:r>
          </w:p>
        </w:tc>
        <w:tc>
          <w:tcPr>
            <w:tcW w:w="884" w:type="dxa"/>
            <w:hideMark/>
          </w:tcPr>
          <w:p w:rsidR="00D87817" w:rsidRPr="005D6CFF" w:rsidRDefault="00D87817" w:rsidP="00C375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:rsidR="00D87817" w:rsidRPr="005D6CFF" w:rsidRDefault="00D87817" w:rsidP="00C375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hideMark/>
          </w:tcPr>
          <w:p w:rsidR="00D87817" w:rsidRPr="005D6CFF" w:rsidRDefault="00D87817" w:rsidP="00C375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5" w:type="dxa"/>
            <w:hideMark/>
          </w:tcPr>
          <w:p w:rsidR="00D87817" w:rsidRPr="005D6CFF" w:rsidRDefault="00D87817" w:rsidP="00C375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D87817" w:rsidRPr="005D6CFF" w:rsidRDefault="00D87817" w:rsidP="00C375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hideMark/>
          </w:tcPr>
          <w:p w:rsidR="00D87817" w:rsidRPr="005D6CFF" w:rsidRDefault="00D87817" w:rsidP="00C375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6CFF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0.001 ↓</w:t>
            </w:r>
          </w:p>
        </w:tc>
        <w:tc>
          <w:tcPr>
            <w:tcW w:w="1031" w:type="dxa"/>
            <w:hideMark/>
          </w:tcPr>
          <w:p w:rsidR="00D87817" w:rsidRPr="005D6CFF" w:rsidRDefault="00D87817" w:rsidP="00C375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6CFF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0.00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2</w:t>
            </w:r>
            <w:r w:rsidRPr="005D6CFF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 xml:space="preserve"> ↓</w:t>
            </w:r>
          </w:p>
        </w:tc>
        <w:tc>
          <w:tcPr>
            <w:tcW w:w="877" w:type="dxa"/>
            <w:hideMark/>
          </w:tcPr>
          <w:p w:rsidR="00D87817" w:rsidRPr="005D6CFF" w:rsidRDefault="00D87817" w:rsidP="00C375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7817" w:rsidRPr="005D6CFF" w:rsidTr="00C37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798" w:type="dxa"/>
            <w:hideMark/>
          </w:tcPr>
          <w:p w:rsidR="00D87817" w:rsidRPr="005D6CFF" w:rsidRDefault="00D87817" w:rsidP="00C37532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5D6CFF">
              <w:rPr>
                <w:rFonts w:ascii="Calibri" w:eastAsia="Times New Roman" w:hAnsi="Calibri" w:cs="Arial"/>
                <w:color w:val="000000" w:themeColor="dark1"/>
                <w:kern w:val="24"/>
              </w:rPr>
              <w:t>CM</w:t>
            </w:r>
          </w:p>
        </w:tc>
        <w:tc>
          <w:tcPr>
            <w:tcW w:w="952" w:type="dxa"/>
            <w:hideMark/>
          </w:tcPr>
          <w:p w:rsidR="00D87817" w:rsidRPr="005D6CFF" w:rsidRDefault="00D87817" w:rsidP="00C375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6CFF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0.001 ↑</w:t>
            </w:r>
          </w:p>
        </w:tc>
        <w:tc>
          <w:tcPr>
            <w:tcW w:w="977" w:type="dxa"/>
            <w:hideMark/>
          </w:tcPr>
          <w:p w:rsidR="00D87817" w:rsidRPr="005D6CFF" w:rsidRDefault="00D87817" w:rsidP="00C375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hideMark/>
          </w:tcPr>
          <w:p w:rsidR="00D87817" w:rsidRPr="005D6CFF" w:rsidRDefault="00D87817" w:rsidP="00C375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4" w:type="dxa"/>
            <w:hideMark/>
          </w:tcPr>
          <w:p w:rsidR="00D87817" w:rsidRPr="005D6CFF" w:rsidRDefault="00D87817" w:rsidP="00C375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:rsidR="00D87817" w:rsidRPr="005D6CFF" w:rsidRDefault="00D87817" w:rsidP="00C375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hideMark/>
          </w:tcPr>
          <w:p w:rsidR="00D87817" w:rsidRPr="005D6CFF" w:rsidRDefault="00D87817" w:rsidP="00C375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6CFF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0.03 ↑</w:t>
            </w:r>
          </w:p>
        </w:tc>
        <w:tc>
          <w:tcPr>
            <w:tcW w:w="865" w:type="dxa"/>
            <w:hideMark/>
          </w:tcPr>
          <w:p w:rsidR="00D87817" w:rsidRPr="005D6CFF" w:rsidRDefault="00D87817" w:rsidP="00C375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0.0</w:t>
            </w:r>
            <w:r w:rsidRPr="005D6CFF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2 ↑</w:t>
            </w:r>
          </w:p>
        </w:tc>
        <w:tc>
          <w:tcPr>
            <w:tcW w:w="848" w:type="dxa"/>
            <w:hideMark/>
          </w:tcPr>
          <w:p w:rsidR="00D87817" w:rsidRPr="005D6CFF" w:rsidRDefault="00D87817" w:rsidP="00C375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hideMark/>
          </w:tcPr>
          <w:p w:rsidR="00D87817" w:rsidRPr="005D6CFF" w:rsidRDefault="00D87817" w:rsidP="00C375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1" w:type="dxa"/>
            <w:hideMark/>
          </w:tcPr>
          <w:p w:rsidR="00D87817" w:rsidRPr="005D6CFF" w:rsidRDefault="00D87817" w:rsidP="00C375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D87817" w:rsidRPr="005D6CFF" w:rsidRDefault="00D87817" w:rsidP="00C375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7817" w:rsidRPr="005D6CFF" w:rsidTr="00C37532">
        <w:trPr>
          <w:trHeight w:val="270"/>
        </w:trPr>
        <w:tc>
          <w:tcPr>
            <w:tcW w:w="798" w:type="dxa"/>
            <w:hideMark/>
          </w:tcPr>
          <w:p w:rsidR="00D87817" w:rsidRPr="005D6CFF" w:rsidRDefault="00D87817" w:rsidP="00C37532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5D6CFF">
              <w:rPr>
                <w:rFonts w:ascii="Calibri" w:eastAsia="Times New Roman" w:hAnsi="Calibri" w:cs="Arial"/>
                <w:color w:val="000000" w:themeColor="dark1"/>
                <w:kern w:val="24"/>
              </w:rPr>
              <w:t>EM</w:t>
            </w:r>
          </w:p>
        </w:tc>
        <w:tc>
          <w:tcPr>
            <w:tcW w:w="952" w:type="dxa"/>
            <w:hideMark/>
          </w:tcPr>
          <w:p w:rsidR="00D87817" w:rsidRPr="005D6CFF" w:rsidRDefault="00D87817" w:rsidP="00C375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hideMark/>
          </w:tcPr>
          <w:p w:rsidR="00D87817" w:rsidRPr="005D6CFF" w:rsidRDefault="00D87817" w:rsidP="00C375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hideMark/>
          </w:tcPr>
          <w:p w:rsidR="00D87817" w:rsidRPr="005D6CFF" w:rsidRDefault="00D87817" w:rsidP="00C375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4" w:type="dxa"/>
            <w:hideMark/>
          </w:tcPr>
          <w:p w:rsidR="00D87817" w:rsidRPr="005D6CFF" w:rsidRDefault="00D87817" w:rsidP="00C375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:rsidR="00D87817" w:rsidRPr="005D6CFF" w:rsidRDefault="00D87817" w:rsidP="00C375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hideMark/>
          </w:tcPr>
          <w:p w:rsidR="00D87817" w:rsidRPr="005D6CFF" w:rsidRDefault="00D87817" w:rsidP="00C375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5" w:type="dxa"/>
            <w:hideMark/>
          </w:tcPr>
          <w:p w:rsidR="00D87817" w:rsidRPr="005D6CFF" w:rsidRDefault="00D87817" w:rsidP="00C375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D87817" w:rsidRPr="005D6CFF" w:rsidRDefault="00D87817" w:rsidP="00C375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hideMark/>
          </w:tcPr>
          <w:p w:rsidR="00D87817" w:rsidRPr="005D6CFF" w:rsidRDefault="00D87817" w:rsidP="00C375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6CFF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0.01 ↓</w:t>
            </w:r>
          </w:p>
        </w:tc>
        <w:tc>
          <w:tcPr>
            <w:tcW w:w="1031" w:type="dxa"/>
            <w:hideMark/>
          </w:tcPr>
          <w:p w:rsidR="00D87817" w:rsidRPr="005D6CFF" w:rsidRDefault="00D87817" w:rsidP="00C375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D87817" w:rsidRPr="005D6CFF" w:rsidRDefault="00D87817" w:rsidP="00C375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7817" w:rsidRPr="005D6CFF" w:rsidTr="00C37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tcW w:w="798" w:type="dxa"/>
            <w:hideMark/>
          </w:tcPr>
          <w:p w:rsidR="00D87817" w:rsidRPr="005D6CFF" w:rsidRDefault="00D87817" w:rsidP="00C37532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5D6CFF">
              <w:rPr>
                <w:rFonts w:ascii="Calibri" w:eastAsia="Times New Roman" w:hAnsi="Calibri" w:cs="Arial"/>
                <w:color w:val="000000" w:themeColor="dark1"/>
                <w:kern w:val="24"/>
              </w:rPr>
              <w:t>TE</w:t>
            </w:r>
          </w:p>
        </w:tc>
        <w:tc>
          <w:tcPr>
            <w:tcW w:w="952" w:type="dxa"/>
            <w:hideMark/>
          </w:tcPr>
          <w:p w:rsidR="00D87817" w:rsidRPr="005D6CFF" w:rsidRDefault="00D87817" w:rsidP="00C375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hideMark/>
          </w:tcPr>
          <w:p w:rsidR="00D87817" w:rsidRPr="005D6CFF" w:rsidRDefault="00D87817" w:rsidP="00C375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hideMark/>
          </w:tcPr>
          <w:p w:rsidR="00D87817" w:rsidRPr="005D6CFF" w:rsidRDefault="00D87817" w:rsidP="00C375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6CFF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0.045  ↑</w:t>
            </w:r>
          </w:p>
        </w:tc>
        <w:tc>
          <w:tcPr>
            <w:tcW w:w="884" w:type="dxa"/>
            <w:hideMark/>
          </w:tcPr>
          <w:p w:rsidR="00D87817" w:rsidRPr="005D6CFF" w:rsidRDefault="00D87817" w:rsidP="00C375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6CFF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0.048 ↑</w:t>
            </w:r>
          </w:p>
        </w:tc>
        <w:tc>
          <w:tcPr>
            <w:tcW w:w="720" w:type="dxa"/>
            <w:hideMark/>
          </w:tcPr>
          <w:p w:rsidR="00D87817" w:rsidRPr="005D6CFF" w:rsidRDefault="00D87817" w:rsidP="00C375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hideMark/>
          </w:tcPr>
          <w:p w:rsidR="00D87817" w:rsidRPr="005D6CFF" w:rsidRDefault="00D87817" w:rsidP="00C375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6CFF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0.03 ↓</w:t>
            </w:r>
          </w:p>
        </w:tc>
        <w:tc>
          <w:tcPr>
            <w:tcW w:w="865" w:type="dxa"/>
            <w:hideMark/>
          </w:tcPr>
          <w:p w:rsidR="00D87817" w:rsidRPr="005D6CFF" w:rsidRDefault="00D87817" w:rsidP="00C375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D87817" w:rsidRPr="005D6CFF" w:rsidRDefault="00D87817" w:rsidP="00C375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hideMark/>
          </w:tcPr>
          <w:p w:rsidR="00D87817" w:rsidRPr="005D6CFF" w:rsidRDefault="00D87817" w:rsidP="00C375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6CFF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0.00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1</w:t>
            </w:r>
            <w:r w:rsidRPr="005D6CFF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 xml:space="preserve"> ↑</w:t>
            </w:r>
          </w:p>
        </w:tc>
        <w:tc>
          <w:tcPr>
            <w:tcW w:w="1031" w:type="dxa"/>
            <w:hideMark/>
          </w:tcPr>
          <w:p w:rsidR="00D87817" w:rsidRPr="005D6CFF" w:rsidRDefault="00D87817" w:rsidP="00C375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D87817" w:rsidRPr="005D6CFF" w:rsidRDefault="00D87817" w:rsidP="00C375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87817" w:rsidRPr="001E6DBD" w:rsidRDefault="00D87817" w:rsidP="00D87817">
      <w:pPr>
        <w:spacing w:line="480" w:lineRule="auto"/>
        <w:rPr>
          <w:rFonts w:ascii="Arial" w:hAnsi="Arial" w:cs="Arial"/>
          <w:sz w:val="22"/>
          <w:szCs w:val="22"/>
        </w:rPr>
      </w:pPr>
    </w:p>
    <w:p w:rsidR="00D87817" w:rsidRPr="001E6DBD" w:rsidRDefault="00D87817" w:rsidP="00D87817">
      <w:pPr>
        <w:spacing w:line="480" w:lineRule="auto"/>
        <w:rPr>
          <w:rFonts w:ascii="Arial" w:hAnsi="Arial" w:cs="Arial"/>
          <w:sz w:val="22"/>
          <w:szCs w:val="22"/>
        </w:rPr>
      </w:pPr>
      <w:r w:rsidRPr="001E6DBD">
        <w:rPr>
          <w:rFonts w:ascii="Arial" w:hAnsi="Arial" w:cs="Arial"/>
          <w:sz w:val="22"/>
          <w:szCs w:val="22"/>
        </w:rPr>
        <w:t xml:space="preserve"> </w:t>
      </w:r>
    </w:p>
    <w:p w:rsidR="00D87817" w:rsidRDefault="00D87817" w:rsidP="00D87817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1E6DBD">
        <w:rPr>
          <w:rFonts w:ascii="Arial" w:hAnsi="Arial" w:cs="Arial"/>
          <w:b/>
          <w:sz w:val="22"/>
          <w:szCs w:val="22"/>
        </w:rPr>
        <w:t xml:space="preserve">Table S2. Summary of significant differences in </w:t>
      </w:r>
      <w:r>
        <w:rPr>
          <w:rFonts w:ascii="Arial" w:hAnsi="Arial" w:cs="Arial"/>
          <w:b/>
          <w:sz w:val="22"/>
          <w:szCs w:val="22"/>
        </w:rPr>
        <w:t>T cell subsets over time/subsequent chemotherapy cycles</w:t>
      </w:r>
      <w:r w:rsidRPr="001E6DBD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Values are the p value for that T cell subset as analyzed by regression, with an arrow indicating if that trend was up or down over subsequent chemotherapy cycles relative to prechemotherapy values</w:t>
      </w:r>
      <w:r w:rsidRPr="001E6DBD">
        <w:rPr>
          <w:rFonts w:ascii="Arial" w:hAnsi="Arial" w:cs="Arial"/>
          <w:sz w:val="22"/>
          <w:szCs w:val="22"/>
        </w:rPr>
        <w:t xml:space="preserve">. SCM, stem </w:t>
      </w:r>
      <w:r w:rsidRPr="001E6DBD">
        <w:rPr>
          <w:rFonts w:ascii="Arial" w:hAnsi="Arial" w:cs="Arial"/>
          <w:sz w:val="22"/>
          <w:szCs w:val="22"/>
        </w:rPr>
        <w:lastRenderedPageBreak/>
        <w:t>central memory T cells; CM, central memory T cells; EM, effector memory T cells; T</w:t>
      </w:r>
      <w:r w:rsidRPr="001801F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, terminal effector T cells</w:t>
      </w:r>
      <w:r w:rsidRPr="001E6DBD">
        <w:rPr>
          <w:rFonts w:ascii="Arial" w:hAnsi="Arial" w:cs="Arial"/>
          <w:sz w:val="22"/>
          <w:szCs w:val="22"/>
        </w:rPr>
        <w:t xml:space="preserve">. </w:t>
      </w:r>
    </w:p>
    <w:tbl>
      <w:tblPr>
        <w:tblStyle w:val="MediumList2"/>
        <w:tblW w:w="5142" w:type="pct"/>
        <w:tblLook w:val="04A0" w:firstRow="1" w:lastRow="0" w:firstColumn="1" w:lastColumn="0" w:noHBand="0" w:noVBand="1"/>
      </w:tblPr>
      <w:tblGrid>
        <w:gridCol w:w="1798"/>
        <w:gridCol w:w="1432"/>
        <w:gridCol w:w="1434"/>
        <w:gridCol w:w="1437"/>
        <w:gridCol w:w="1439"/>
        <w:gridCol w:w="1568"/>
      </w:tblGrid>
      <w:tr w:rsidR="00D87817" w:rsidTr="00C37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0" w:type="pct"/>
            <w:noWrap/>
          </w:tcPr>
          <w:p w:rsidR="00D87817" w:rsidRDefault="00D87817" w:rsidP="00C37532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Disease</w:t>
            </w:r>
          </w:p>
        </w:tc>
        <w:tc>
          <w:tcPr>
            <w:tcW w:w="794" w:type="pct"/>
          </w:tcPr>
          <w:p w:rsidR="00D87817" w:rsidRDefault="00D87817" w:rsidP="00C37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5" w:type="pct"/>
          </w:tcPr>
          <w:p w:rsidR="00D87817" w:rsidRDefault="00D87817" w:rsidP="00C37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6" w:type="pct"/>
          </w:tcPr>
          <w:p w:rsidR="00D87817" w:rsidRDefault="00D87817" w:rsidP="00C37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7" w:type="pct"/>
          </w:tcPr>
          <w:p w:rsidR="00D87817" w:rsidRDefault="00D87817" w:rsidP="00C37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8" w:type="pct"/>
          </w:tcPr>
          <w:p w:rsidR="00D87817" w:rsidRDefault="00D87817" w:rsidP="00C37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4</w:t>
            </w:r>
          </w:p>
        </w:tc>
      </w:tr>
      <w:tr w:rsidR="00D87817" w:rsidTr="00C37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noWrap/>
          </w:tcPr>
          <w:p w:rsidR="00D87817" w:rsidRDefault="00D87817" w:rsidP="00C37532">
            <w:pPr>
              <w:rPr>
                <w:rFonts w:asciiTheme="minorHAnsi" w:hAnsiTheme="minorHAnsi" w:cstheme="minorBidi"/>
                <w:color w:val="000000"/>
              </w:rPr>
            </w:pPr>
            <w:r>
              <w:rPr>
                <w:rFonts w:asciiTheme="minorHAnsi" w:hAnsiTheme="minorHAnsi" w:cstheme="minorBidi"/>
                <w:color w:val="000000"/>
              </w:rPr>
              <w:t>SR ALL</w:t>
            </w:r>
          </w:p>
        </w:tc>
        <w:tc>
          <w:tcPr>
            <w:tcW w:w="794" w:type="pct"/>
          </w:tcPr>
          <w:p w:rsidR="00D87817" w:rsidRPr="006903B2" w:rsidRDefault="00D87817" w:rsidP="00C37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B2">
              <w:rPr>
                <w:rFonts w:ascii="Arial" w:hAnsi="Arial" w:cs="Arial"/>
                <w:color w:val="000000"/>
                <w:sz w:val="22"/>
                <w:szCs w:val="22"/>
              </w:rPr>
              <w:t>2.11</w:t>
            </w:r>
            <w:r>
              <w:rPr>
                <w:rFonts w:ascii="Arial" w:hAnsi="Arial" w:cs="Arial"/>
                <w:color w:val="000000"/>
              </w:rPr>
              <w:t xml:space="preserve"> (0.76)</w:t>
            </w:r>
          </w:p>
        </w:tc>
        <w:tc>
          <w:tcPr>
            <w:tcW w:w="795" w:type="pct"/>
          </w:tcPr>
          <w:p w:rsidR="00D87817" w:rsidRPr="006903B2" w:rsidRDefault="00D87817" w:rsidP="00C37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B2">
              <w:rPr>
                <w:rFonts w:ascii="Arial" w:hAnsi="Arial" w:cs="Arial"/>
                <w:color w:val="000000"/>
                <w:sz w:val="22"/>
                <w:szCs w:val="22"/>
              </w:rPr>
              <w:t>2.04</w:t>
            </w:r>
            <w:r>
              <w:rPr>
                <w:rFonts w:ascii="Arial" w:hAnsi="Arial" w:cs="Arial"/>
                <w:color w:val="000000"/>
              </w:rPr>
              <w:t xml:space="preserve"> (0.82)</w:t>
            </w:r>
          </w:p>
        </w:tc>
        <w:tc>
          <w:tcPr>
            <w:tcW w:w="796" w:type="pct"/>
          </w:tcPr>
          <w:p w:rsidR="00D87817" w:rsidRPr="006903B2" w:rsidRDefault="00D87817" w:rsidP="00C37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B2">
              <w:rPr>
                <w:rFonts w:ascii="Arial" w:hAnsi="Arial" w:cs="Arial"/>
                <w:color w:val="000000"/>
                <w:sz w:val="22"/>
                <w:szCs w:val="22"/>
              </w:rPr>
              <w:t>1.69</w:t>
            </w:r>
            <w:r>
              <w:rPr>
                <w:rFonts w:ascii="Arial" w:hAnsi="Arial" w:cs="Arial"/>
                <w:color w:val="000000"/>
              </w:rPr>
              <w:t xml:space="preserve"> (0.94)</w:t>
            </w:r>
          </w:p>
        </w:tc>
        <w:tc>
          <w:tcPr>
            <w:tcW w:w="797" w:type="pct"/>
          </w:tcPr>
          <w:p w:rsidR="00D87817" w:rsidRPr="006903B2" w:rsidRDefault="00D87817" w:rsidP="00C37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B2">
              <w:rPr>
                <w:rFonts w:ascii="Arial" w:hAnsi="Arial" w:cs="Arial"/>
                <w:color w:val="000000"/>
                <w:sz w:val="22"/>
                <w:szCs w:val="22"/>
              </w:rPr>
              <w:t>1.48</w:t>
            </w:r>
            <w:r>
              <w:rPr>
                <w:rFonts w:ascii="Arial" w:hAnsi="Arial" w:cs="Arial"/>
                <w:color w:val="000000"/>
              </w:rPr>
              <w:t xml:space="preserve"> (0.75)</w:t>
            </w:r>
          </w:p>
        </w:tc>
        <w:tc>
          <w:tcPr>
            <w:tcW w:w="868" w:type="pct"/>
          </w:tcPr>
          <w:p w:rsidR="00D87817" w:rsidRPr="006903B2" w:rsidRDefault="00D87817" w:rsidP="00C37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1.97 (0.72)</w:t>
            </w:r>
          </w:p>
        </w:tc>
      </w:tr>
      <w:tr w:rsidR="00D87817" w:rsidTr="00C37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noWrap/>
          </w:tcPr>
          <w:p w:rsidR="00D87817" w:rsidRDefault="00D87817" w:rsidP="00C37532">
            <w:pPr>
              <w:rPr>
                <w:rFonts w:asciiTheme="minorHAnsi" w:hAnsiTheme="minorHAnsi" w:cstheme="minorBidi"/>
                <w:color w:val="000000"/>
              </w:rPr>
            </w:pPr>
            <w:r>
              <w:rPr>
                <w:rFonts w:asciiTheme="minorHAnsi" w:hAnsiTheme="minorHAnsi" w:cstheme="minorBidi"/>
                <w:color w:val="000000"/>
              </w:rPr>
              <w:t>HR ALL</w:t>
            </w:r>
          </w:p>
        </w:tc>
        <w:tc>
          <w:tcPr>
            <w:tcW w:w="794" w:type="pct"/>
          </w:tcPr>
          <w:p w:rsidR="00D87817" w:rsidRPr="006903B2" w:rsidRDefault="00D87817" w:rsidP="00C37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B2">
              <w:rPr>
                <w:rFonts w:ascii="Arial" w:hAnsi="Arial" w:cs="Arial"/>
                <w:color w:val="000000"/>
                <w:sz w:val="22"/>
                <w:szCs w:val="22"/>
              </w:rPr>
              <w:t>1.80</w:t>
            </w:r>
            <w:r>
              <w:rPr>
                <w:rFonts w:ascii="Arial" w:hAnsi="Arial" w:cs="Arial"/>
                <w:color w:val="000000"/>
              </w:rPr>
              <w:t xml:space="preserve"> (0.88)</w:t>
            </w:r>
          </w:p>
        </w:tc>
        <w:tc>
          <w:tcPr>
            <w:tcW w:w="795" w:type="pct"/>
          </w:tcPr>
          <w:p w:rsidR="00D87817" w:rsidRPr="006903B2" w:rsidRDefault="00D87817" w:rsidP="00C37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B2">
              <w:rPr>
                <w:rFonts w:ascii="Arial" w:hAnsi="Arial" w:cs="Arial"/>
                <w:color w:val="000000"/>
                <w:sz w:val="22"/>
                <w:szCs w:val="22"/>
              </w:rPr>
              <w:t>1.79</w:t>
            </w:r>
            <w:r>
              <w:rPr>
                <w:rFonts w:ascii="Arial" w:hAnsi="Arial" w:cs="Arial"/>
                <w:color w:val="000000"/>
              </w:rPr>
              <w:t xml:space="preserve"> (0.94)</w:t>
            </w:r>
          </w:p>
        </w:tc>
        <w:tc>
          <w:tcPr>
            <w:tcW w:w="796" w:type="pct"/>
          </w:tcPr>
          <w:p w:rsidR="00D87817" w:rsidRPr="006903B2" w:rsidRDefault="00D87817" w:rsidP="00C37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B2">
              <w:rPr>
                <w:rFonts w:ascii="Arial" w:hAnsi="Arial" w:cs="Arial"/>
                <w:color w:val="000000"/>
                <w:sz w:val="22"/>
                <w:szCs w:val="22"/>
              </w:rPr>
              <w:t>0.93</w:t>
            </w:r>
            <w:r>
              <w:rPr>
                <w:rFonts w:ascii="Arial" w:hAnsi="Arial" w:cs="Arial"/>
                <w:color w:val="000000"/>
              </w:rPr>
              <w:t xml:space="preserve"> (0.65)</w:t>
            </w:r>
          </w:p>
        </w:tc>
        <w:tc>
          <w:tcPr>
            <w:tcW w:w="797" w:type="pct"/>
          </w:tcPr>
          <w:p w:rsidR="00D87817" w:rsidRPr="006903B2" w:rsidRDefault="00D87817" w:rsidP="00C37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B2">
              <w:rPr>
                <w:rFonts w:ascii="Arial" w:hAnsi="Arial" w:cs="Arial"/>
                <w:color w:val="000000"/>
                <w:sz w:val="22"/>
                <w:szCs w:val="22"/>
              </w:rPr>
              <w:t>1.14</w:t>
            </w:r>
            <w:r>
              <w:rPr>
                <w:rFonts w:ascii="Arial" w:hAnsi="Arial" w:cs="Arial"/>
                <w:color w:val="000000"/>
              </w:rPr>
              <w:t xml:space="preserve"> (0.62)</w:t>
            </w:r>
          </w:p>
        </w:tc>
        <w:tc>
          <w:tcPr>
            <w:tcW w:w="868" w:type="pct"/>
          </w:tcPr>
          <w:p w:rsidR="00D87817" w:rsidRPr="006903B2" w:rsidRDefault="00D87817" w:rsidP="00C37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1.34 (0.64)</w:t>
            </w:r>
          </w:p>
        </w:tc>
      </w:tr>
      <w:tr w:rsidR="00D87817" w:rsidTr="00C37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noWrap/>
          </w:tcPr>
          <w:p w:rsidR="00D87817" w:rsidRDefault="00D87817" w:rsidP="00C37532">
            <w:pPr>
              <w:rPr>
                <w:rFonts w:asciiTheme="minorHAnsi" w:hAnsiTheme="minorHAnsi" w:cstheme="minorBidi"/>
                <w:color w:val="000000"/>
              </w:rPr>
            </w:pPr>
            <w:r>
              <w:rPr>
                <w:rFonts w:asciiTheme="minorHAnsi" w:hAnsiTheme="minorHAnsi" w:cstheme="minorBidi"/>
                <w:color w:val="000000"/>
              </w:rPr>
              <w:t>AML</w:t>
            </w:r>
          </w:p>
        </w:tc>
        <w:tc>
          <w:tcPr>
            <w:tcW w:w="794" w:type="pct"/>
          </w:tcPr>
          <w:p w:rsidR="00D87817" w:rsidRPr="006903B2" w:rsidRDefault="00D87817" w:rsidP="00C37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B2">
              <w:rPr>
                <w:rFonts w:ascii="Arial" w:hAnsi="Arial" w:cs="Arial"/>
                <w:color w:val="000000"/>
                <w:sz w:val="22"/>
                <w:szCs w:val="22"/>
              </w:rPr>
              <w:t>1.87</w:t>
            </w:r>
            <w:r>
              <w:rPr>
                <w:rFonts w:ascii="Arial" w:hAnsi="Arial" w:cs="Arial"/>
                <w:color w:val="000000"/>
              </w:rPr>
              <w:t xml:space="preserve"> (0.64)</w:t>
            </w:r>
          </w:p>
        </w:tc>
        <w:tc>
          <w:tcPr>
            <w:tcW w:w="795" w:type="pct"/>
          </w:tcPr>
          <w:p w:rsidR="00D87817" w:rsidRPr="006903B2" w:rsidRDefault="00D87817" w:rsidP="00C37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B2">
              <w:rPr>
                <w:rFonts w:ascii="Arial" w:hAnsi="Arial" w:cs="Arial"/>
                <w:color w:val="000000"/>
                <w:sz w:val="22"/>
                <w:szCs w:val="22"/>
              </w:rPr>
              <w:t>2.96</w:t>
            </w:r>
            <w:r>
              <w:rPr>
                <w:rFonts w:ascii="Arial" w:hAnsi="Arial" w:cs="Arial"/>
                <w:color w:val="000000"/>
              </w:rPr>
              <w:t xml:space="preserve"> (1.22)</w:t>
            </w:r>
          </w:p>
        </w:tc>
        <w:tc>
          <w:tcPr>
            <w:tcW w:w="796" w:type="pct"/>
          </w:tcPr>
          <w:p w:rsidR="00D87817" w:rsidRPr="006903B2" w:rsidRDefault="00D87817" w:rsidP="00C37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B2">
              <w:rPr>
                <w:rFonts w:ascii="Arial" w:hAnsi="Arial" w:cs="Arial"/>
                <w:color w:val="000000"/>
                <w:sz w:val="22"/>
                <w:szCs w:val="22"/>
              </w:rPr>
              <w:t>2.66</w:t>
            </w:r>
            <w:r>
              <w:rPr>
                <w:rFonts w:ascii="Arial" w:hAnsi="Arial" w:cs="Arial"/>
                <w:color w:val="000000"/>
              </w:rPr>
              <w:t xml:space="preserve"> (0.76)</w:t>
            </w:r>
          </w:p>
        </w:tc>
        <w:tc>
          <w:tcPr>
            <w:tcW w:w="797" w:type="pct"/>
          </w:tcPr>
          <w:p w:rsidR="00D87817" w:rsidRPr="006903B2" w:rsidRDefault="00D87817" w:rsidP="00C37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B2">
              <w:rPr>
                <w:rFonts w:ascii="Arial" w:hAnsi="Arial" w:cs="Arial"/>
                <w:color w:val="000000"/>
              </w:rPr>
              <w:t>2.22</w:t>
            </w:r>
            <w:r>
              <w:rPr>
                <w:rFonts w:ascii="Arial" w:hAnsi="Arial" w:cs="Arial"/>
                <w:color w:val="000000"/>
              </w:rPr>
              <w:t xml:space="preserve"> (1.38)</w:t>
            </w:r>
          </w:p>
        </w:tc>
        <w:tc>
          <w:tcPr>
            <w:tcW w:w="868" w:type="pct"/>
          </w:tcPr>
          <w:p w:rsidR="00D87817" w:rsidRPr="006903B2" w:rsidRDefault="00D87817" w:rsidP="00C37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2.34 (1.01)</w:t>
            </w:r>
          </w:p>
        </w:tc>
      </w:tr>
      <w:tr w:rsidR="00D87817" w:rsidTr="00C37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noWrap/>
          </w:tcPr>
          <w:p w:rsidR="00D87817" w:rsidRDefault="00D87817" w:rsidP="00C37532">
            <w:pPr>
              <w:rPr>
                <w:rFonts w:asciiTheme="minorHAnsi" w:hAnsiTheme="minorHAnsi" w:cstheme="minorBidi"/>
                <w:color w:val="000000"/>
              </w:rPr>
            </w:pPr>
            <w:r>
              <w:rPr>
                <w:rFonts w:asciiTheme="minorHAnsi" w:hAnsiTheme="minorHAnsi" w:cstheme="minorBidi"/>
                <w:color w:val="000000"/>
              </w:rPr>
              <w:t>Hodgkins</w:t>
            </w:r>
          </w:p>
        </w:tc>
        <w:tc>
          <w:tcPr>
            <w:tcW w:w="794" w:type="pct"/>
          </w:tcPr>
          <w:p w:rsidR="00D87817" w:rsidRPr="006903B2" w:rsidRDefault="00D87817" w:rsidP="00C37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B2">
              <w:rPr>
                <w:rFonts w:ascii="Arial" w:hAnsi="Arial" w:cs="Arial"/>
                <w:color w:val="000000"/>
                <w:sz w:val="22"/>
                <w:szCs w:val="22"/>
              </w:rPr>
              <w:t>2.21</w:t>
            </w:r>
            <w:r>
              <w:rPr>
                <w:rFonts w:ascii="Arial" w:hAnsi="Arial" w:cs="Arial"/>
                <w:color w:val="000000"/>
              </w:rPr>
              <w:t xml:space="preserve"> (1.39)</w:t>
            </w:r>
          </w:p>
        </w:tc>
        <w:tc>
          <w:tcPr>
            <w:tcW w:w="795" w:type="pct"/>
          </w:tcPr>
          <w:p w:rsidR="00D87817" w:rsidRPr="006903B2" w:rsidRDefault="00D87817" w:rsidP="00C37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B2">
              <w:rPr>
                <w:rFonts w:ascii="Arial" w:hAnsi="Arial" w:cs="Arial"/>
                <w:color w:val="000000"/>
                <w:sz w:val="22"/>
                <w:szCs w:val="22"/>
              </w:rPr>
              <w:t>2.14</w:t>
            </w:r>
            <w:r>
              <w:rPr>
                <w:rFonts w:ascii="Arial" w:hAnsi="Arial" w:cs="Arial"/>
                <w:color w:val="000000"/>
              </w:rPr>
              <w:t xml:space="preserve"> (1.32)</w:t>
            </w:r>
          </w:p>
        </w:tc>
        <w:tc>
          <w:tcPr>
            <w:tcW w:w="796" w:type="pct"/>
          </w:tcPr>
          <w:p w:rsidR="00D87817" w:rsidRPr="006903B2" w:rsidRDefault="00D87817" w:rsidP="00C37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B2">
              <w:rPr>
                <w:rFonts w:ascii="Arial" w:hAnsi="Arial" w:cs="Arial"/>
                <w:color w:val="000000"/>
                <w:sz w:val="22"/>
                <w:szCs w:val="22"/>
              </w:rPr>
              <w:t>2.27</w:t>
            </w:r>
            <w:r>
              <w:rPr>
                <w:rFonts w:ascii="Arial" w:hAnsi="Arial" w:cs="Arial"/>
                <w:color w:val="000000"/>
              </w:rPr>
              <w:t xml:space="preserve"> (0.67)</w:t>
            </w:r>
          </w:p>
        </w:tc>
        <w:tc>
          <w:tcPr>
            <w:tcW w:w="797" w:type="pct"/>
          </w:tcPr>
          <w:p w:rsidR="00D87817" w:rsidRPr="006903B2" w:rsidRDefault="00D87817" w:rsidP="00C37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B2">
              <w:rPr>
                <w:rFonts w:ascii="Arial" w:hAnsi="Arial" w:cs="Arial"/>
                <w:color w:val="000000"/>
                <w:sz w:val="22"/>
                <w:szCs w:val="22"/>
              </w:rPr>
              <w:t>2.16</w:t>
            </w:r>
            <w:r>
              <w:rPr>
                <w:rFonts w:ascii="Arial" w:hAnsi="Arial" w:cs="Arial"/>
                <w:color w:val="000000"/>
              </w:rPr>
              <w:t xml:space="preserve"> (0.71)</w:t>
            </w:r>
          </w:p>
        </w:tc>
        <w:tc>
          <w:tcPr>
            <w:tcW w:w="868" w:type="pct"/>
          </w:tcPr>
          <w:p w:rsidR="00D87817" w:rsidRPr="006903B2" w:rsidRDefault="00D87817" w:rsidP="00C37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2.21 (0.85)</w:t>
            </w:r>
          </w:p>
        </w:tc>
      </w:tr>
      <w:tr w:rsidR="00D87817" w:rsidTr="00C37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noWrap/>
          </w:tcPr>
          <w:p w:rsidR="00D87817" w:rsidRDefault="00D87817" w:rsidP="00C37532">
            <w:pPr>
              <w:rPr>
                <w:rFonts w:asciiTheme="minorHAnsi" w:hAnsiTheme="minorHAnsi" w:cstheme="minorBidi"/>
                <w:color w:val="000000"/>
              </w:rPr>
            </w:pPr>
            <w:r>
              <w:rPr>
                <w:rFonts w:asciiTheme="minorHAnsi" w:hAnsiTheme="minorHAnsi" w:cstheme="minorBidi"/>
                <w:color w:val="000000"/>
              </w:rPr>
              <w:t>NHL</w:t>
            </w:r>
          </w:p>
        </w:tc>
        <w:tc>
          <w:tcPr>
            <w:tcW w:w="794" w:type="pct"/>
          </w:tcPr>
          <w:p w:rsidR="00D87817" w:rsidRPr="006903B2" w:rsidRDefault="00D87817" w:rsidP="00C37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B2">
              <w:rPr>
                <w:rFonts w:ascii="Arial" w:hAnsi="Arial" w:cs="Arial"/>
                <w:color w:val="000000"/>
                <w:sz w:val="22"/>
                <w:szCs w:val="22"/>
              </w:rPr>
              <w:t>1.75</w:t>
            </w:r>
            <w:r>
              <w:rPr>
                <w:rFonts w:ascii="Arial" w:hAnsi="Arial" w:cs="Arial"/>
                <w:color w:val="000000"/>
              </w:rPr>
              <w:t xml:space="preserve"> (0.72)</w:t>
            </w:r>
          </w:p>
        </w:tc>
        <w:tc>
          <w:tcPr>
            <w:tcW w:w="795" w:type="pct"/>
          </w:tcPr>
          <w:p w:rsidR="00D87817" w:rsidRPr="006903B2" w:rsidRDefault="00D87817" w:rsidP="00C37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B2">
              <w:rPr>
                <w:rFonts w:ascii="Arial" w:hAnsi="Arial" w:cs="Arial"/>
                <w:color w:val="000000"/>
                <w:sz w:val="22"/>
                <w:szCs w:val="22"/>
              </w:rPr>
              <w:t>1.59</w:t>
            </w:r>
            <w:r>
              <w:rPr>
                <w:rFonts w:ascii="Arial" w:hAnsi="Arial" w:cs="Arial"/>
                <w:color w:val="000000"/>
              </w:rPr>
              <w:t xml:space="preserve"> (0.88)</w:t>
            </w:r>
          </w:p>
        </w:tc>
        <w:tc>
          <w:tcPr>
            <w:tcW w:w="796" w:type="pct"/>
          </w:tcPr>
          <w:p w:rsidR="00D87817" w:rsidRPr="006903B2" w:rsidRDefault="00D87817" w:rsidP="00C37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B2">
              <w:rPr>
                <w:rFonts w:ascii="Arial" w:hAnsi="Arial" w:cs="Arial"/>
                <w:color w:val="000000"/>
                <w:sz w:val="22"/>
                <w:szCs w:val="22"/>
              </w:rPr>
              <w:t>1.71</w:t>
            </w:r>
            <w:r>
              <w:rPr>
                <w:rFonts w:ascii="Arial" w:hAnsi="Arial" w:cs="Arial"/>
                <w:color w:val="000000"/>
              </w:rPr>
              <w:t xml:space="preserve"> (0.81)</w:t>
            </w:r>
          </w:p>
        </w:tc>
        <w:tc>
          <w:tcPr>
            <w:tcW w:w="797" w:type="pct"/>
          </w:tcPr>
          <w:p w:rsidR="00D87817" w:rsidRPr="006903B2" w:rsidRDefault="00D87817" w:rsidP="00C37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B2">
              <w:rPr>
                <w:rFonts w:ascii="Arial" w:hAnsi="Arial" w:cs="Arial"/>
                <w:color w:val="000000"/>
                <w:sz w:val="22"/>
                <w:szCs w:val="22"/>
              </w:rPr>
              <w:t>1.11</w:t>
            </w:r>
            <w:r>
              <w:rPr>
                <w:rFonts w:ascii="Arial" w:hAnsi="Arial" w:cs="Arial"/>
                <w:color w:val="000000"/>
              </w:rPr>
              <w:t xml:space="preserve"> (0.49)</w:t>
            </w:r>
          </w:p>
        </w:tc>
        <w:tc>
          <w:tcPr>
            <w:tcW w:w="868" w:type="pct"/>
          </w:tcPr>
          <w:p w:rsidR="00D87817" w:rsidRPr="006903B2" w:rsidRDefault="00D87817" w:rsidP="00C37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1.62 (0.65)</w:t>
            </w:r>
          </w:p>
        </w:tc>
      </w:tr>
      <w:tr w:rsidR="00D87817" w:rsidTr="00C37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noWrap/>
          </w:tcPr>
          <w:p w:rsidR="00D87817" w:rsidRDefault="00D87817" w:rsidP="00C37532">
            <w:pPr>
              <w:rPr>
                <w:color w:val="000000"/>
              </w:rPr>
            </w:pPr>
            <w:r>
              <w:rPr>
                <w:color w:val="000000"/>
              </w:rPr>
              <w:t>Neuroblastoma</w:t>
            </w:r>
          </w:p>
        </w:tc>
        <w:tc>
          <w:tcPr>
            <w:tcW w:w="794" w:type="pct"/>
          </w:tcPr>
          <w:p w:rsidR="00D87817" w:rsidRPr="006903B2" w:rsidRDefault="00D87817" w:rsidP="00C37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6903B2">
              <w:rPr>
                <w:rFonts w:ascii="Arial" w:hAnsi="Arial" w:cs="Arial"/>
                <w:color w:val="000000"/>
              </w:rPr>
              <w:t>3.66</w:t>
            </w:r>
            <w:r>
              <w:rPr>
                <w:rFonts w:ascii="Arial" w:hAnsi="Arial" w:cs="Arial"/>
                <w:color w:val="000000"/>
              </w:rPr>
              <w:t xml:space="preserve"> (1.56)</w:t>
            </w:r>
          </w:p>
        </w:tc>
        <w:tc>
          <w:tcPr>
            <w:tcW w:w="795" w:type="pct"/>
          </w:tcPr>
          <w:p w:rsidR="00D87817" w:rsidRPr="006903B2" w:rsidRDefault="00D87817" w:rsidP="00C37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6903B2">
              <w:rPr>
                <w:rFonts w:ascii="Arial" w:hAnsi="Arial" w:cs="Arial"/>
                <w:color w:val="000000"/>
              </w:rPr>
              <w:t>2.54</w:t>
            </w:r>
            <w:r>
              <w:rPr>
                <w:rFonts w:ascii="Arial" w:hAnsi="Arial" w:cs="Arial"/>
                <w:color w:val="000000"/>
              </w:rPr>
              <w:t xml:space="preserve"> (1.22)</w:t>
            </w:r>
          </w:p>
        </w:tc>
        <w:tc>
          <w:tcPr>
            <w:tcW w:w="796" w:type="pct"/>
          </w:tcPr>
          <w:p w:rsidR="00D87817" w:rsidRPr="006903B2" w:rsidRDefault="00D87817" w:rsidP="00C37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6903B2">
              <w:rPr>
                <w:rFonts w:ascii="Arial" w:hAnsi="Arial" w:cs="Arial"/>
                <w:color w:val="000000"/>
              </w:rPr>
              <w:t>2.22</w:t>
            </w:r>
            <w:r>
              <w:rPr>
                <w:rFonts w:ascii="Arial" w:hAnsi="Arial" w:cs="Arial"/>
                <w:color w:val="000000"/>
              </w:rPr>
              <w:t xml:space="preserve"> (1.43)</w:t>
            </w:r>
          </w:p>
        </w:tc>
        <w:tc>
          <w:tcPr>
            <w:tcW w:w="797" w:type="pct"/>
          </w:tcPr>
          <w:p w:rsidR="00D87817" w:rsidRPr="006903B2" w:rsidRDefault="00D87817" w:rsidP="00C37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6903B2">
              <w:rPr>
                <w:rFonts w:ascii="Arial" w:hAnsi="Arial" w:cs="Arial"/>
                <w:color w:val="000000"/>
              </w:rPr>
              <w:t>2.89</w:t>
            </w:r>
            <w:r>
              <w:rPr>
                <w:rFonts w:ascii="Arial" w:hAnsi="Arial" w:cs="Arial"/>
                <w:color w:val="000000"/>
              </w:rPr>
              <w:t xml:space="preserve"> (0.95)</w:t>
            </w:r>
          </w:p>
        </w:tc>
        <w:tc>
          <w:tcPr>
            <w:tcW w:w="868" w:type="pct"/>
          </w:tcPr>
          <w:p w:rsidR="00D87817" w:rsidRPr="006903B2" w:rsidRDefault="00D87817" w:rsidP="00C37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2.65 (1.02)</w:t>
            </w:r>
          </w:p>
        </w:tc>
      </w:tr>
      <w:tr w:rsidR="00D87817" w:rsidTr="00C37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noWrap/>
          </w:tcPr>
          <w:p w:rsidR="00D87817" w:rsidRDefault="00D87817" w:rsidP="00C37532">
            <w:pPr>
              <w:rPr>
                <w:color w:val="000000"/>
              </w:rPr>
            </w:pPr>
            <w:r>
              <w:rPr>
                <w:color w:val="000000"/>
              </w:rPr>
              <w:t>Wilms</w:t>
            </w:r>
          </w:p>
        </w:tc>
        <w:tc>
          <w:tcPr>
            <w:tcW w:w="794" w:type="pct"/>
          </w:tcPr>
          <w:p w:rsidR="00D87817" w:rsidRPr="006903B2" w:rsidRDefault="00D87817" w:rsidP="00C37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B2">
              <w:rPr>
                <w:rFonts w:ascii="Arial" w:hAnsi="Arial" w:cs="Arial"/>
                <w:color w:val="000000"/>
                <w:sz w:val="22"/>
                <w:szCs w:val="22"/>
              </w:rPr>
              <w:t>2.54</w:t>
            </w:r>
            <w:r>
              <w:rPr>
                <w:rFonts w:ascii="Arial" w:hAnsi="Arial" w:cs="Arial"/>
                <w:color w:val="000000"/>
              </w:rPr>
              <w:t xml:space="preserve"> (0.74)</w:t>
            </w:r>
          </w:p>
        </w:tc>
        <w:tc>
          <w:tcPr>
            <w:tcW w:w="795" w:type="pct"/>
          </w:tcPr>
          <w:p w:rsidR="00D87817" w:rsidRPr="006903B2" w:rsidRDefault="00D87817" w:rsidP="00C37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B2">
              <w:rPr>
                <w:rFonts w:ascii="Arial" w:hAnsi="Arial" w:cs="Arial"/>
                <w:color w:val="000000"/>
                <w:sz w:val="22"/>
                <w:szCs w:val="22"/>
              </w:rPr>
              <w:t>1.80</w:t>
            </w:r>
            <w:r>
              <w:rPr>
                <w:rFonts w:ascii="Arial" w:hAnsi="Arial" w:cs="Arial"/>
                <w:color w:val="000000"/>
              </w:rPr>
              <w:t xml:space="preserve"> (0.89)</w:t>
            </w:r>
          </w:p>
        </w:tc>
        <w:tc>
          <w:tcPr>
            <w:tcW w:w="796" w:type="pct"/>
          </w:tcPr>
          <w:p w:rsidR="00D87817" w:rsidRPr="006903B2" w:rsidRDefault="00D87817" w:rsidP="00C37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B2">
              <w:rPr>
                <w:rFonts w:ascii="Arial" w:hAnsi="Arial" w:cs="Arial"/>
                <w:color w:val="000000"/>
                <w:sz w:val="22"/>
                <w:szCs w:val="22"/>
              </w:rPr>
              <w:t>1.70</w:t>
            </w:r>
            <w:r>
              <w:rPr>
                <w:rFonts w:ascii="Arial" w:hAnsi="Arial" w:cs="Arial"/>
                <w:color w:val="000000"/>
              </w:rPr>
              <w:t xml:space="preserve"> (0.88)</w:t>
            </w:r>
          </w:p>
        </w:tc>
        <w:tc>
          <w:tcPr>
            <w:tcW w:w="797" w:type="pct"/>
          </w:tcPr>
          <w:p w:rsidR="00D87817" w:rsidRPr="006903B2" w:rsidRDefault="00D87817" w:rsidP="00C37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B2">
              <w:rPr>
                <w:rFonts w:ascii="Arial" w:hAnsi="Arial" w:cs="Arial"/>
                <w:color w:val="000000"/>
                <w:sz w:val="22"/>
                <w:szCs w:val="22"/>
              </w:rPr>
              <w:t>1.85</w:t>
            </w:r>
            <w:r>
              <w:rPr>
                <w:rFonts w:ascii="Arial" w:hAnsi="Arial" w:cs="Arial"/>
                <w:color w:val="000000"/>
              </w:rPr>
              <w:t xml:space="preserve"> (0.92)</w:t>
            </w:r>
          </w:p>
        </w:tc>
        <w:tc>
          <w:tcPr>
            <w:tcW w:w="868" w:type="pct"/>
          </w:tcPr>
          <w:p w:rsidR="00D87817" w:rsidRPr="006903B2" w:rsidRDefault="00D87817" w:rsidP="00C37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1.81 (0.75)</w:t>
            </w:r>
          </w:p>
        </w:tc>
      </w:tr>
      <w:tr w:rsidR="00D87817" w:rsidTr="00C37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noWrap/>
          </w:tcPr>
          <w:p w:rsidR="00D87817" w:rsidRDefault="00D87817" w:rsidP="00C37532">
            <w:pPr>
              <w:rPr>
                <w:color w:val="000000"/>
              </w:rPr>
            </w:pPr>
            <w:r>
              <w:rPr>
                <w:color w:val="000000"/>
              </w:rPr>
              <w:t>Ewings</w:t>
            </w:r>
          </w:p>
        </w:tc>
        <w:tc>
          <w:tcPr>
            <w:tcW w:w="794" w:type="pct"/>
          </w:tcPr>
          <w:p w:rsidR="00D87817" w:rsidRPr="006903B2" w:rsidRDefault="00D87817" w:rsidP="00C37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B2">
              <w:rPr>
                <w:rFonts w:ascii="Arial" w:hAnsi="Arial" w:cs="Arial"/>
                <w:color w:val="000000"/>
                <w:sz w:val="22"/>
                <w:szCs w:val="22"/>
              </w:rPr>
              <w:t>1.38</w:t>
            </w:r>
            <w:r>
              <w:rPr>
                <w:rFonts w:ascii="Arial" w:hAnsi="Arial" w:cs="Arial"/>
                <w:color w:val="000000"/>
              </w:rPr>
              <w:t xml:space="preserve"> (0.61)</w:t>
            </w:r>
          </w:p>
        </w:tc>
        <w:tc>
          <w:tcPr>
            <w:tcW w:w="795" w:type="pct"/>
          </w:tcPr>
          <w:p w:rsidR="00D87817" w:rsidRPr="006903B2" w:rsidRDefault="00D87817" w:rsidP="00C37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B2">
              <w:rPr>
                <w:rFonts w:ascii="Arial" w:hAnsi="Arial" w:cs="Arial"/>
                <w:color w:val="000000"/>
                <w:sz w:val="22"/>
                <w:szCs w:val="22"/>
              </w:rPr>
              <w:t>2.05</w:t>
            </w:r>
            <w:r>
              <w:rPr>
                <w:rFonts w:ascii="Arial" w:hAnsi="Arial" w:cs="Arial"/>
                <w:color w:val="000000"/>
              </w:rPr>
              <w:t xml:space="preserve"> (0.97)</w:t>
            </w:r>
          </w:p>
        </w:tc>
        <w:tc>
          <w:tcPr>
            <w:tcW w:w="796" w:type="pct"/>
          </w:tcPr>
          <w:p w:rsidR="00D87817" w:rsidRPr="006903B2" w:rsidRDefault="00D87817" w:rsidP="00C37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B2">
              <w:rPr>
                <w:rFonts w:ascii="Arial" w:hAnsi="Arial" w:cs="Arial"/>
                <w:color w:val="000000"/>
                <w:sz w:val="22"/>
                <w:szCs w:val="22"/>
              </w:rPr>
              <w:t>1.73</w:t>
            </w:r>
            <w:r>
              <w:rPr>
                <w:rFonts w:ascii="Arial" w:hAnsi="Arial" w:cs="Arial"/>
                <w:color w:val="000000"/>
              </w:rPr>
              <w:t xml:space="preserve"> (0.69)</w:t>
            </w:r>
          </w:p>
        </w:tc>
        <w:tc>
          <w:tcPr>
            <w:tcW w:w="797" w:type="pct"/>
          </w:tcPr>
          <w:p w:rsidR="00D87817" w:rsidRPr="006903B2" w:rsidRDefault="00D87817" w:rsidP="00C37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B2">
              <w:rPr>
                <w:rFonts w:ascii="Arial" w:hAnsi="Arial" w:cs="Arial"/>
                <w:color w:val="000000"/>
                <w:sz w:val="22"/>
                <w:szCs w:val="22"/>
              </w:rPr>
              <w:t>1.74</w:t>
            </w:r>
            <w:r>
              <w:rPr>
                <w:rFonts w:ascii="Arial" w:hAnsi="Arial" w:cs="Arial"/>
                <w:color w:val="000000"/>
              </w:rPr>
              <w:t xml:space="preserve"> (0.88)</w:t>
            </w:r>
          </w:p>
        </w:tc>
        <w:tc>
          <w:tcPr>
            <w:tcW w:w="868" w:type="pct"/>
          </w:tcPr>
          <w:p w:rsidR="00D87817" w:rsidRPr="006903B2" w:rsidRDefault="00D87817" w:rsidP="00C37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2.12 (0.76)</w:t>
            </w:r>
          </w:p>
        </w:tc>
      </w:tr>
      <w:tr w:rsidR="00D87817" w:rsidTr="00C37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noWrap/>
          </w:tcPr>
          <w:p w:rsidR="00D87817" w:rsidRDefault="00D87817" w:rsidP="00C37532">
            <w:pPr>
              <w:rPr>
                <w:color w:val="000000"/>
              </w:rPr>
            </w:pPr>
            <w:r>
              <w:rPr>
                <w:color w:val="000000"/>
              </w:rPr>
              <w:t>Rhabdo</w:t>
            </w:r>
          </w:p>
        </w:tc>
        <w:tc>
          <w:tcPr>
            <w:tcW w:w="794" w:type="pct"/>
          </w:tcPr>
          <w:p w:rsidR="00D87817" w:rsidRPr="006903B2" w:rsidRDefault="00D87817" w:rsidP="00C37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B2">
              <w:rPr>
                <w:rFonts w:ascii="Arial" w:hAnsi="Arial" w:cs="Arial"/>
                <w:color w:val="000000"/>
                <w:sz w:val="22"/>
                <w:szCs w:val="22"/>
              </w:rPr>
              <w:t>2.35</w:t>
            </w:r>
            <w:r>
              <w:rPr>
                <w:rFonts w:ascii="Arial" w:hAnsi="Arial" w:cs="Arial"/>
                <w:color w:val="000000"/>
              </w:rPr>
              <w:t xml:space="preserve"> (2.05)</w:t>
            </w:r>
          </w:p>
        </w:tc>
        <w:tc>
          <w:tcPr>
            <w:tcW w:w="795" w:type="pct"/>
          </w:tcPr>
          <w:p w:rsidR="00D87817" w:rsidRPr="006903B2" w:rsidRDefault="00D87817" w:rsidP="00C37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B2">
              <w:rPr>
                <w:rFonts w:ascii="Arial" w:hAnsi="Arial" w:cs="Arial"/>
                <w:color w:val="000000"/>
                <w:sz w:val="22"/>
                <w:szCs w:val="22"/>
              </w:rPr>
              <w:t>2.17</w:t>
            </w:r>
            <w:r>
              <w:rPr>
                <w:rFonts w:ascii="Arial" w:hAnsi="Arial" w:cs="Arial"/>
                <w:color w:val="000000"/>
              </w:rPr>
              <w:t xml:space="preserve"> (1.11)</w:t>
            </w:r>
          </w:p>
        </w:tc>
        <w:tc>
          <w:tcPr>
            <w:tcW w:w="796" w:type="pct"/>
          </w:tcPr>
          <w:p w:rsidR="00D87817" w:rsidRPr="006903B2" w:rsidRDefault="00D87817" w:rsidP="00C37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B2">
              <w:rPr>
                <w:rFonts w:ascii="Arial" w:hAnsi="Arial" w:cs="Arial"/>
                <w:color w:val="000000"/>
                <w:sz w:val="22"/>
                <w:szCs w:val="22"/>
              </w:rPr>
              <w:t>2.10</w:t>
            </w:r>
            <w:r>
              <w:rPr>
                <w:rFonts w:ascii="Arial" w:hAnsi="Arial" w:cs="Arial"/>
                <w:color w:val="000000"/>
              </w:rPr>
              <w:t xml:space="preserve"> (0.76)</w:t>
            </w:r>
          </w:p>
        </w:tc>
        <w:tc>
          <w:tcPr>
            <w:tcW w:w="797" w:type="pct"/>
          </w:tcPr>
          <w:p w:rsidR="00D87817" w:rsidRPr="006903B2" w:rsidRDefault="00D87817" w:rsidP="00C37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B2">
              <w:rPr>
                <w:rFonts w:ascii="Arial" w:hAnsi="Arial" w:cs="Arial"/>
                <w:color w:val="000000"/>
                <w:sz w:val="22"/>
                <w:szCs w:val="22"/>
              </w:rPr>
              <w:t>0.93</w:t>
            </w:r>
            <w:r>
              <w:rPr>
                <w:rFonts w:ascii="Arial" w:hAnsi="Arial" w:cs="Arial"/>
                <w:color w:val="000000"/>
              </w:rPr>
              <w:t xml:space="preserve"> (0.45)</w:t>
            </w:r>
          </w:p>
        </w:tc>
        <w:tc>
          <w:tcPr>
            <w:tcW w:w="868" w:type="pct"/>
          </w:tcPr>
          <w:p w:rsidR="00D87817" w:rsidRPr="006903B2" w:rsidRDefault="00D87817" w:rsidP="00C37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1.98 (0.64)</w:t>
            </w:r>
          </w:p>
        </w:tc>
      </w:tr>
      <w:tr w:rsidR="00D87817" w:rsidTr="00C37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noWrap/>
          </w:tcPr>
          <w:p w:rsidR="00D87817" w:rsidRDefault="00D87817" w:rsidP="00C37532">
            <w:pPr>
              <w:rPr>
                <w:color w:val="000000"/>
              </w:rPr>
            </w:pPr>
            <w:r>
              <w:rPr>
                <w:color w:val="000000"/>
              </w:rPr>
              <w:t>Osteosarcoma</w:t>
            </w:r>
          </w:p>
        </w:tc>
        <w:tc>
          <w:tcPr>
            <w:tcW w:w="794" w:type="pct"/>
          </w:tcPr>
          <w:p w:rsidR="00D87817" w:rsidRPr="006903B2" w:rsidRDefault="00D87817" w:rsidP="00C37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B2">
              <w:rPr>
                <w:rFonts w:ascii="Arial" w:hAnsi="Arial" w:cs="Arial"/>
                <w:color w:val="000000"/>
                <w:sz w:val="22"/>
                <w:szCs w:val="22"/>
              </w:rPr>
              <w:t>1.89</w:t>
            </w:r>
            <w:r>
              <w:rPr>
                <w:rFonts w:ascii="Arial" w:hAnsi="Arial" w:cs="Arial"/>
                <w:color w:val="000000"/>
              </w:rPr>
              <w:t xml:space="preserve"> (0.67)</w:t>
            </w:r>
          </w:p>
        </w:tc>
        <w:tc>
          <w:tcPr>
            <w:tcW w:w="795" w:type="pct"/>
          </w:tcPr>
          <w:p w:rsidR="00D87817" w:rsidRPr="006903B2" w:rsidRDefault="00D87817" w:rsidP="00C37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B2">
              <w:rPr>
                <w:rFonts w:ascii="Arial" w:hAnsi="Arial" w:cs="Arial"/>
                <w:color w:val="000000"/>
                <w:sz w:val="22"/>
                <w:szCs w:val="22"/>
              </w:rPr>
              <w:t>1.67</w:t>
            </w:r>
            <w:r>
              <w:rPr>
                <w:rFonts w:ascii="Arial" w:hAnsi="Arial" w:cs="Arial"/>
                <w:color w:val="000000"/>
              </w:rPr>
              <w:t xml:space="preserve"> (0.78)</w:t>
            </w:r>
          </w:p>
        </w:tc>
        <w:tc>
          <w:tcPr>
            <w:tcW w:w="796" w:type="pct"/>
          </w:tcPr>
          <w:p w:rsidR="00D87817" w:rsidRPr="006903B2" w:rsidRDefault="00D87817" w:rsidP="00C37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B2">
              <w:rPr>
                <w:rFonts w:ascii="Arial" w:hAnsi="Arial" w:cs="Arial"/>
                <w:color w:val="000000"/>
                <w:sz w:val="22"/>
                <w:szCs w:val="22"/>
              </w:rPr>
              <w:t>1.07</w:t>
            </w:r>
            <w:r>
              <w:rPr>
                <w:rFonts w:ascii="Arial" w:hAnsi="Arial" w:cs="Arial"/>
                <w:color w:val="000000"/>
              </w:rPr>
              <w:t xml:space="preserve"> (0.66)</w:t>
            </w:r>
          </w:p>
        </w:tc>
        <w:tc>
          <w:tcPr>
            <w:tcW w:w="797" w:type="pct"/>
          </w:tcPr>
          <w:p w:rsidR="00D87817" w:rsidRPr="006903B2" w:rsidRDefault="00D87817" w:rsidP="00C37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B2">
              <w:rPr>
                <w:rFonts w:ascii="Arial" w:hAnsi="Arial" w:cs="Arial"/>
                <w:color w:val="000000"/>
                <w:sz w:val="22"/>
                <w:szCs w:val="22"/>
              </w:rPr>
              <w:t>1.38</w:t>
            </w:r>
            <w:r>
              <w:rPr>
                <w:rFonts w:ascii="Arial" w:hAnsi="Arial" w:cs="Arial"/>
                <w:color w:val="000000"/>
              </w:rPr>
              <w:t xml:space="preserve"> (0.67)</w:t>
            </w:r>
          </w:p>
        </w:tc>
        <w:tc>
          <w:tcPr>
            <w:tcW w:w="868" w:type="pct"/>
          </w:tcPr>
          <w:p w:rsidR="00D87817" w:rsidRPr="006903B2" w:rsidRDefault="00D87817" w:rsidP="00C37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1.77 (0.72)</w:t>
            </w:r>
          </w:p>
        </w:tc>
      </w:tr>
      <w:tr w:rsidR="00D87817" w:rsidTr="00C37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noWrap/>
          </w:tcPr>
          <w:p w:rsidR="00D87817" w:rsidRDefault="00D87817" w:rsidP="00C37532">
            <w:pPr>
              <w:rPr>
                <w:color w:val="000000"/>
              </w:rPr>
            </w:pPr>
            <w:r>
              <w:rPr>
                <w:color w:val="000000"/>
              </w:rPr>
              <w:t>T-ALL/Ly</w:t>
            </w:r>
          </w:p>
        </w:tc>
        <w:tc>
          <w:tcPr>
            <w:tcW w:w="794" w:type="pct"/>
          </w:tcPr>
          <w:p w:rsidR="00D87817" w:rsidRPr="006903B2" w:rsidRDefault="00D87817" w:rsidP="00C37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B2">
              <w:rPr>
                <w:rFonts w:ascii="Arial" w:hAnsi="Arial" w:cs="Arial"/>
                <w:color w:val="000000"/>
                <w:sz w:val="22"/>
                <w:szCs w:val="22"/>
              </w:rPr>
              <w:t>2.15</w:t>
            </w:r>
            <w:r>
              <w:rPr>
                <w:rFonts w:ascii="Arial" w:hAnsi="Arial" w:cs="Arial"/>
                <w:color w:val="000000"/>
              </w:rPr>
              <w:t xml:space="preserve"> (0.58)</w:t>
            </w:r>
          </w:p>
        </w:tc>
        <w:tc>
          <w:tcPr>
            <w:tcW w:w="795" w:type="pct"/>
          </w:tcPr>
          <w:p w:rsidR="00D87817" w:rsidRPr="006903B2" w:rsidRDefault="00D87817" w:rsidP="00C37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B2">
              <w:rPr>
                <w:rFonts w:ascii="Arial" w:hAnsi="Arial" w:cs="Arial"/>
                <w:color w:val="000000"/>
                <w:sz w:val="22"/>
                <w:szCs w:val="22"/>
              </w:rPr>
              <w:t>1.21</w:t>
            </w:r>
            <w:r>
              <w:rPr>
                <w:rFonts w:ascii="Arial" w:hAnsi="Arial" w:cs="Arial"/>
                <w:color w:val="000000"/>
              </w:rPr>
              <w:t xml:space="preserve"> (0.82)</w:t>
            </w:r>
          </w:p>
        </w:tc>
        <w:tc>
          <w:tcPr>
            <w:tcW w:w="796" w:type="pct"/>
          </w:tcPr>
          <w:p w:rsidR="00D87817" w:rsidRPr="006903B2" w:rsidRDefault="00D87817" w:rsidP="00C37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B2">
              <w:rPr>
                <w:rFonts w:ascii="Arial" w:hAnsi="Arial" w:cs="Arial"/>
                <w:color w:val="000000"/>
                <w:sz w:val="22"/>
                <w:szCs w:val="22"/>
              </w:rPr>
              <w:t>0.96</w:t>
            </w:r>
            <w:r>
              <w:rPr>
                <w:rFonts w:ascii="Arial" w:hAnsi="Arial" w:cs="Arial"/>
                <w:color w:val="000000"/>
              </w:rPr>
              <w:t xml:space="preserve"> (0.54)</w:t>
            </w:r>
          </w:p>
        </w:tc>
        <w:tc>
          <w:tcPr>
            <w:tcW w:w="797" w:type="pct"/>
          </w:tcPr>
          <w:p w:rsidR="00D87817" w:rsidRPr="006903B2" w:rsidRDefault="00D87817" w:rsidP="00C37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1.67 (0.83)</w:t>
            </w:r>
          </w:p>
        </w:tc>
        <w:tc>
          <w:tcPr>
            <w:tcW w:w="868" w:type="pct"/>
          </w:tcPr>
          <w:p w:rsidR="00D87817" w:rsidRPr="006903B2" w:rsidRDefault="00D87817" w:rsidP="00C37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2.12 (0.59)</w:t>
            </w:r>
          </w:p>
        </w:tc>
      </w:tr>
    </w:tbl>
    <w:p w:rsidR="00D87817" w:rsidRDefault="00D87817" w:rsidP="00D87817">
      <w:pPr>
        <w:spacing w:line="480" w:lineRule="auto"/>
        <w:rPr>
          <w:rFonts w:ascii="Arial" w:hAnsi="Arial" w:cs="Arial"/>
          <w:sz w:val="22"/>
          <w:szCs w:val="22"/>
        </w:rPr>
      </w:pPr>
    </w:p>
    <w:p w:rsidR="00D87817" w:rsidRDefault="00D87817" w:rsidP="00D87817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1E6DBD">
        <w:rPr>
          <w:rFonts w:ascii="Arial" w:hAnsi="Arial" w:cs="Arial"/>
          <w:b/>
          <w:sz w:val="22"/>
          <w:szCs w:val="22"/>
        </w:rPr>
        <w:t>Table S</w:t>
      </w:r>
      <w:r>
        <w:rPr>
          <w:rFonts w:ascii="Arial" w:hAnsi="Arial" w:cs="Arial"/>
          <w:b/>
          <w:sz w:val="22"/>
          <w:szCs w:val="22"/>
        </w:rPr>
        <w:t>3</w:t>
      </w:r>
      <w:r w:rsidRPr="001E6DBD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CD4 to CD8 ratio at diagnosis and after chemotherapy</w:t>
      </w:r>
      <w:r w:rsidRPr="001E6DBD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Values are the CD4 percentage divided by the CD8 percentage to give a ratio.  Normal donors are expected to be about 3.0.  Standard deviation is presented in parentheses.  Due to high variability, no significant differences were detected.  “0” indicates prechemotherapy/diagnostic sample.</w:t>
      </w:r>
    </w:p>
    <w:p w:rsidR="00D87817" w:rsidRDefault="00D87817" w:rsidP="00D87817">
      <w:pPr>
        <w:rPr>
          <w:rFonts w:ascii="Arial" w:hAnsi="Arial" w:cs="Arial"/>
          <w:sz w:val="22"/>
          <w:szCs w:val="22"/>
        </w:rPr>
      </w:pPr>
    </w:p>
    <w:p w:rsidR="00D87817" w:rsidRDefault="00D87817" w:rsidP="00D87817">
      <w:pPr>
        <w:rPr>
          <w:rFonts w:ascii="Arial" w:hAnsi="Arial" w:cs="Arial"/>
          <w:sz w:val="22"/>
          <w:szCs w:val="22"/>
        </w:rPr>
      </w:pPr>
    </w:p>
    <w:p w:rsidR="00D87817" w:rsidRDefault="00D87817" w:rsidP="00D87817">
      <w:pPr>
        <w:rPr>
          <w:rFonts w:ascii="Arial" w:hAnsi="Arial" w:cs="Arial"/>
          <w:sz w:val="22"/>
          <w:szCs w:val="22"/>
        </w:rPr>
      </w:pPr>
    </w:p>
    <w:p w:rsidR="00D87817" w:rsidRPr="00ED268E" w:rsidRDefault="00D87817" w:rsidP="00D87817">
      <w:pPr>
        <w:spacing w:after="120"/>
        <w:contextualSpacing/>
        <w:rPr>
          <w:rFonts w:ascii="Arial" w:hAnsi="Arial" w:cs="Arial"/>
          <w:sz w:val="22"/>
          <w:szCs w:val="22"/>
          <w:u w:val="single"/>
        </w:rPr>
      </w:pPr>
      <w:r w:rsidRPr="00ED268E">
        <w:rPr>
          <w:rFonts w:ascii="Arial" w:hAnsi="Arial" w:cs="Arial"/>
          <w:sz w:val="22"/>
          <w:szCs w:val="22"/>
          <w:u w:val="single"/>
        </w:rPr>
        <w:t>High Risk Acute Lymphoblastic Leukemia</w:t>
      </w:r>
    </w:p>
    <w:p w:rsidR="00D87817" w:rsidRPr="00ED268E" w:rsidRDefault="00D87817" w:rsidP="00D87817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ED268E">
        <w:rPr>
          <w:rFonts w:ascii="Arial" w:hAnsi="Arial" w:cs="Arial"/>
          <w:sz w:val="22"/>
          <w:szCs w:val="22"/>
        </w:rPr>
        <w:t>Vincristine, Daunorubicin, Asparaginase, Dexamethasone</w:t>
      </w:r>
    </w:p>
    <w:p w:rsidR="00D87817" w:rsidRPr="00ED268E" w:rsidRDefault="00D87817" w:rsidP="00D87817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ED268E">
        <w:rPr>
          <w:rFonts w:ascii="Arial" w:hAnsi="Arial" w:cs="Arial"/>
          <w:sz w:val="22"/>
          <w:szCs w:val="22"/>
        </w:rPr>
        <w:t>Vincristine, Mercaptopurine, Cyclophosphamide, Cytarabine, Asparaginase</w:t>
      </w:r>
    </w:p>
    <w:p w:rsidR="00D87817" w:rsidRPr="00ED268E" w:rsidRDefault="00D87817" w:rsidP="00D87817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ED268E">
        <w:rPr>
          <w:rFonts w:ascii="Arial" w:hAnsi="Arial" w:cs="Arial"/>
          <w:sz w:val="22"/>
          <w:szCs w:val="22"/>
        </w:rPr>
        <w:t>Vincristine, Mercaptopurine, Methotrexate</w:t>
      </w:r>
    </w:p>
    <w:p w:rsidR="00D87817" w:rsidRPr="00ED268E" w:rsidRDefault="00D87817" w:rsidP="00D87817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ED268E">
        <w:rPr>
          <w:rFonts w:ascii="Arial" w:hAnsi="Arial" w:cs="Arial"/>
          <w:sz w:val="22"/>
          <w:szCs w:val="22"/>
        </w:rPr>
        <w:t>Vincristine, Doxorubicin, Dexamethasone, Asparaginase, Cyclophosphamide, Thioguanine, Cytarabine</w:t>
      </w:r>
    </w:p>
    <w:p w:rsidR="00D87817" w:rsidRPr="00ED268E" w:rsidRDefault="00D87817" w:rsidP="00D87817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ED268E">
        <w:rPr>
          <w:rFonts w:ascii="Arial" w:hAnsi="Arial" w:cs="Arial"/>
          <w:sz w:val="22"/>
          <w:szCs w:val="22"/>
        </w:rPr>
        <w:t xml:space="preserve">Vincristine, Prednisone, Mercaptopurine, Methotrexate </w:t>
      </w:r>
      <w:r w:rsidRPr="00ED268E">
        <w:rPr>
          <w:rFonts w:ascii="Arial" w:hAnsi="Arial" w:cs="Arial"/>
          <w:sz w:val="22"/>
          <w:szCs w:val="22"/>
        </w:rPr>
        <w:tab/>
      </w:r>
      <w:r w:rsidRPr="00ED268E">
        <w:rPr>
          <w:rFonts w:ascii="Arial" w:hAnsi="Arial" w:cs="Arial"/>
          <w:sz w:val="22"/>
          <w:szCs w:val="22"/>
        </w:rPr>
        <w:tab/>
        <w:t>*repeats until end of therapy</w:t>
      </w:r>
    </w:p>
    <w:p w:rsidR="00D87817" w:rsidRPr="00ED268E" w:rsidRDefault="00D87817" w:rsidP="00D87817">
      <w:pPr>
        <w:spacing w:after="120"/>
        <w:contextualSpacing/>
        <w:rPr>
          <w:rFonts w:ascii="Arial" w:hAnsi="Arial" w:cs="Arial"/>
          <w:sz w:val="22"/>
          <w:szCs w:val="22"/>
          <w:u w:val="single"/>
        </w:rPr>
      </w:pPr>
      <w:r w:rsidRPr="00ED268E">
        <w:rPr>
          <w:rFonts w:ascii="Arial" w:hAnsi="Arial" w:cs="Arial"/>
          <w:sz w:val="22"/>
          <w:szCs w:val="22"/>
          <w:u w:val="single"/>
        </w:rPr>
        <w:t>Standard Risk Acute Lymphoblastic Leukemia</w:t>
      </w:r>
    </w:p>
    <w:p w:rsidR="00D87817" w:rsidRPr="00ED268E" w:rsidRDefault="00D87817" w:rsidP="00D87817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ED268E">
        <w:rPr>
          <w:rFonts w:ascii="Arial" w:hAnsi="Arial" w:cs="Arial"/>
          <w:sz w:val="22"/>
          <w:szCs w:val="22"/>
        </w:rPr>
        <w:t>Vincristine, Asparaginase, Dexamethasone</w:t>
      </w:r>
    </w:p>
    <w:p w:rsidR="00D87817" w:rsidRPr="00ED268E" w:rsidRDefault="00D87817" w:rsidP="00D87817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ED268E">
        <w:rPr>
          <w:rFonts w:ascii="Arial" w:hAnsi="Arial" w:cs="Arial"/>
          <w:sz w:val="22"/>
          <w:szCs w:val="22"/>
        </w:rPr>
        <w:t>Vincristine, Mercaptopurine</w:t>
      </w:r>
    </w:p>
    <w:p w:rsidR="00D87817" w:rsidRPr="00ED268E" w:rsidRDefault="00D87817" w:rsidP="00D87817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ED268E">
        <w:rPr>
          <w:rFonts w:ascii="Arial" w:hAnsi="Arial" w:cs="Arial"/>
          <w:sz w:val="22"/>
          <w:szCs w:val="22"/>
        </w:rPr>
        <w:t>Vincristine, Methotrexate</w:t>
      </w:r>
    </w:p>
    <w:p w:rsidR="00D87817" w:rsidRPr="00ED268E" w:rsidRDefault="00D87817" w:rsidP="00D87817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ED268E">
        <w:rPr>
          <w:rFonts w:ascii="Arial" w:hAnsi="Arial" w:cs="Arial"/>
          <w:sz w:val="22"/>
          <w:szCs w:val="22"/>
        </w:rPr>
        <w:t>Vincristine, Doxorubicin, Dexamethasone, Asparaginase, Cyclophosphamide, Thioguanine, Cytarabine</w:t>
      </w:r>
    </w:p>
    <w:p w:rsidR="00D87817" w:rsidRPr="00ED268E" w:rsidRDefault="00D87817" w:rsidP="00D87817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ED268E">
        <w:rPr>
          <w:rFonts w:ascii="Arial" w:hAnsi="Arial" w:cs="Arial"/>
          <w:sz w:val="22"/>
          <w:szCs w:val="22"/>
        </w:rPr>
        <w:t xml:space="preserve">Vincristine, Dexamethasone, Mercaptopurine, Methotrexate  </w:t>
      </w:r>
      <w:r w:rsidRPr="00ED268E">
        <w:rPr>
          <w:rFonts w:ascii="Arial" w:hAnsi="Arial" w:cs="Arial"/>
          <w:sz w:val="22"/>
          <w:szCs w:val="22"/>
        </w:rPr>
        <w:tab/>
        <w:t>*repeats until end of therapy</w:t>
      </w:r>
    </w:p>
    <w:p w:rsidR="00D87817" w:rsidRPr="00ED268E" w:rsidRDefault="00D87817" w:rsidP="00D87817">
      <w:pPr>
        <w:spacing w:after="120"/>
        <w:contextualSpacing/>
        <w:rPr>
          <w:rFonts w:ascii="Arial" w:hAnsi="Arial" w:cs="Arial"/>
          <w:sz w:val="22"/>
          <w:szCs w:val="22"/>
          <w:u w:val="single"/>
        </w:rPr>
      </w:pPr>
      <w:r w:rsidRPr="00ED268E">
        <w:rPr>
          <w:rFonts w:ascii="Arial" w:hAnsi="Arial" w:cs="Arial"/>
          <w:sz w:val="22"/>
          <w:szCs w:val="22"/>
          <w:u w:val="single"/>
        </w:rPr>
        <w:t>Ewings Sarcoma</w:t>
      </w:r>
    </w:p>
    <w:p w:rsidR="00D87817" w:rsidRPr="00ED268E" w:rsidRDefault="00D87817" w:rsidP="00D87817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2"/>
          <w:szCs w:val="22"/>
        </w:rPr>
      </w:pPr>
      <w:r w:rsidRPr="00ED268E">
        <w:rPr>
          <w:rFonts w:ascii="Arial" w:hAnsi="Arial" w:cs="Arial"/>
          <w:sz w:val="22"/>
          <w:szCs w:val="22"/>
        </w:rPr>
        <w:t>Vincristine, Doxorubicin, Cyclophosphamide</w:t>
      </w:r>
    </w:p>
    <w:p w:rsidR="00D87817" w:rsidRPr="00ED268E" w:rsidRDefault="00D87817" w:rsidP="00D87817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2"/>
          <w:szCs w:val="22"/>
        </w:rPr>
      </w:pPr>
      <w:r w:rsidRPr="00ED268E">
        <w:rPr>
          <w:rFonts w:ascii="Arial" w:hAnsi="Arial" w:cs="Arial"/>
          <w:sz w:val="22"/>
          <w:szCs w:val="22"/>
        </w:rPr>
        <w:lastRenderedPageBreak/>
        <w:t>Ifosphamide, Etoposide</w:t>
      </w:r>
      <w:r w:rsidRPr="00ED268E">
        <w:rPr>
          <w:rFonts w:ascii="Arial" w:hAnsi="Arial" w:cs="Arial"/>
          <w:sz w:val="22"/>
          <w:szCs w:val="22"/>
        </w:rPr>
        <w:tab/>
      </w:r>
      <w:r w:rsidRPr="00ED268E">
        <w:rPr>
          <w:rFonts w:ascii="Arial" w:hAnsi="Arial" w:cs="Arial"/>
          <w:sz w:val="22"/>
          <w:szCs w:val="22"/>
        </w:rPr>
        <w:tab/>
      </w:r>
      <w:r w:rsidRPr="00ED268E">
        <w:rPr>
          <w:rFonts w:ascii="Arial" w:hAnsi="Arial" w:cs="Arial"/>
          <w:sz w:val="22"/>
          <w:szCs w:val="22"/>
        </w:rPr>
        <w:tab/>
        <w:t>*Cycles alternate between these two regimens</w:t>
      </w:r>
    </w:p>
    <w:p w:rsidR="00D87817" w:rsidRPr="00ED268E" w:rsidRDefault="00D87817" w:rsidP="00D87817">
      <w:pPr>
        <w:spacing w:after="120"/>
        <w:contextualSpacing/>
        <w:rPr>
          <w:rFonts w:ascii="Arial" w:hAnsi="Arial" w:cs="Arial"/>
          <w:sz w:val="22"/>
          <w:szCs w:val="22"/>
          <w:u w:val="single"/>
        </w:rPr>
      </w:pPr>
      <w:r w:rsidRPr="00ED268E">
        <w:rPr>
          <w:rFonts w:ascii="Arial" w:hAnsi="Arial" w:cs="Arial"/>
          <w:sz w:val="22"/>
          <w:szCs w:val="22"/>
          <w:u w:val="single"/>
        </w:rPr>
        <w:t>Rhabdomyosarcoma</w:t>
      </w:r>
    </w:p>
    <w:p w:rsidR="00D87817" w:rsidRPr="00ED268E" w:rsidRDefault="00D87817" w:rsidP="00D87817">
      <w:pPr>
        <w:spacing w:after="120"/>
        <w:contextualSpacing/>
        <w:rPr>
          <w:rFonts w:ascii="Arial" w:hAnsi="Arial" w:cs="Arial"/>
          <w:sz w:val="22"/>
          <w:szCs w:val="22"/>
        </w:rPr>
      </w:pPr>
      <w:r w:rsidRPr="00ED268E">
        <w:rPr>
          <w:rFonts w:ascii="Arial" w:hAnsi="Arial" w:cs="Arial"/>
          <w:sz w:val="22"/>
          <w:szCs w:val="22"/>
        </w:rPr>
        <w:tab/>
        <w:t>Vincristine, Dactinomycin, Cyclophosphamide</w:t>
      </w:r>
    </w:p>
    <w:p w:rsidR="00D87817" w:rsidRPr="00ED268E" w:rsidRDefault="00D87817" w:rsidP="00D87817">
      <w:pPr>
        <w:spacing w:after="120"/>
        <w:contextualSpacing/>
        <w:rPr>
          <w:rFonts w:ascii="Arial" w:hAnsi="Arial" w:cs="Arial"/>
          <w:sz w:val="22"/>
          <w:szCs w:val="22"/>
        </w:rPr>
      </w:pPr>
      <w:r w:rsidRPr="000E4215">
        <w:rPr>
          <w:rFonts w:ascii="Arial" w:hAnsi="Arial" w:cs="Arial"/>
          <w:sz w:val="22"/>
          <w:szCs w:val="22"/>
        </w:rPr>
        <w:tab/>
      </w:r>
      <w:r w:rsidRPr="000E4215">
        <w:rPr>
          <w:rFonts w:ascii="Arial" w:hAnsi="Arial" w:cs="Arial"/>
          <w:sz w:val="22"/>
          <w:szCs w:val="22"/>
        </w:rPr>
        <w:tab/>
      </w:r>
      <w:r w:rsidRPr="000E4215">
        <w:rPr>
          <w:rFonts w:ascii="Arial" w:hAnsi="Arial" w:cs="Arial"/>
          <w:sz w:val="22"/>
          <w:szCs w:val="22"/>
        </w:rPr>
        <w:tab/>
      </w:r>
      <w:r w:rsidRPr="00ED268E">
        <w:rPr>
          <w:rFonts w:ascii="Arial" w:hAnsi="Arial" w:cs="Arial"/>
          <w:sz w:val="22"/>
          <w:szCs w:val="22"/>
        </w:rPr>
        <w:t>*Repeated every three weeks, dactinomycin held during radiation</w:t>
      </w:r>
    </w:p>
    <w:p w:rsidR="00D87817" w:rsidRPr="00ED268E" w:rsidRDefault="00D87817" w:rsidP="00D87817">
      <w:pPr>
        <w:spacing w:after="120"/>
        <w:contextualSpacing/>
        <w:rPr>
          <w:rFonts w:ascii="Arial" w:hAnsi="Arial" w:cs="Arial"/>
          <w:sz w:val="22"/>
          <w:szCs w:val="22"/>
          <w:u w:val="single"/>
        </w:rPr>
      </w:pPr>
      <w:r w:rsidRPr="00ED268E">
        <w:rPr>
          <w:rFonts w:ascii="Arial" w:hAnsi="Arial" w:cs="Arial"/>
          <w:sz w:val="22"/>
          <w:szCs w:val="22"/>
          <w:u w:val="single"/>
        </w:rPr>
        <w:t>Osteosarcoma</w:t>
      </w:r>
    </w:p>
    <w:p w:rsidR="00D87817" w:rsidRPr="00ED268E" w:rsidRDefault="00D87817" w:rsidP="00D87817">
      <w:pPr>
        <w:spacing w:after="120"/>
        <w:contextualSpacing/>
        <w:rPr>
          <w:rFonts w:ascii="Arial" w:hAnsi="Arial" w:cs="Arial"/>
          <w:sz w:val="22"/>
          <w:szCs w:val="22"/>
        </w:rPr>
      </w:pPr>
      <w:r w:rsidRPr="00ED268E">
        <w:rPr>
          <w:rFonts w:ascii="Arial" w:hAnsi="Arial" w:cs="Arial"/>
          <w:sz w:val="22"/>
          <w:szCs w:val="22"/>
        </w:rPr>
        <w:tab/>
        <w:t>1-4. Cisplatinum, Doxorubicin, Methotrexate</w:t>
      </w:r>
    </w:p>
    <w:p w:rsidR="00D87817" w:rsidRPr="00ED268E" w:rsidRDefault="00D87817" w:rsidP="00D87817">
      <w:pPr>
        <w:spacing w:after="120"/>
        <w:ind w:left="720"/>
        <w:rPr>
          <w:rFonts w:ascii="Arial" w:hAnsi="Arial" w:cs="Arial"/>
          <w:sz w:val="22"/>
          <w:szCs w:val="22"/>
        </w:rPr>
      </w:pPr>
      <w:r w:rsidRPr="00ED268E">
        <w:rPr>
          <w:rFonts w:ascii="Arial" w:hAnsi="Arial" w:cs="Arial"/>
          <w:sz w:val="22"/>
          <w:szCs w:val="22"/>
        </w:rPr>
        <w:t>5. Doxorubicin, Methotrexate</w:t>
      </w:r>
    </w:p>
    <w:p w:rsidR="00D87817" w:rsidRPr="00ED268E" w:rsidRDefault="00D87817" w:rsidP="00D87817">
      <w:pPr>
        <w:spacing w:after="120"/>
        <w:contextualSpacing/>
        <w:rPr>
          <w:rFonts w:ascii="Arial" w:hAnsi="Arial" w:cs="Arial"/>
          <w:sz w:val="22"/>
          <w:szCs w:val="22"/>
          <w:u w:val="single"/>
        </w:rPr>
      </w:pPr>
      <w:r w:rsidRPr="00ED268E">
        <w:rPr>
          <w:rFonts w:ascii="Arial" w:hAnsi="Arial" w:cs="Arial"/>
          <w:sz w:val="22"/>
          <w:szCs w:val="22"/>
          <w:u w:val="single"/>
        </w:rPr>
        <w:t>Wilms Tumor</w:t>
      </w:r>
    </w:p>
    <w:p w:rsidR="00D87817" w:rsidRPr="00ED268E" w:rsidRDefault="00D87817" w:rsidP="00D87817">
      <w:pPr>
        <w:spacing w:after="120"/>
        <w:contextualSpacing/>
        <w:rPr>
          <w:rFonts w:ascii="Arial" w:hAnsi="Arial" w:cs="Arial"/>
          <w:sz w:val="22"/>
          <w:szCs w:val="22"/>
        </w:rPr>
      </w:pPr>
      <w:r w:rsidRPr="00ED268E">
        <w:rPr>
          <w:rFonts w:ascii="Arial" w:hAnsi="Arial" w:cs="Arial"/>
          <w:sz w:val="22"/>
          <w:szCs w:val="22"/>
        </w:rPr>
        <w:tab/>
        <w:t>Vincristine, Doxorubicin, Dactinomycin</w:t>
      </w:r>
    </w:p>
    <w:p w:rsidR="00D87817" w:rsidRPr="00ED268E" w:rsidRDefault="00D87817" w:rsidP="00D87817">
      <w:pPr>
        <w:spacing w:after="120"/>
        <w:contextualSpacing/>
        <w:rPr>
          <w:rFonts w:ascii="Arial" w:hAnsi="Arial" w:cs="Arial"/>
          <w:sz w:val="22"/>
          <w:szCs w:val="22"/>
        </w:rPr>
      </w:pPr>
    </w:p>
    <w:p w:rsidR="00D87817" w:rsidRPr="00ED268E" w:rsidRDefault="00D87817" w:rsidP="00D87817">
      <w:pPr>
        <w:keepLines/>
        <w:spacing w:after="120"/>
        <w:contextualSpacing/>
        <w:rPr>
          <w:rFonts w:ascii="Arial" w:hAnsi="Arial" w:cs="Arial"/>
          <w:sz w:val="22"/>
          <w:szCs w:val="22"/>
          <w:u w:val="single"/>
        </w:rPr>
      </w:pPr>
      <w:r w:rsidRPr="00ED268E">
        <w:rPr>
          <w:rFonts w:ascii="Arial" w:hAnsi="Arial" w:cs="Arial"/>
          <w:sz w:val="22"/>
          <w:szCs w:val="22"/>
          <w:u w:val="single"/>
        </w:rPr>
        <w:t>T cell Lymphoblastic Leukemia/Lymphoma</w:t>
      </w:r>
    </w:p>
    <w:p w:rsidR="00D87817" w:rsidRPr="00ED268E" w:rsidRDefault="00D87817" w:rsidP="00D87817">
      <w:pPr>
        <w:pStyle w:val="ListParagraph"/>
        <w:keepLines/>
        <w:numPr>
          <w:ilvl w:val="0"/>
          <w:numId w:val="4"/>
        </w:numPr>
        <w:spacing w:after="120"/>
        <w:rPr>
          <w:rFonts w:ascii="Arial" w:hAnsi="Arial" w:cs="Arial"/>
          <w:sz w:val="22"/>
          <w:szCs w:val="22"/>
        </w:rPr>
      </w:pPr>
      <w:r w:rsidRPr="00ED268E">
        <w:rPr>
          <w:rFonts w:ascii="Arial" w:hAnsi="Arial" w:cs="Arial"/>
          <w:sz w:val="22"/>
          <w:szCs w:val="22"/>
        </w:rPr>
        <w:t>Vincristine, Daunorubicin, Asparaginase, Dexamethasone</w:t>
      </w:r>
    </w:p>
    <w:p w:rsidR="00D87817" w:rsidRPr="00ED268E" w:rsidRDefault="00D87817" w:rsidP="00D87817">
      <w:pPr>
        <w:pStyle w:val="ListParagraph"/>
        <w:keepLines/>
        <w:numPr>
          <w:ilvl w:val="0"/>
          <w:numId w:val="4"/>
        </w:numPr>
        <w:spacing w:after="120"/>
        <w:rPr>
          <w:rFonts w:ascii="Arial" w:hAnsi="Arial" w:cs="Arial"/>
          <w:sz w:val="22"/>
          <w:szCs w:val="22"/>
        </w:rPr>
      </w:pPr>
      <w:r w:rsidRPr="00ED268E">
        <w:rPr>
          <w:rFonts w:ascii="Arial" w:hAnsi="Arial" w:cs="Arial"/>
          <w:sz w:val="22"/>
          <w:szCs w:val="22"/>
        </w:rPr>
        <w:t>Vincristine, Asparaginase, Mercaptopurine, Cyclophosphamide, Cyatarabine</w:t>
      </w:r>
    </w:p>
    <w:p w:rsidR="00D87817" w:rsidRPr="00ED268E" w:rsidRDefault="00D87817" w:rsidP="00D87817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2"/>
          <w:szCs w:val="22"/>
        </w:rPr>
      </w:pPr>
      <w:r w:rsidRPr="00ED268E">
        <w:rPr>
          <w:rFonts w:ascii="Arial" w:hAnsi="Arial" w:cs="Arial"/>
          <w:sz w:val="22"/>
          <w:szCs w:val="22"/>
        </w:rPr>
        <w:t>Vincristine, Asparaginase, Methotrexate</w:t>
      </w:r>
    </w:p>
    <w:p w:rsidR="00D87817" w:rsidRPr="00ED268E" w:rsidRDefault="00D87817" w:rsidP="00D87817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2"/>
          <w:szCs w:val="22"/>
        </w:rPr>
      </w:pPr>
      <w:r w:rsidRPr="00ED268E">
        <w:rPr>
          <w:rFonts w:ascii="Arial" w:hAnsi="Arial" w:cs="Arial"/>
          <w:sz w:val="22"/>
          <w:szCs w:val="22"/>
        </w:rPr>
        <w:t>Vincristine, Asparaginase, Doxorubicin, Dexamethasone, Cyclophosphamide, Cytarabine, Thioguanine</w:t>
      </w:r>
    </w:p>
    <w:p w:rsidR="00D87817" w:rsidRPr="00ED268E" w:rsidRDefault="00D87817" w:rsidP="00D87817">
      <w:pPr>
        <w:spacing w:after="120"/>
        <w:contextualSpacing/>
        <w:rPr>
          <w:rFonts w:ascii="Arial" w:hAnsi="Arial" w:cs="Arial"/>
          <w:sz w:val="22"/>
          <w:szCs w:val="22"/>
          <w:u w:val="single"/>
        </w:rPr>
      </w:pPr>
      <w:r w:rsidRPr="00ED268E">
        <w:rPr>
          <w:rFonts w:ascii="Arial" w:hAnsi="Arial" w:cs="Arial"/>
          <w:sz w:val="22"/>
          <w:szCs w:val="22"/>
          <w:u w:val="single"/>
        </w:rPr>
        <w:t>Non-Hodgkins Lymphoma</w:t>
      </w:r>
    </w:p>
    <w:p w:rsidR="00D87817" w:rsidRPr="00ED268E" w:rsidRDefault="00D87817" w:rsidP="00D87817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  <w:sz w:val="22"/>
          <w:szCs w:val="22"/>
        </w:rPr>
      </w:pPr>
      <w:r w:rsidRPr="00ED268E">
        <w:rPr>
          <w:rFonts w:ascii="Arial" w:hAnsi="Arial" w:cs="Arial"/>
          <w:sz w:val="22"/>
          <w:szCs w:val="22"/>
        </w:rPr>
        <w:t>Vincristine, Cyclophosphamide, Prednisone</w:t>
      </w:r>
    </w:p>
    <w:p w:rsidR="00D87817" w:rsidRPr="00ED268E" w:rsidRDefault="00D87817" w:rsidP="00D87817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  <w:sz w:val="22"/>
          <w:szCs w:val="22"/>
        </w:rPr>
      </w:pPr>
      <w:r w:rsidRPr="00ED268E">
        <w:rPr>
          <w:rFonts w:ascii="Arial" w:hAnsi="Arial" w:cs="Arial"/>
          <w:sz w:val="22"/>
          <w:szCs w:val="22"/>
        </w:rPr>
        <w:t>Vincristine, Cyclophosphamide, Prednisone, Doxorubicin, Methotrexate</w:t>
      </w:r>
    </w:p>
    <w:p w:rsidR="00D87817" w:rsidRPr="00ED268E" w:rsidRDefault="00D87817" w:rsidP="00D87817">
      <w:pPr>
        <w:pStyle w:val="ListParagraph"/>
        <w:numPr>
          <w:ilvl w:val="1"/>
          <w:numId w:val="6"/>
        </w:numPr>
        <w:spacing w:after="120"/>
        <w:rPr>
          <w:rFonts w:ascii="Arial" w:hAnsi="Arial" w:cs="Arial"/>
          <w:sz w:val="22"/>
          <w:szCs w:val="22"/>
        </w:rPr>
      </w:pPr>
      <w:r w:rsidRPr="00ED268E">
        <w:rPr>
          <w:rFonts w:ascii="Arial" w:hAnsi="Arial" w:cs="Arial"/>
          <w:sz w:val="22"/>
          <w:szCs w:val="22"/>
        </w:rPr>
        <w:t>Methotrexate, Cytarabine</w:t>
      </w:r>
    </w:p>
    <w:p w:rsidR="00D87817" w:rsidRPr="00ED268E" w:rsidRDefault="00D87817" w:rsidP="00D87817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2"/>
          <w:szCs w:val="22"/>
        </w:rPr>
      </w:pPr>
      <w:r w:rsidRPr="00ED268E">
        <w:rPr>
          <w:rFonts w:ascii="Arial" w:hAnsi="Arial" w:cs="Arial"/>
          <w:sz w:val="22"/>
          <w:szCs w:val="22"/>
        </w:rPr>
        <w:t>Etoposide, Cyatarabine</w:t>
      </w:r>
    </w:p>
    <w:p w:rsidR="00D87817" w:rsidRPr="00ED268E" w:rsidRDefault="00D87817" w:rsidP="00D87817">
      <w:pPr>
        <w:spacing w:after="120"/>
        <w:contextualSpacing/>
        <w:rPr>
          <w:rFonts w:ascii="Arial" w:hAnsi="Arial" w:cs="Arial"/>
          <w:sz w:val="22"/>
          <w:szCs w:val="22"/>
          <w:u w:val="single"/>
        </w:rPr>
      </w:pPr>
      <w:r w:rsidRPr="00ED268E">
        <w:rPr>
          <w:rFonts w:ascii="Arial" w:hAnsi="Arial" w:cs="Arial"/>
          <w:sz w:val="22"/>
          <w:szCs w:val="22"/>
          <w:u w:val="single"/>
        </w:rPr>
        <w:t>Hodgkins Disease</w:t>
      </w:r>
    </w:p>
    <w:p w:rsidR="00D87817" w:rsidRPr="00ED268E" w:rsidRDefault="00D87817" w:rsidP="00D87817">
      <w:pPr>
        <w:spacing w:after="120"/>
        <w:contextualSpacing/>
        <w:rPr>
          <w:rFonts w:ascii="Arial" w:hAnsi="Arial" w:cs="Arial"/>
          <w:sz w:val="22"/>
          <w:szCs w:val="22"/>
        </w:rPr>
      </w:pPr>
      <w:r w:rsidRPr="00ED268E">
        <w:rPr>
          <w:rFonts w:ascii="Arial" w:hAnsi="Arial" w:cs="Arial"/>
          <w:sz w:val="22"/>
          <w:szCs w:val="22"/>
        </w:rPr>
        <w:tab/>
        <w:t>Vincristine, Prednisone, Doxorubicin, Bleomyocin, Etoposide, Cyclophosphamide</w:t>
      </w:r>
    </w:p>
    <w:p w:rsidR="00D87817" w:rsidRPr="00ED268E" w:rsidRDefault="00D87817" w:rsidP="00D87817">
      <w:pPr>
        <w:spacing w:after="120"/>
        <w:contextualSpacing/>
        <w:rPr>
          <w:rFonts w:ascii="Arial" w:hAnsi="Arial" w:cs="Arial"/>
          <w:sz w:val="22"/>
          <w:szCs w:val="22"/>
        </w:rPr>
      </w:pPr>
    </w:p>
    <w:p w:rsidR="00D87817" w:rsidRPr="00ED268E" w:rsidRDefault="00D87817" w:rsidP="00D87817">
      <w:pPr>
        <w:spacing w:after="120"/>
        <w:contextualSpacing/>
        <w:rPr>
          <w:rFonts w:ascii="Arial" w:hAnsi="Arial" w:cs="Arial"/>
          <w:sz w:val="22"/>
          <w:szCs w:val="22"/>
          <w:u w:val="single"/>
        </w:rPr>
      </w:pPr>
      <w:r w:rsidRPr="00ED268E">
        <w:rPr>
          <w:rFonts w:ascii="Arial" w:hAnsi="Arial" w:cs="Arial"/>
          <w:sz w:val="22"/>
          <w:szCs w:val="22"/>
          <w:u w:val="single"/>
        </w:rPr>
        <w:t>Neuroblastoma</w:t>
      </w:r>
    </w:p>
    <w:p w:rsidR="00D87817" w:rsidRPr="00ED268E" w:rsidRDefault="00D87817" w:rsidP="00D87817">
      <w:pPr>
        <w:spacing w:after="120"/>
        <w:contextualSpacing/>
        <w:rPr>
          <w:rFonts w:ascii="Arial" w:hAnsi="Arial" w:cs="Arial"/>
          <w:sz w:val="22"/>
          <w:szCs w:val="22"/>
        </w:rPr>
      </w:pPr>
      <w:r w:rsidRPr="00ED268E">
        <w:rPr>
          <w:rFonts w:ascii="Arial" w:hAnsi="Arial" w:cs="Arial"/>
          <w:sz w:val="22"/>
          <w:szCs w:val="22"/>
        </w:rPr>
        <w:tab/>
        <w:t>1-2. Topotecan, Cyclophosphamide</w:t>
      </w:r>
    </w:p>
    <w:p w:rsidR="00D87817" w:rsidRPr="00ED268E" w:rsidRDefault="00D87817" w:rsidP="00D87817">
      <w:pPr>
        <w:spacing w:after="120"/>
        <w:ind w:firstLine="720"/>
        <w:contextualSpacing/>
        <w:rPr>
          <w:rFonts w:ascii="Arial" w:hAnsi="Arial" w:cs="Arial"/>
          <w:sz w:val="22"/>
          <w:szCs w:val="22"/>
        </w:rPr>
      </w:pPr>
      <w:r w:rsidRPr="00ED268E">
        <w:rPr>
          <w:rFonts w:ascii="Arial" w:hAnsi="Arial" w:cs="Arial"/>
          <w:sz w:val="22"/>
          <w:szCs w:val="22"/>
        </w:rPr>
        <w:t>3.    Cisplatinum, Etoposide</w:t>
      </w:r>
    </w:p>
    <w:p w:rsidR="00D87817" w:rsidRPr="00ED268E" w:rsidRDefault="00D87817" w:rsidP="00D87817">
      <w:pPr>
        <w:spacing w:after="120"/>
        <w:ind w:firstLine="720"/>
        <w:contextualSpacing/>
        <w:rPr>
          <w:rFonts w:ascii="Arial" w:hAnsi="Arial" w:cs="Arial"/>
          <w:sz w:val="22"/>
          <w:szCs w:val="22"/>
        </w:rPr>
      </w:pPr>
      <w:r w:rsidRPr="00ED268E">
        <w:rPr>
          <w:rFonts w:ascii="Arial" w:hAnsi="Arial" w:cs="Arial"/>
          <w:sz w:val="22"/>
          <w:szCs w:val="22"/>
        </w:rPr>
        <w:t>4.    Vincristine, Cyclophosphamide, Doxorubicin</w:t>
      </w:r>
    </w:p>
    <w:p w:rsidR="00D87817" w:rsidRPr="00ED268E" w:rsidRDefault="00D87817" w:rsidP="00D87817">
      <w:pPr>
        <w:spacing w:after="120"/>
        <w:ind w:left="720"/>
        <w:contextualSpacing/>
        <w:rPr>
          <w:rFonts w:ascii="Arial" w:hAnsi="Arial" w:cs="Arial"/>
          <w:sz w:val="22"/>
          <w:szCs w:val="22"/>
        </w:rPr>
      </w:pPr>
      <w:r w:rsidRPr="00ED268E">
        <w:rPr>
          <w:rFonts w:ascii="Arial" w:hAnsi="Arial" w:cs="Arial"/>
          <w:sz w:val="22"/>
          <w:szCs w:val="22"/>
        </w:rPr>
        <w:t>5.    Cisplatinum, Etoposide</w:t>
      </w:r>
    </w:p>
    <w:p w:rsidR="00D87817" w:rsidRPr="00ED268E" w:rsidRDefault="00D87817" w:rsidP="00D87817">
      <w:pPr>
        <w:spacing w:after="120"/>
        <w:ind w:left="720"/>
        <w:contextualSpacing/>
        <w:rPr>
          <w:rFonts w:ascii="Arial" w:hAnsi="Arial" w:cs="Arial"/>
          <w:sz w:val="22"/>
          <w:szCs w:val="22"/>
        </w:rPr>
      </w:pPr>
    </w:p>
    <w:p w:rsidR="00D87817" w:rsidRPr="00ED268E" w:rsidRDefault="00D87817" w:rsidP="00D87817">
      <w:pPr>
        <w:spacing w:after="120"/>
        <w:contextualSpacing/>
        <w:rPr>
          <w:rFonts w:ascii="Arial" w:hAnsi="Arial" w:cs="Arial"/>
          <w:sz w:val="22"/>
          <w:szCs w:val="22"/>
          <w:u w:val="single"/>
        </w:rPr>
      </w:pPr>
      <w:r w:rsidRPr="00ED268E">
        <w:rPr>
          <w:rFonts w:ascii="Arial" w:hAnsi="Arial" w:cs="Arial"/>
          <w:sz w:val="22"/>
          <w:szCs w:val="22"/>
          <w:u w:val="single"/>
        </w:rPr>
        <w:t>Acute Myeloid Leukemia</w:t>
      </w:r>
    </w:p>
    <w:p w:rsidR="00D87817" w:rsidRPr="00ED268E" w:rsidRDefault="00D87817" w:rsidP="00D87817">
      <w:pPr>
        <w:spacing w:after="120"/>
        <w:contextualSpacing/>
        <w:rPr>
          <w:rFonts w:ascii="Arial" w:hAnsi="Arial" w:cs="Arial"/>
          <w:sz w:val="22"/>
          <w:szCs w:val="22"/>
        </w:rPr>
      </w:pPr>
      <w:r w:rsidRPr="00ED268E">
        <w:rPr>
          <w:rFonts w:ascii="Arial" w:hAnsi="Arial" w:cs="Arial"/>
          <w:sz w:val="22"/>
          <w:szCs w:val="22"/>
        </w:rPr>
        <w:tab/>
        <w:t>1-2. Cytarabine, Daunorubicin, Etoposide</w:t>
      </w:r>
    </w:p>
    <w:p w:rsidR="00D87817" w:rsidRPr="00ED268E" w:rsidRDefault="00D87817" w:rsidP="00D87817">
      <w:pPr>
        <w:spacing w:after="120"/>
        <w:ind w:firstLine="720"/>
        <w:contextualSpacing/>
        <w:rPr>
          <w:rFonts w:ascii="Arial" w:hAnsi="Arial" w:cs="Arial"/>
          <w:sz w:val="22"/>
          <w:szCs w:val="22"/>
        </w:rPr>
      </w:pPr>
      <w:r w:rsidRPr="00ED268E">
        <w:rPr>
          <w:rFonts w:ascii="Arial" w:hAnsi="Arial" w:cs="Arial"/>
          <w:sz w:val="22"/>
          <w:szCs w:val="22"/>
        </w:rPr>
        <w:t>3.    Cytarabine, Etoposide</w:t>
      </w:r>
    </w:p>
    <w:p w:rsidR="00D87817" w:rsidRPr="00ED268E" w:rsidRDefault="00D87817" w:rsidP="00D87817">
      <w:pPr>
        <w:spacing w:after="120"/>
        <w:ind w:firstLine="720"/>
        <w:contextualSpacing/>
        <w:rPr>
          <w:rFonts w:ascii="Arial" w:hAnsi="Arial" w:cs="Arial"/>
          <w:sz w:val="22"/>
          <w:szCs w:val="22"/>
        </w:rPr>
      </w:pPr>
      <w:r w:rsidRPr="00ED268E">
        <w:rPr>
          <w:rFonts w:ascii="Arial" w:hAnsi="Arial" w:cs="Arial"/>
          <w:sz w:val="22"/>
          <w:szCs w:val="22"/>
        </w:rPr>
        <w:t>4.    Mitoxantrone, Cytarabine</w:t>
      </w:r>
    </w:p>
    <w:p w:rsidR="00D87817" w:rsidRPr="00ED268E" w:rsidRDefault="00D87817" w:rsidP="00D87817">
      <w:pPr>
        <w:spacing w:after="120"/>
        <w:ind w:firstLine="720"/>
        <w:contextualSpacing/>
        <w:rPr>
          <w:rFonts w:ascii="Arial" w:hAnsi="Arial" w:cs="Arial"/>
          <w:sz w:val="22"/>
          <w:szCs w:val="22"/>
        </w:rPr>
      </w:pPr>
    </w:p>
    <w:p w:rsidR="00D87817" w:rsidRPr="00ED268E" w:rsidRDefault="00D87817" w:rsidP="00D87817">
      <w:pPr>
        <w:spacing w:after="120"/>
        <w:contextualSpacing/>
        <w:rPr>
          <w:rFonts w:ascii="Arial" w:hAnsi="Arial" w:cs="Arial"/>
          <w:sz w:val="22"/>
          <w:szCs w:val="22"/>
        </w:rPr>
      </w:pPr>
      <w:r w:rsidRPr="00ED268E">
        <w:rPr>
          <w:rFonts w:ascii="Arial" w:hAnsi="Arial" w:cs="Arial"/>
          <w:b/>
          <w:sz w:val="22"/>
          <w:szCs w:val="22"/>
        </w:rPr>
        <w:t>Supplemental Table S</w:t>
      </w:r>
      <w:r>
        <w:rPr>
          <w:rFonts w:ascii="Arial" w:hAnsi="Arial" w:cs="Arial"/>
          <w:b/>
          <w:sz w:val="22"/>
          <w:szCs w:val="22"/>
        </w:rPr>
        <w:t>4</w:t>
      </w:r>
      <w:r w:rsidRPr="00ED268E">
        <w:rPr>
          <w:rFonts w:ascii="Arial" w:hAnsi="Arial" w:cs="Arial"/>
          <w:sz w:val="22"/>
          <w:szCs w:val="22"/>
        </w:rPr>
        <w:t>: Summary of standard of care chemotherapy used to treat patients on the study.  Cycles are represented by number, with many being repeated either sequentially or alternating where noted.</w:t>
      </w:r>
    </w:p>
    <w:p w:rsidR="00D87817" w:rsidRDefault="00D87817" w:rsidP="00D87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87817" w:rsidRDefault="00D87817" w:rsidP="00D87817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Supplementary Figures</w:t>
      </w:r>
    </w:p>
    <w:p w:rsidR="00D87817" w:rsidRDefault="00D87817" w:rsidP="00D87817">
      <w:pPr>
        <w:spacing w:line="480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AB3B50D" wp14:editId="0B3596EE">
            <wp:extent cx="4655829" cy="2054356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l figure ALC and AT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5829" cy="205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817" w:rsidRDefault="00D87817" w:rsidP="00D87817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FA66FD">
        <w:rPr>
          <w:rFonts w:ascii="Arial" w:hAnsi="Arial" w:cs="Arial"/>
          <w:b/>
          <w:sz w:val="22"/>
          <w:szCs w:val="22"/>
        </w:rPr>
        <w:t>Supplementary Figure S1</w:t>
      </w:r>
      <w:r>
        <w:rPr>
          <w:rFonts w:ascii="Arial" w:hAnsi="Arial" w:cs="Arial"/>
          <w:sz w:val="22"/>
          <w:szCs w:val="22"/>
        </w:rPr>
        <w:t xml:space="preserve"> : </w:t>
      </w:r>
      <w:r>
        <w:rPr>
          <w:rFonts w:ascii="Arial" w:hAnsi="Arial" w:cs="Arial"/>
          <w:b/>
          <w:sz w:val="22"/>
          <w:szCs w:val="22"/>
        </w:rPr>
        <w:t>Correlation of absolute lymphocyte count (ALC) or T cell count (ATC) with expansion magnitude</w:t>
      </w:r>
      <w:r w:rsidRPr="001E6DBD">
        <w:rPr>
          <w:rFonts w:ascii="Arial" w:hAnsi="Arial" w:cs="Arial"/>
          <w:b/>
          <w:sz w:val="22"/>
          <w:szCs w:val="22"/>
        </w:rPr>
        <w:t>.</w:t>
      </w:r>
      <w:r w:rsidRPr="001E6D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For each individual sample the absolute lymphocyte count was plotted versus the fold expansion in response to CD3/28 bead stimulation.  Red line is 1-fold (i.e. no growth) and green line is 5 fold.  There is no correlation between ALC or ATC and expansion.</w:t>
      </w:r>
      <w:r w:rsidRPr="001E6DBD">
        <w:rPr>
          <w:rFonts w:ascii="Arial" w:hAnsi="Arial" w:cs="Arial"/>
          <w:sz w:val="22"/>
          <w:szCs w:val="22"/>
        </w:rPr>
        <w:t xml:space="preserve"> </w:t>
      </w:r>
    </w:p>
    <w:p w:rsidR="00D87817" w:rsidRDefault="00D87817" w:rsidP="00D87817">
      <w:pPr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D87817" w:rsidRDefault="00D87817" w:rsidP="00D87817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098AFA77" wp14:editId="33B74E92">
            <wp:extent cx="2392685" cy="5353823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l figure change in post phenotyp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85" cy="5353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817" w:rsidRDefault="00D87817" w:rsidP="00D87817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FA66FD">
        <w:rPr>
          <w:rFonts w:ascii="Arial" w:hAnsi="Arial" w:cs="Arial"/>
          <w:b/>
          <w:sz w:val="22"/>
          <w:szCs w:val="22"/>
        </w:rPr>
        <w:t>Supplementary Figure S2</w:t>
      </w:r>
      <w:r>
        <w:rPr>
          <w:rFonts w:ascii="Arial" w:hAnsi="Arial" w:cs="Arial"/>
          <w:sz w:val="22"/>
          <w:szCs w:val="22"/>
        </w:rPr>
        <w:t xml:space="preserve">: </w:t>
      </w:r>
      <w:r w:rsidRPr="00794C44">
        <w:rPr>
          <w:rFonts w:ascii="Arial" w:hAnsi="Arial" w:cs="Arial"/>
          <w:b/>
          <w:sz w:val="22"/>
          <w:szCs w:val="22"/>
        </w:rPr>
        <w:t>IL-7 and IL-15 increase SCM percentage of post-expansion T cells.</w:t>
      </w:r>
      <w:r>
        <w:rPr>
          <w:rFonts w:ascii="Arial" w:hAnsi="Arial" w:cs="Arial"/>
          <w:sz w:val="22"/>
          <w:szCs w:val="22"/>
        </w:rPr>
        <w:t xml:space="preserve">  Plotted here are the average percentage shift in T cell subset phenotypes between samples expanded with beads alone versus beads plus IL-7 and 15.  IL-7 and 15 primarily increase the SCM percentage as expected, even in samples which ultimately did not expand (Fail to </w:t>
      </w:r>
      <w:proofErr w:type="gramStart"/>
      <w:r>
        <w:rPr>
          <w:rFonts w:ascii="Arial" w:hAnsi="Arial" w:cs="Arial"/>
          <w:sz w:val="22"/>
          <w:szCs w:val="22"/>
        </w:rPr>
        <w:t>Improve</w:t>
      </w:r>
      <w:proofErr w:type="gramEnd"/>
      <w:r>
        <w:rPr>
          <w:rFonts w:ascii="Arial" w:hAnsi="Arial" w:cs="Arial"/>
          <w:sz w:val="22"/>
          <w:szCs w:val="22"/>
        </w:rPr>
        <w:t>).  This is more pronounced in lymphoma and solid tumor patients, as leukemia patients see an increase in CM T cell percentage also.  Notably, in samples that already expanded well, IL-7 and 15 also served to increase the final percentage of terminal effector cells, an undesired subset in cellular therapy products.  *=p&lt;0.05</w:t>
      </w:r>
    </w:p>
    <w:p w:rsidR="001807D1" w:rsidRDefault="00D87817">
      <w:bookmarkStart w:id="0" w:name="_GoBack"/>
      <w:bookmarkEnd w:id="0"/>
    </w:p>
    <w:sectPr w:rsidR="001807D1" w:rsidSect="00636E55">
      <w:footerReference w:type="even" r:id="rId8"/>
      <w:footerReference w:type="default" r:id="rId9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00A" w:rsidRDefault="00D87817" w:rsidP="007636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000A" w:rsidRDefault="00D878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00A" w:rsidRPr="0076362D" w:rsidRDefault="00D87817" w:rsidP="0076362D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22"/>
      </w:rPr>
    </w:pPr>
    <w:r w:rsidRPr="0076362D">
      <w:rPr>
        <w:rStyle w:val="PageNumber"/>
        <w:rFonts w:ascii="Times New Roman" w:hAnsi="Times New Roman" w:cs="Times New Roman"/>
        <w:sz w:val="22"/>
      </w:rPr>
      <w:fldChar w:fldCharType="begin"/>
    </w:r>
    <w:r w:rsidRPr="0076362D">
      <w:rPr>
        <w:rStyle w:val="PageNumber"/>
        <w:rFonts w:ascii="Times New Roman" w:hAnsi="Times New Roman" w:cs="Times New Roman"/>
        <w:sz w:val="22"/>
      </w:rPr>
      <w:instrText>PAGE</w:instrText>
    </w:r>
    <w:r w:rsidRPr="0076362D">
      <w:rPr>
        <w:rStyle w:val="PageNumber"/>
        <w:rFonts w:ascii="Times New Roman" w:hAnsi="Times New Roman" w:cs="Times New Roman"/>
        <w:sz w:val="22"/>
      </w:rPr>
      <w:instrText xml:space="preserve">  </w:instrText>
    </w:r>
    <w:r w:rsidRPr="0076362D">
      <w:rPr>
        <w:rStyle w:val="PageNumber"/>
        <w:rFonts w:ascii="Times New Roman" w:hAnsi="Times New Roman" w:cs="Times New Roman"/>
        <w:sz w:val="22"/>
      </w:rPr>
      <w:fldChar w:fldCharType="separate"/>
    </w:r>
    <w:r>
      <w:rPr>
        <w:rStyle w:val="PageNumber"/>
        <w:rFonts w:ascii="Times New Roman" w:hAnsi="Times New Roman" w:cs="Times New Roman"/>
        <w:noProof/>
        <w:sz w:val="22"/>
      </w:rPr>
      <w:t>5</w:t>
    </w:r>
    <w:r w:rsidRPr="0076362D">
      <w:rPr>
        <w:rStyle w:val="PageNumber"/>
        <w:rFonts w:ascii="Times New Roman" w:hAnsi="Times New Roman" w:cs="Times New Roman"/>
        <w:sz w:val="22"/>
      </w:rPr>
      <w:fldChar w:fldCharType="end"/>
    </w:r>
  </w:p>
  <w:p w:rsidR="004C000A" w:rsidRDefault="00D87817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596D"/>
    <w:multiLevelType w:val="hybridMultilevel"/>
    <w:tmpl w:val="02362F66"/>
    <w:lvl w:ilvl="0" w:tplc="BACC9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A5541A"/>
    <w:multiLevelType w:val="hybridMultilevel"/>
    <w:tmpl w:val="D62CD8E8"/>
    <w:lvl w:ilvl="0" w:tplc="73947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8F74C2"/>
    <w:multiLevelType w:val="hybridMultilevel"/>
    <w:tmpl w:val="30CC90C2"/>
    <w:lvl w:ilvl="0" w:tplc="A51A7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AB424C"/>
    <w:multiLevelType w:val="hybridMultilevel"/>
    <w:tmpl w:val="E7AC53A8"/>
    <w:lvl w:ilvl="0" w:tplc="AEF20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FE4183"/>
    <w:multiLevelType w:val="hybridMultilevel"/>
    <w:tmpl w:val="152C7A14"/>
    <w:lvl w:ilvl="0" w:tplc="334A2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E01986"/>
    <w:multiLevelType w:val="multilevel"/>
    <w:tmpl w:val="BBA8C1A2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17"/>
    <w:rsid w:val="00B572F9"/>
    <w:rsid w:val="00D87817"/>
    <w:rsid w:val="00EE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1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78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817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87817"/>
  </w:style>
  <w:style w:type="paragraph" w:styleId="ListParagraph">
    <w:name w:val="List Paragraph"/>
    <w:basedOn w:val="Normal"/>
    <w:uiPriority w:val="34"/>
    <w:qFormat/>
    <w:rsid w:val="00D87817"/>
    <w:pPr>
      <w:ind w:left="720"/>
      <w:contextualSpacing/>
    </w:pPr>
  </w:style>
  <w:style w:type="table" w:styleId="LightShading">
    <w:name w:val="Light Shading"/>
    <w:basedOn w:val="TableNormal"/>
    <w:uiPriority w:val="60"/>
    <w:rsid w:val="00D8781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D878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87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81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1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78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817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87817"/>
  </w:style>
  <w:style w:type="paragraph" w:styleId="ListParagraph">
    <w:name w:val="List Paragraph"/>
    <w:basedOn w:val="Normal"/>
    <w:uiPriority w:val="34"/>
    <w:qFormat/>
    <w:rsid w:val="00D87817"/>
    <w:pPr>
      <w:ind w:left="720"/>
      <w:contextualSpacing/>
    </w:pPr>
  </w:style>
  <w:style w:type="table" w:styleId="LightShading">
    <w:name w:val="Light Shading"/>
    <w:basedOn w:val="TableNormal"/>
    <w:uiPriority w:val="60"/>
    <w:rsid w:val="00D8781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D878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87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81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barrettd</dc:creator>
  <cp:lastModifiedBy>barrettd</cp:lastModifiedBy>
  <cp:revision>1</cp:revision>
  <dcterms:created xsi:type="dcterms:W3CDTF">2018-12-21T20:57:00Z</dcterms:created>
  <dcterms:modified xsi:type="dcterms:W3CDTF">2018-12-21T20:57:00Z</dcterms:modified>
</cp:coreProperties>
</file>