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21BA3" w14:textId="1276E533" w:rsidR="009C1CF9" w:rsidRDefault="009C1CF9" w:rsidP="005B0D7E">
      <w:pPr>
        <w:pStyle w:val="NoSpacing"/>
        <w:tabs>
          <w:tab w:val="right" w:pos="9360"/>
        </w:tabs>
        <w:spacing w:line="480" w:lineRule="auto"/>
        <w:rPr>
          <w:rFonts w:ascii="Arial" w:hAnsi="Arial" w:cs="Arial"/>
          <w:b/>
        </w:rPr>
      </w:pPr>
      <w:r w:rsidRPr="009C1CF9">
        <w:rPr>
          <w:rFonts w:ascii="Arial" w:hAnsi="Arial" w:cs="Arial"/>
          <w:b/>
        </w:rPr>
        <w:drawing>
          <wp:inline distT="0" distB="0" distL="0" distR="0" wp14:anchorId="4E49B893" wp14:editId="12B320FD">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EDF9BD1" w14:textId="0AA7D18B" w:rsidR="009C1CF9" w:rsidRDefault="009C1CF9" w:rsidP="005B0D7E">
      <w:pPr>
        <w:pStyle w:val="NoSpacing"/>
        <w:tabs>
          <w:tab w:val="right" w:pos="9360"/>
        </w:tabs>
        <w:spacing w:line="480" w:lineRule="auto"/>
        <w:rPr>
          <w:rFonts w:ascii="Arial" w:hAnsi="Arial" w:cs="Arial"/>
          <w:b/>
        </w:rPr>
      </w:pPr>
      <w:r w:rsidRPr="009C1CF9">
        <w:rPr>
          <w:rFonts w:ascii="Arial" w:hAnsi="Arial" w:cs="Arial"/>
          <w:b/>
        </w:rPr>
        <w:lastRenderedPageBreak/>
        <w:drawing>
          <wp:inline distT="0" distB="0" distL="0" distR="0" wp14:anchorId="0C9C1DF9" wp14:editId="39A11BCA">
            <wp:extent cx="61722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8229600"/>
                    </a:xfrm>
                    <a:prstGeom prst="rect">
                      <a:avLst/>
                    </a:prstGeom>
                    <a:noFill/>
                    <a:ln>
                      <a:noFill/>
                    </a:ln>
                  </pic:spPr>
                </pic:pic>
              </a:graphicData>
            </a:graphic>
          </wp:inline>
        </w:drawing>
      </w:r>
    </w:p>
    <w:p w14:paraId="721646BC" w14:textId="2220191F" w:rsidR="005B0D7E" w:rsidRDefault="005B0D7E" w:rsidP="005B0D7E">
      <w:pPr>
        <w:pStyle w:val="NoSpacing"/>
        <w:tabs>
          <w:tab w:val="right" w:pos="9360"/>
        </w:tabs>
        <w:spacing w:line="480" w:lineRule="auto"/>
        <w:rPr>
          <w:rFonts w:ascii="Arial" w:hAnsi="Arial" w:cs="Arial"/>
        </w:rPr>
      </w:pPr>
      <w:proofErr w:type="gramStart"/>
      <w:r>
        <w:rPr>
          <w:rFonts w:ascii="Arial" w:hAnsi="Arial" w:cs="Arial"/>
          <w:b/>
        </w:rPr>
        <w:t>Supplementary Figure 1</w:t>
      </w:r>
      <w:r w:rsidRPr="00A74B99">
        <w:rPr>
          <w:rFonts w:ascii="Arial" w:hAnsi="Arial" w:cs="Arial"/>
          <w:b/>
        </w:rPr>
        <w:t>.</w:t>
      </w:r>
      <w:proofErr w:type="gramEnd"/>
      <w:r>
        <w:rPr>
          <w:rFonts w:ascii="Arial" w:hAnsi="Arial" w:cs="Arial"/>
          <w:b/>
        </w:rPr>
        <w:t xml:space="preserve"> </w:t>
      </w:r>
      <w:proofErr w:type="gramStart"/>
      <w:r>
        <w:rPr>
          <w:rFonts w:ascii="Arial" w:hAnsi="Arial" w:cs="Arial"/>
          <w:b/>
        </w:rPr>
        <w:t>Mutational count, somatic mutation frequency, and differential gene expression differences between clusters 4 and 1-3 and by objective response.</w:t>
      </w:r>
      <w:proofErr w:type="gramEnd"/>
      <w:r>
        <w:rPr>
          <w:rFonts w:ascii="Arial" w:hAnsi="Arial" w:cs="Arial"/>
          <w:b/>
        </w:rPr>
        <w:t xml:space="preserve"> </w:t>
      </w:r>
      <w:r w:rsidRPr="00E168FC">
        <w:rPr>
          <w:rFonts w:ascii="Arial" w:hAnsi="Arial" w:cs="Arial"/>
        </w:rPr>
        <w:t>(</w:t>
      </w:r>
      <w:r w:rsidR="00A54098">
        <w:rPr>
          <w:rFonts w:ascii="Arial" w:hAnsi="Arial" w:cs="Arial"/>
          <w:b/>
        </w:rPr>
        <w:t>a</w:t>
      </w:r>
      <w:r>
        <w:rPr>
          <w:rFonts w:ascii="Arial" w:hAnsi="Arial" w:cs="Arial"/>
        </w:rPr>
        <w:t>) Distribution of clusters by RECIST 1.0 objective response category. (</w:t>
      </w:r>
      <w:r w:rsidR="00A54098">
        <w:rPr>
          <w:rFonts w:ascii="Arial" w:hAnsi="Arial" w:cs="Arial"/>
          <w:b/>
        </w:rPr>
        <w:t>b</w:t>
      </w:r>
      <w:r>
        <w:rPr>
          <w:rFonts w:ascii="Arial" w:hAnsi="Arial" w:cs="Arial"/>
        </w:rPr>
        <w:t>) Volcano plot demonstrating significantly differentially expressed genes when comparing response (PD vs. CR/PR) to TKI-therapy. (</w:t>
      </w:r>
      <w:r w:rsidR="00A54098">
        <w:rPr>
          <w:rFonts w:ascii="Arial" w:hAnsi="Arial" w:cs="Arial"/>
          <w:b/>
        </w:rPr>
        <w:t>c</w:t>
      </w:r>
      <w:r>
        <w:rPr>
          <w:rFonts w:ascii="Arial" w:hAnsi="Arial" w:cs="Arial"/>
        </w:rPr>
        <w:t>)</w:t>
      </w:r>
      <w:r w:rsidRPr="000E5850">
        <w:rPr>
          <w:rFonts w:ascii="Arial" w:hAnsi="Arial" w:cs="Arial"/>
        </w:rPr>
        <w:t xml:space="preserve"> </w:t>
      </w:r>
      <w:r>
        <w:rPr>
          <w:rFonts w:ascii="Arial" w:hAnsi="Arial" w:cs="Arial"/>
        </w:rPr>
        <w:t>GSEA analysis of hallmark gene sets comparing PD to CR/PR.</w:t>
      </w:r>
      <w:r>
        <w:rPr>
          <w:rFonts w:ascii="Arial" w:hAnsi="Arial" w:cs="Arial"/>
          <w:b/>
        </w:rPr>
        <w:t xml:space="preserve"> </w:t>
      </w:r>
      <w:r>
        <w:rPr>
          <w:rFonts w:ascii="Arial" w:hAnsi="Arial" w:cs="Arial"/>
        </w:rPr>
        <w:t>Enrichment scores are ranked based on the normalized enrichment score (NES) and sized by log10 transformed value of nominal p-value and asterisk indicate adjusted p&lt;0.05. (</w:t>
      </w:r>
      <w:r w:rsidR="00A54098">
        <w:rPr>
          <w:rFonts w:ascii="Arial" w:hAnsi="Arial" w:cs="Arial"/>
          <w:b/>
        </w:rPr>
        <w:t>d)</w:t>
      </w:r>
      <w:r>
        <w:rPr>
          <w:rFonts w:ascii="Arial" w:hAnsi="Arial" w:cs="Arial"/>
        </w:rPr>
        <w:t xml:space="preserve"> Results of IPA canonical pathway analyses demonstrated significantly altered canonical pathways when comparing PD vs CR/PR. (</w:t>
      </w:r>
      <w:r w:rsidR="00A54098">
        <w:rPr>
          <w:rFonts w:ascii="Arial" w:hAnsi="Arial" w:cs="Arial"/>
          <w:b/>
        </w:rPr>
        <w:t>e</w:t>
      </w:r>
      <w:r>
        <w:rPr>
          <w:rFonts w:ascii="Arial" w:hAnsi="Arial" w:cs="Arial"/>
        </w:rPr>
        <w:t xml:space="preserve">) Summary of IPA biological functions or disease analyses demonstrating gene enrichment in immune related functions or disease. </w:t>
      </w:r>
      <w:r w:rsidR="00A54098">
        <w:rPr>
          <w:rFonts w:ascii="Arial" w:hAnsi="Arial" w:cs="Arial"/>
        </w:rPr>
        <w:t>(</w:t>
      </w:r>
      <w:r w:rsidR="00A54098">
        <w:rPr>
          <w:rFonts w:ascii="Arial" w:hAnsi="Arial" w:cs="Arial"/>
          <w:b/>
        </w:rPr>
        <w:t>f</w:t>
      </w:r>
      <w:r w:rsidR="003B63AD" w:rsidRPr="0030750C">
        <w:rPr>
          <w:rFonts w:ascii="Arial" w:hAnsi="Arial" w:cs="Arial"/>
        </w:rPr>
        <w:t xml:space="preserve">) </w:t>
      </w:r>
      <w:r w:rsidR="003B63AD">
        <w:rPr>
          <w:rFonts w:ascii="Arial" w:hAnsi="Arial" w:cs="Arial"/>
        </w:rPr>
        <w:t>Demonstrates total mutational count in cluster 4 versus clusters 1-3. (</w:t>
      </w:r>
      <w:r w:rsidR="00A54098">
        <w:rPr>
          <w:rFonts w:ascii="Arial" w:hAnsi="Arial" w:cs="Arial"/>
          <w:b/>
        </w:rPr>
        <w:t>g</w:t>
      </w:r>
      <w:r w:rsidR="003B63AD">
        <w:rPr>
          <w:rFonts w:ascii="Arial" w:hAnsi="Arial" w:cs="Arial"/>
        </w:rPr>
        <w:t xml:space="preserve">) Demonstrates the percent frequency of mutated </w:t>
      </w:r>
      <w:r w:rsidR="003B63AD" w:rsidRPr="00222BDE">
        <w:rPr>
          <w:rFonts w:ascii="Arial" w:hAnsi="Arial" w:cs="Arial"/>
          <w:i/>
        </w:rPr>
        <w:t>PBRM1</w:t>
      </w:r>
      <w:r w:rsidR="003B63AD">
        <w:rPr>
          <w:rFonts w:ascii="Arial" w:hAnsi="Arial" w:cs="Arial"/>
        </w:rPr>
        <w:t xml:space="preserve">, </w:t>
      </w:r>
      <w:r w:rsidR="003B63AD" w:rsidRPr="00222BDE">
        <w:rPr>
          <w:rFonts w:ascii="Arial" w:hAnsi="Arial" w:cs="Arial"/>
          <w:i/>
        </w:rPr>
        <w:t>BAP1</w:t>
      </w:r>
      <w:r w:rsidR="003B63AD">
        <w:rPr>
          <w:rFonts w:ascii="Arial" w:hAnsi="Arial" w:cs="Arial"/>
        </w:rPr>
        <w:t xml:space="preserve">, and </w:t>
      </w:r>
      <w:r w:rsidR="003B63AD" w:rsidRPr="00222BDE">
        <w:rPr>
          <w:rFonts w:ascii="Arial" w:hAnsi="Arial" w:cs="Arial"/>
          <w:i/>
        </w:rPr>
        <w:t>TP53</w:t>
      </w:r>
      <w:r w:rsidR="003B63AD">
        <w:rPr>
          <w:rFonts w:ascii="Arial" w:hAnsi="Arial" w:cs="Arial"/>
        </w:rPr>
        <w:t xml:space="preserve"> in clusters 4 versus 1-3; p-values were derived from the Fisher’s exact test.</w:t>
      </w:r>
      <w:r w:rsidR="003B63AD" w:rsidRPr="00E168FC">
        <w:rPr>
          <w:rFonts w:ascii="Arial" w:hAnsi="Arial" w:cs="Arial"/>
        </w:rPr>
        <w:t xml:space="preserve"> </w:t>
      </w:r>
      <w:r w:rsidRPr="0051188C">
        <w:rPr>
          <w:rFonts w:ascii="Arial" w:hAnsi="Arial" w:cs="Arial"/>
        </w:rPr>
        <w:t xml:space="preserve">TKI, </w:t>
      </w:r>
      <w:r>
        <w:rPr>
          <w:rFonts w:ascii="Arial" w:hAnsi="Arial" w:cs="Arial"/>
        </w:rPr>
        <w:t>Tyrosine kinase inhibitor; GSEA, gene set enrichment analysis; IPA, ingenuity pathway analysis; OS, overall survival; PFS, Progression-free survival. RECIST 1.0 objective response is categorized as: PD, progressive disease; CR, complete response; PR, partial response; or SD, stable disease.</w:t>
      </w:r>
    </w:p>
    <w:p w14:paraId="37817E77" w14:textId="44C176AC" w:rsidR="009C1CF9" w:rsidRDefault="009C1CF9" w:rsidP="005B0D7E">
      <w:pPr>
        <w:pStyle w:val="NoSpacing"/>
        <w:tabs>
          <w:tab w:val="right" w:pos="9360"/>
        </w:tabs>
        <w:spacing w:line="480" w:lineRule="auto"/>
        <w:rPr>
          <w:rFonts w:ascii="Arial" w:hAnsi="Arial" w:cs="Arial"/>
        </w:rPr>
      </w:pPr>
      <w:r w:rsidRPr="009C1CF9">
        <w:rPr>
          <w:rFonts w:ascii="Arial" w:hAnsi="Arial" w:cs="Arial"/>
        </w:rPr>
        <w:drawing>
          <wp:inline distT="0" distB="0" distL="0" distR="0" wp14:anchorId="04744936" wp14:editId="2529ECEF">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BA49541" w14:textId="77777777" w:rsidR="005B0D7E" w:rsidRDefault="005B0D7E" w:rsidP="005B0D7E">
      <w:pPr>
        <w:pStyle w:val="NoSpacing"/>
        <w:tabs>
          <w:tab w:val="right" w:pos="9360"/>
        </w:tabs>
        <w:spacing w:line="480" w:lineRule="auto"/>
        <w:rPr>
          <w:rFonts w:ascii="Arial" w:hAnsi="Arial" w:cs="Arial"/>
        </w:rPr>
      </w:pPr>
    </w:p>
    <w:p w14:paraId="53FEBB4C" w14:textId="77777777" w:rsidR="005B0D7E" w:rsidRDefault="005B0D7E" w:rsidP="005B0D7E">
      <w:pPr>
        <w:pStyle w:val="NoSpacing"/>
        <w:tabs>
          <w:tab w:val="right" w:pos="9360"/>
        </w:tabs>
        <w:spacing w:line="480" w:lineRule="auto"/>
        <w:rPr>
          <w:rFonts w:ascii="Arial" w:hAnsi="Arial" w:cs="Arial"/>
        </w:rPr>
      </w:pPr>
      <w:proofErr w:type="gramStart"/>
      <w:r w:rsidRPr="00A74B99">
        <w:rPr>
          <w:rFonts w:ascii="Arial" w:hAnsi="Arial" w:cs="Arial"/>
          <w:b/>
        </w:rPr>
        <w:t>Supplemental Figure 2.</w:t>
      </w:r>
      <w:proofErr w:type="gramEnd"/>
      <w:r>
        <w:rPr>
          <w:rFonts w:ascii="Arial" w:hAnsi="Arial" w:cs="Arial"/>
          <w:b/>
        </w:rPr>
        <w:t xml:space="preserve"> </w:t>
      </w:r>
      <w:r w:rsidRPr="00F81248">
        <w:rPr>
          <w:rFonts w:ascii="Arial" w:hAnsi="Arial" w:cs="Arial"/>
          <w:b/>
          <w:i/>
        </w:rPr>
        <w:t>PBRM1</w:t>
      </w:r>
      <w:r>
        <w:rPr>
          <w:rFonts w:ascii="Arial" w:hAnsi="Arial" w:cs="Arial"/>
          <w:b/>
        </w:rPr>
        <w:t xml:space="preserve"> and </w:t>
      </w:r>
      <w:r w:rsidRPr="00F81248">
        <w:rPr>
          <w:rFonts w:ascii="Arial" w:hAnsi="Arial" w:cs="Arial"/>
          <w:b/>
          <w:i/>
        </w:rPr>
        <w:t>BAP1</w:t>
      </w:r>
      <w:r>
        <w:rPr>
          <w:rFonts w:ascii="Arial" w:hAnsi="Arial" w:cs="Arial"/>
          <w:b/>
        </w:rPr>
        <w:t xml:space="preserve"> mutants in the KIRC TCGA cohort demonstrate differences in angiogenesis gene expression. </w:t>
      </w:r>
      <w:r w:rsidRPr="0030750C">
        <w:rPr>
          <w:rFonts w:ascii="Arial" w:hAnsi="Arial" w:cs="Arial"/>
        </w:rPr>
        <w:t>(</w:t>
      </w:r>
      <w:r>
        <w:rPr>
          <w:rFonts w:ascii="Arial" w:hAnsi="Arial" w:cs="Arial"/>
          <w:b/>
        </w:rPr>
        <w:t>a</w:t>
      </w:r>
      <w:r w:rsidRPr="0030750C">
        <w:rPr>
          <w:rFonts w:ascii="Arial" w:hAnsi="Arial" w:cs="Arial"/>
        </w:rPr>
        <w:t>)</w:t>
      </w:r>
      <w:r>
        <w:rPr>
          <w:rFonts w:ascii="Arial" w:hAnsi="Arial" w:cs="Arial"/>
          <w:b/>
        </w:rPr>
        <w:t xml:space="preserve"> </w:t>
      </w:r>
      <w:r w:rsidRPr="00A74B99">
        <w:rPr>
          <w:rFonts w:ascii="Arial" w:hAnsi="Arial" w:cs="Arial"/>
        </w:rPr>
        <w:t>Kaplan-</w:t>
      </w:r>
      <w:r>
        <w:rPr>
          <w:rFonts w:ascii="Arial" w:hAnsi="Arial" w:cs="Arial"/>
        </w:rPr>
        <w:t>Meier analyses demonstrating the impact of angiogenesis score on OS and (</w:t>
      </w:r>
      <w:r w:rsidRPr="00CF3085">
        <w:rPr>
          <w:rFonts w:ascii="Arial" w:hAnsi="Arial" w:cs="Arial"/>
          <w:b/>
        </w:rPr>
        <w:t>b</w:t>
      </w:r>
      <w:r>
        <w:rPr>
          <w:rFonts w:ascii="Arial" w:hAnsi="Arial" w:cs="Arial"/>
        </w:rPr>
        <w:t xml:space="preserve">) PFS in cluster 4 of COMPARZ. Censored data are indicated by vertical tick marks in the curves. All </w:t>
      </w:r>
      <w:r w:rsidRPr="0091012A">
        <w:rPr>
          <w:rFonts w:ascii="Arial" w:hAnsi="Arial" w:cs="Arial"/>
          <w:i/>
        </w:rPr>
        <w:t>P</w:t>
      </w:r>
      <w:r>
        <w:rPr>
          <w:rFonts w:ascii="Arial" w:hAnsi="Arial" w:cs="Arial"/>
        </w:rPr>
        <w:t xml:space="preserve"> values are calculated by stratified log-rank test. All HR and CI values for PFS and OS were extracted from Cox proportional hazard regression models.</w:t>
      </w:r>
      <w:r w:rsidRPr="0030750C">
        <w:rPr>
          <w:rFonts w:ascii="Arial" w:hAnsi="Arial" w:cs="Arial"/>
        </w:rPr>
        <w:t xml:space="preserve"> </w:t>
      </w:r>
      <w:r w:rsidRPr="007C708E">
        <w:rPr>
          <w:rFonts w:ascii="Arial" w:hAnsi="Arial" w:cs="Arial"/>
        </w:rPr>
        <w:t>(</w:t>
      </w:r>
      <w:r>
        <w:rPr>
          <w:rFonts w:ascii="Arial" w:hAnsi="Arial" w:cs="Arial"/>
          <w:b/>
        </w:rPr>
        <w:t>c</w:t>
      </w:r>
      <w:r w:rsidRPr="007C708E">
        <w:rPr>
          <w:rFonts w:ascii="Arial" w:hAnsi="Arial" w:cs="Arial"/>
        </w:rPr>
        <w:t>)</w:t>
      </w:r>
      <w:r>
        <w:rPr>
          <w:rFonts w:ascii="Arial" w:hAnsi="Arial" w:cs="Arial"/>
          <w:b/>
        </w:rPr>
        <w:t xml:space="preserve"> </w:t>
      </w:r>
      <w:r>
        <w:rPr>
          <w:rFonts w:ascii="Arial" w:hAnsi="Arial" w:cs="Arial"/>
        </w:rPr>
        <w:t xml:space="preserve">Demonstrates angiogenesis score by mutation status of </w:t>
      </w:r>
      <w:r w:rsidRPr="00F46F06">
        <w:rPr>
          <w:rFonts w:ascii="Arial" w:hAnsi="Arial" w:cs="Arial"/>
          <w:i/>
        </w:rPr>
        <w:t>PBRM1</w:t>
      </w:r>
      <w:r>
        <w:rPr>
          <w:rFonts w:ascii="Arial" w:hAnsi="Arial" w:cs="Arial"/>
        </w:rPr>
        <w:t xml:space="preserve"> (</w:t>
      </w:r>
      <w:r w:rsidRPr="00F46F06">
        <w:rPr>
          <w:rFonts w:ascii="Arial" w:hAnsi="Arial" w:cs="Arial"/>
          <w:i/>
        </w:rPr>
        <w:t>Left</w:t>
      </w:r>
      <w:r>
        <w:rPr>
          <w:rFonts w:ascii="Arial" w:hAnsi="Arial" w:cs="Arial"/>
        </w:rPr>
        <w:t>) and  (</w:t>
      </w:r>
      <w:r w:rsidRPr="00CF3085">
        <w:rPr>
          <w:rFonts w:ascii="Arial" w:hAnsi="Arial" w:cs="Arial"/>
          <w:b/>
        </w:rPr>
        <w:t>d</w:t>
      </w:r>
      <w:r>
        <w:rPr>
          <w:rFonts w:ascii="Arial" w:hAnsi="Arial" w:cs="Arial"/>
        </w:rPr>
        <w:t xml:space="preserve">) </w:t>
      </w:r>
      <w:r w:rsidRPr="00F46F06">
        <w:rPr>
          <w:rFonts w:ascii="Arial" w:hAnsi="Arial" w:cs="Arial"/>
          <w:i/>
        </w:rPr>
        <w:t>BAP1</w:t>
      </w:r>
      <w:r>
        <w:rPr>
          <w:rFonts w:ascii="Arial" w:hAnsi="Arial" w:cs="Arial"/>
        </w:rPr>
        <w:t xml:space="preserve"> (</w:t>
      </w:r>
      <w:r w:rsidRPr="00F46F06">
        <w:rPr>
          <w:rFonts w:ascii="Arial" w:hAnsi="Arial" w:cs="Arial"/>
          <w:i/>
        </w:rPr>
        <w:t>Right</w:t>
      </w:r>
      <w:r>
        <w:rPr>
          <w:rFonts w:ascii="Arial" w:hAnsi="Arial" w:cs="Arial"/>
        </w:rPr>
        <w:t>) in the KIRC TCAG cohort. KIRC TCGA, clear cell RCC TCGA cohort; HR, hazard ratio; PFS, progression-free survival; OS, overall-survival; CI, confidence interval.</w:t>
      </w:r>
    </w:p>
    <w:p w14:paraId="6E6446E5" w14:textId="0628DC90" w:rsidR="005B0D7E" w:rsidRPr="00D40237" w:rsidRDefault="009C1CF9" w:rsidP="005B0D7E">
      <w:pPr>
        <w:pStyle w:val="NoSpacing"/>
        <w:tabs>
          <w:tab w:val="right" w:pos="9360"/>
        </w:tabs>
        <w:spacing w:line="480" w:lineRule="auto"/>
        <w:rPr>
          <w:rFonts w:ascii="Arial" w:hAnsi="Arial" w:cs="Arial"/>
        </w:rPr>
      </w:pPr>
      <w:r w:rsidRPr="009C1CF9">
        <w:rPr>
          <w:rFonts w:ascii="Arial" w:hAnsi="Arial" w:cs="Arial"/>
        </w:rPr>
        <w:drawing>
          <wp:inline distT="0" distB="0" distL="0" distR="0" wp14:anchorId="36D484D0" wp14:editId="6AD3737D">
            <wp:extent cx="5915025" cy="7886700"/>
            <wp:effectExtent l="0" t="0" r="317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7886700"/>
                    </a:xfrm>
                    <a:prstGeom prst="rect">
                      <a:avLst/>
                    </a:prstGeom>
                    <a:noFill/>
                    <a:ln>
                      <a:noFill/>
                    </a:ln>
                  </pic:spPr>
                </pic:pic>
              </a:graphicData>
            </a:graphic>
          </wp:inline>
        </w:drawing>
      </w:r>
    </w:p>
    <w:p w14:paraId="72FDC281" w14:textId="77777777" w:rsidR="009C1CF9" w:rsidRDefault="009C1CF9" w:rsidP="005B0D7E">
      <w:pPr>
        <w:pStyle w:val="NoSpacing"/>
        <w:tabs>
          <w:tab w:val="right" w:pos="9360"/>
        </w:tabs>
        <w:spacing w:line="480" w:lineRule="auto"/>
        <w:rPr>
          <w:rFonts w:ascii="Arial" w:hAnsi="Arial" w:cs="Arial"/>
          <w:b/>
        </w:rPr>
      </w:pPr>
    </w:p>
    <w:p w14:paraId="0C1BB61E" w14:textId="7E7D2D0A" w:rsidR="009C1CF9" w:rsidRDefault="009C1CF9" w:rsidP="005B0D7E">
      <w:pPr>
        <w:pStyle w:val="NoSpacing"/>
        <w:tabs>
          <w:tab w:val="right" w:pos="9360"/>
        </w:tabs>
        <w:spacing w:line="480" w:lineRule="auto"/>
        <w:rPr>
          <w:rFonts w:ascii="Arial" w:hAnsi="Arial" w:cs="Arial"/>
          <w:b/>
        </w:rPr>
      </w:pPr>
      <w:r w:rsidRPr="009C1CF9">
        <w:rPr>
          <w:rFonts w:ascii="Arial" w:hAnsi="Arial" w:cs="Arial"/>
          <w:b/>
        </w:rPr>
        <w:drawing>
          <wp:inline distT="0" distB="0" distL="0" distR="0" wp14:anchorId="55C90F31" wp14:editId="39D110E0">
            <wp:extent cx="5915025" cy="7886700"/>
            <wp:effectExtent l="0" t="0" r="31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7886700"/>
                    </a:xfrm>
                    <a:prstGeom prst="rect">
                      <a:avLst/>
                    </a:prstGeom>
                    <a:noFill/>
                    <a:ln>
                      <a:noFill/>
                    </a:ln>
                  </pic:spPr>
                </pic:pic>
              </a:graphicData>
            </a:graphic>
          </wp:inline>
        </w:drawing>
      </w:r>
    </w:p>
    <w:p w14:paraId="1800BBCD" w14:textId="1383BCFD" w:rsidR="005B0D7E" w:rsidRDefault="005B0D7E" w:rsidP="005B0D7E">
      <w:pPr>
        <w:pStyle w:val="NoSpacing"/>
        <w:tabs>
          <w:tab w:val="right" w:pos="9360"/>
        </w:tabs>
        <w:spacing w:line="480" w:lineRule="auto"/>
        <w:rPr>
          <w:rFonts w:ascii="Arial" w:hAnsi="Arial" w:cs="Arial"/>
          <w:b/>
        </w:rPr>
      </w:pPr>
      <w:proofErr w:type="gramStart"/>
      <w:r w:rsidRPr="00A74B99">
        <w:rPr>
          <w:rFonts w:ascii="Arial" w:hAnsi="Arial" w:cs="Arial"/>
          <w:b/>
        </w:rPr>
        <w:t>Supplemental Figure 3.</w:t>
      </w:r>
      <w:proofErr w:type="gramEnd"/>
      <w:r>
        <w:rPr>
          <w:rFonts w:ascii="Arial" w:hAnsi="Arial" w:cs="Arial"/>
          <w:b/>
        </w:rPr>
        <w:t xml:space="preserve"> </w:t>
      </w:r>
      <w:proofErr w:type="gramStart"/>
      <w:r>
        <w:rPr>
          <w:rFonts w:ascii="Arial" w:hAnsi="Arial" w:cs="Arial"/>
          <w:b/>
        </w:rPr>
        <w:t>Effect of macrophage infiltration on TKI response and survival.</w:t>
      </w:r>
      <w:proofErr w:type="gramEnd"/>
      <w:r>
        <w:rPr>
          <w:rFonts w:ascii="Arial" w:hAnsi="Arial" w:cs="Arial"/>
          <w:b/>
        </w:rPr>
        <w:t xml:space="preserve"> </w:t>
      </w:r>
      <w:r>
        <w:rPr>
          <w:rFonts w:ascii="Arial" w:hAnsi="Arial" w:cs="Arial"/>
          <w:i/>
        </w:rPr>
        <w:t xml:space="preserve"> </w:t>
      </w:r>
      <w:r w:rsidRPr="00D73228">
        <w:rPr>
          <w:rFonts w:ascii="Arial" w:hAnsi="Arial" w:cs="Arial"/>
        </w:rPr>
        <w:t>(</w:t>
      </w:r>
      <w:r w:rsidRPr="00D73228">
        <w:rPr>
          <w:rFonts w:ascii="Arial" w:hAnsi="Arial" w:cs="Arial"/>
          <w:b/>
        </w:rPr>
        <w:t>a</w:t>
      </w:r>
      <w:r w:rsidRPr="00D73228">
        <w:rPr>
          <w:rFonts w:ascii="Arial" w:hAnsi="Arial" w:cs="Arial"/>
        </w:rPr>
        <w:t>)</w:t>
      </w:r>
      <w:r>
        <w:rPr>
          <w:rFonts w:ascii="Arial" w:hAnsi="Arial" w:cs="Arial"/>
        </w:rPr>
        <w:t xml:space="preserve"> Demonstrates the GSEA enrichment scores of inflammatory (</w:t>
      </w:r>
      <w:r>
        <w:rPr>
          <w:rFonts w:ascii="Arial" w:hAnsi="Arial" w:cs="Arial"/>
          <w:i/>
        </w:rPr>
        <w:t>Left</w:t>
      </w:r>
      <w:r>
        <w:rPr>
          <w:rFonts w:ascii="Arial" w:hAnsi="Arial" w:cs="Arial"/>
        </w:rPr>
        <w:t>) and IFN-</w:t>
      </w:r>
      <w:r w:rsidRPr="00263262">
        <w:rPr>
          <w:rFonts w:ascii="Arial" w:hAnsi="Arial" w:cs="Arial"/>
          <w:color w:val="000000"/>
        </w:rPr>
        <w:t>γ</w:t>
      </w:r>
      <w:r>
        <w:rPr>
          <w:rFonts w:ascii="Arial" w:hAnsi="Arial" w:cs="Arial"/>
        </w:rPr>
        <w:t xml:space="preserve"> (</w:t>
      </w:r>
      <w:r w:rsidRPr="003F4EDC">
        <w:rPr>
          <w:rFonts w:ascii="Arial" w:hAnsi="Arial" w:cs="Arial"/>
          <w:i/>
        </w:rPr>
        <w:t>Right</w:t>
      </w:r>
      <w:r>
        <w:rPr>
          <w:rFonts w:ascii="Arial" w:hAnsi="Arial" w:cs="Arial"/>
        </w:rPr>
        <w:t>) pathways among clusters 4 compared to clusters 1-3.</w:t>
      </w:r>
      <w:r w:rsidRPr="00E817C9">
        <w:rPr>
          <w:rFonts w:ascii="Arial" w:hAnsi="Arial" w:cs="Arial"/>
        </w:rPr>
        <w:t xml:space="preserve"> (</w:t>
      </w:r>
      <w:r>
        <w:rPr>
          <w:rFonts w:ascii="Arial" w:hAnsi="Arial" w:cs="Arial"/>
          <w:b/>
        </w:rPr>
        <w:t>b</w:t>
      </w:r>
      <w:r w:rsidRPr="00E817C9">
        <w:rPr>
          <w:rFonts w:ascii="Arial" w:hAnsi="Arial" w:cs="Arial"/>
        </w:rPr>
        <w:t xml:space="preserve">) </w:t>
      </w:r>
      <w:r>
        <w:rPr>
          <w:rFonts w:ascii="Arial" w:hAnsi="Arial" w:cs="Arial"/>
        </w:rPr>
        <w:t xml:space="preserve">Demonstrates </w:t>
      </w:r>
      <w:proofErr w:type="gramStart"/>
      <w:r>
        <w:rPr>
          <w:rFonts w:ascii="Arial" w:hAnsi="Arial" w:cs="Arial"/>
        </w:rPr>
        <w:t>GSEA  enrichment</w:t>
      </w:r>
      <w:proofErr w:type="gramEnd"/>
      <w:r>
        <w:rPr>
          <w:rFonts w:ascii="Arial" w:hAnsi="Arial" w:cs="Arial"/>
        </w:rPr>
        <w:t xml:space="preserve"> score of macrophage genes in cluster 4 compared to clusters 1-3. (</w:t>
      </w:r>
      <w:r>
        <w:rPr>
          <w:rFonts w:ascii="Arial" w:hAnsi="Arial" w:cs="Arial"/>
          <w:b/>
        </w:rPr>
        <w:t>c</w:t>
      </w:r>
      <w:r w:rsidRPr="00E817C9">
        <w:rPr>
          <w:rFonts w:ascii="Arial" w:hAnsi="Arial" w:cs="Arial"/>
        </w:rPr>
        <w:t>)</w:t>
      </w:r>
      <w:r>
        <w:rPr>
          <w:rFonts w:ascii="Arial" w:hAnsi="Arial" w:cs="Arial"/>
        </w:rPr>
        <w:t xml:space="preserve"> DEG volcano plot of cluster 4 versus clusters 1-3 with significantly upregulated genes involved in immune (blue) and macrophage (red) programs highlighted and the rest of genes (gray). </w:t>
      </w:r>
      <w:r w:rsidRPr="00B10264">
        <w:rPr>
          <w:rFonts w:ascii="Arial" w:hAnsi="Arial" w:cs="Arial"/>
        </w:rPr>
        <w:t>(</w:t>
      </w:r>
      <w:r>
        <w:rPr>
          <w:rFonts w:ascii="Arial" w:hAnsi="Arial" w:cs="Arial"/>
          <w:b/>
        </w:rPr>
        <w:t>d</w:t>
      </w:r>
      <w:r w:rsidRPr="00B10264">
        <w:rPr>
          <w:rFonts w:ascii="Arial" w:hAnsi="Arial" w:cs="Arial"/>
        </w:rPr>
        <w:t>)</w:t>
      </w:r>
      <w:r>
        <w:rPr>
          <w:rFonts w:ascii="Arial" w:hAnsi="Arial" w:cs="Arial"/>
          <w:b/>
        </w:rPr>
        <w:t xml:space="preserve"> </w:t>
      </w:r>
      <w:r>
        <w:rPr>
          <w:rFonts w:ascii="Arial" w:hAnsi="Arial" w:cs="Arial"/>
        </w:rPr>
        <w:t>Demonstrates the proportion of PD-L1 positive macrophages (CD68) by IHC in cluster 4 compared to clusters 1-3.</w:t>
      </w:r>
      <w:r w:rsidR="004311CF">
        <w:rPr>
          <w:rFonts w:ascii="Arial" w:hAnsi="Arial" w:cs="Arial"/>
        </w:rPr>
        <w:t xml:space="preserve"> </w:t>
      </w:r>
      <w:r w:rsidR="004311CF">
        <w:rPr>
          <w:rFonts w:ascii="Arial" w:hAnsi="Arial" w:cs="Arial"/>
        </w:rPr>
        <w:t>(</w:t>
      </w:r>
      <w:r w:rsidR="004311CF">
        <w:rPr>
          <w:rFonts w:ascii="Arial" w:hAnsi="Arial" w:cs="Arial"/>
          <w:b/>
        </w:rPr>
        <w:t>e</w:t>
      </w:r>
      <w:r w:rsidR="004311CF">
        <w:rPr>
          <w:rFonts w:ascii="Arial" w:hAnsi="Arial" w:cs="Arial"/>
        </w:rPr>
        <w:t xml:space="preserve">) Demonstrates difference in RECIST </w:t>
      </w:r>
      <w:proofErr w:type="gramStart"/>
      <w:r w:rsidR="004311CF">
        <w:rPr>
          <w:rFonts w:ascii="Arial" w:hAnsi="Arial" w:cs="Arial"/>
        </w:rPr>
        <w:t>1.0  objective</w:t>
      </w:r>
      <w:proofErr w:type="gramEnd"/>
      <w:r w:rsidR="004311CF">
        <w:rPr>
          <w:rFonts w:ascii="Arial" w:hAnsi="Arial" w:cs="Arial"/>
        </w:rPr>
        <w:t xml:space="preserve"> response by macrophage score. (</w:t>
      </w:r>
      <w:r w:rsidR="004311CF">
        <w:rPr>
          <w:rFonts w:ascii="Arial" w:hAnsi="Arial" w:cs="Arial"/>
          <w:b/>
        </w:rPr>
        <w:t>f</w:t>
      </w:r>
      <w:r w:rsidR="004311CF">
        <w:rPr>
          <w:rFonts w:ascii="Arial" w:hAnsi="Arial" w:cs="Arial"/>
        </w:rPr>
        <w:t xml:space="preserve">) </w:t>
      </w:r>
      <w:r w:rsidR="004311CF" w:rsidRPr="00A74B99">
        <w:rPr>
          <w:rFonts w:ascii="Arial" w:hAnsi="Arial" w:cs="Arial"/>
        </w:rPr>
        <w:t>Kaplan-</w:t>
      </w:r>
      <w:r w:rsidR="004311CF">
        <w:rPr>
          <w:rFonts w:ascii="Arial" w:hAnsi="Arial" w:cs="Arial"/>
        </w:rPr>
        <w:t xml:space="preserve">Meier analyses demonstrating the impact of macrophage score on PFS. </w:t>
      </w:r>
      <w:r>
        <w:rPr>
          <w:rFonts w:ascii="Arial" w:hAnsi="Arial" w:cs="Arial"/>
        </w:rPr>
        <w:t>(</w:t>
      </w:r>
      <w:r w:rsidR="004311CF">
        <w:rPr>
          <w:rFonts w:ascii="Arial" w:hAnsi="Arial" w:cs="Arial"/>
          <w:b/>
        </w:rPr>
        <w:t>g</w:t>
      </w:r>
      <w:r>
        <w:rPr>
          <w:rFonts w:ascii="Arial" w:hAnsi="Arial" w:cs="Arial"/>
        </w:rPr>
        <w:t xml:space="preserve">) </w:t>
      </w:r>
      <w:r w:rsidRPr="00A74B99">
        <w:rPr>
          <w:rFonts w:ascii="Arial" w:hAnsi="Arial" w:cs="Arial"/>
        </w:rPr>
        <w:t>Kaplan-</w:t>
      </w:r>
      <w:r>
        <w:rPr>
          <w:rFonts w:ascii="Arial" w:hAnsi="Arial" w:cs="Arial"/>
        </w:rPr>
        <w:t xml:space="preserve">Meier analyses demonstrating the impact of type </w:t>
      </w:r>
      <w:proofErr w:type="gramStart"/>
      <w:r>
        <w:rPr>
          <w:rFonts w:ascii="Arial" w:hAnsi="Arial" w:cs="Arial"/>
        </w:rPr>
        <w:t>2 macrophage</w:t>
      </w:r>
      <w:proofErr w:type="gramEnd"/>
      <w:r>
        <w:rPr>
          <w:rFonts w:ascii="Arial" w:hAnsi="Arial" w:cs="Arial"/>
        </w:rPr>
        <w:t xml:space="preserve"> infiltration on OS and PFS. (</w:t>
      </w:r>
      <w:r w:rsidR="004311CF">
        <w:rPr>
          <w:rFonts w:ascii="Arial" w:hAnsi="Arial" w:cs="Arial"/>
          <w:b/>
        </w:rPr>
        <w:t>h</w:t>
      </w:r>
      <w:r>
        <w:rPr>
          <w:rFonts w:ascii="Arial" w:hAnsi="Arial" w:cs="Arial"/>
        </w:rPr>
        <w:t xml:space="preserve">) </w:t>
      </w:r>
      <w:r w:rsidRPr="00A74B99">
        <w:rPr>
          <w:rFonts w:ascii="Arial" w:hAnsi="Arial" w:cs="Arial"/>
        </w:rPr>
        <w:t>Kaplan-</w:t>
      </w:r>
      <w:r>
        <w:rPr>
          <w:rFonts w:ascii="Arial" w:hAnsi="Arial" w:cs="Arial"/>
        </w:rPr>
        <w:t>Meier analyses demonstrating the impact of type 1 and 2 macrophage infiltration on OS ad PFS</w:t>
      </w:r>
      <w:r w:rsidR="004311CF">
        <w:rPr>
          <w:rFonts w:ascii="Arial" w:hAnsi="Arial" w:cs="Arial"/>
        </w:rPr>
        <w:t xml:space="preserve">. </w:t>
      </w:r>
      <w:r>
        <w:rPr>
          <w:rFonts w:ascii="Arial" w:hAnsi="Arial" w:cs="Arial"/>
        </w:rPr>
        <w:t>(</w:t>
      </w:r>
      <w:proofErr w:type="spellStart"/>
      <w:r w:rsidRPr="00BA3807">
        <w:rPr>
          <w:rFonts w:ascii="Arial" w:hAnsi="Arial" w:cs="Arial"/>
          <w:b/>
        </w:rPr>
        <w:t>i</w:t>
      </w:r>
      <w:proofErr w:type="spellEnd"/>
      <w:r>
        <w:rPr>
          <w:rFonts w:ascii="Arial" w:hAnsi="Arial" w:cs="Arial"/>
        </w:rPr>
        <w:t>) Demonstrates difference in median macrophage score by IMDC risk grouping. IHC, immunohistochemistry, OS, overall survival; PFS, progression-free survival; DEG, differentially expressed genes;</w:t>
      </w:r>
      <w:r w:rsidRPr="003D7C1C">
        <w:rPr>
          <w:rFonts w:ascii="Arial" w:hAnsi="Arial" w:cs="Arial"/>
        </w:rPr>
        <w:t xml:space="preserve"> </w:t>
      </w:r>
      <w:r>
        <w:rPr>
          <w:rFonts w:ascii="Arial" w:hAnsi="Arial" w:cs="Arial"/>
        </w:rPr>
        <w:t>HR, hazard ratio; CI, confidence interval; IMDC, International Renal Cell Carcinoma Database Consortium. All HR and CI values for PFS and OS were extracted from Cox proportional hazard regression models. Sample number per group indicated below each graph</w:t>
      </w:r>
      <w:r>
        <w:rPr>
          <w:rFonts w:ascii="Arial" w:hAnsi="Arial" w:cs="Arial"/>
          <w:b/>
        </w:rPr>
        <w:t xml:space="preserve">. </w:t>
      </w:r>
      <w:r>
        <w:rPr>
          <w:rFonts w:ascii="Arial" w:hAnsi="Arial" w:cs="Arial"/>
        </w:rPr>
        <w:t>RECIST 1.0 objective response is categorized as: PD, progressive disease; CR, complete response; PR, partial response; or SD, stable disease.</w:t>
      </w:r>
    </w:p>
    <w:p w14:paraId="6F315DA5" w14:textId="77777777" w:rsidR="005B0D7E" w:rsidRDefault="005B0D7E" w:rsidP="005B0D7E">
      <w:pPr>
        <w:pStyle w:val="NoSpacing"/>
        <w:tabs>
          <w:tab w:val="right" w:pos="9360"/>
        </w:tabs>
        <w:spacing w:line="480" w:lineRule="auto"/>
        <w:rPr>
          <w:rFonts w:ascii="Arial" w:hAnsi="Arial" w:cs="Arial"/>
          <w:b/>
        </w:rPr>
      </w:pPr>
    </w:p>
    <w:p w14:paraId="0A961801" w14:textId="7731A430" w:rsidR="009C1CF9" w:rsidRDefault="009C1CF9" w:rsidP="005B0D7E">
      <w:pPr>
        <w:pStyle w:val="NoSpacing"/>
        <w:tabs>
          <w:tab w:val="right" w:pos="9360"/>
        </w:tabs>
        <w:spacing w:line="480" w:lineRule="auto"/>
        <w:rPr>
          <w:rFonts w:ascii="Arial" w:hAnsi="Arial" w:cs="Arial"/>
          <w:b/>
        </w:rPr>
      </w:pPr>
      <w:r w:rsidRPr="009C1CF9">
        <w:rPr>
          <w:rFonts w:ascii="Arial" w:hAnsi="Arial" w:cs="Arial"/>
          <w:b/>
        </w:rPr>
        <w:drawing>
          <wp:inline distT="0" distB="0" distL="0" distR="0" wp14:anchorId="03E3E348" wp14:editId="265183A3">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C8502AD" w14:textId="57A42121" w:rsidR="009C1CF9" w:rsidRDefault="009C1CF9" w:rsidP="005B0D7E">
      <w:pPr>
        <w:pStyle w:val="NoSpacing"/>
        <w:tabs>
          <w:tab w:val="right" w:pos="9360"/>
        </w:tabs>
        <w:spacing w:line="480" w:lineRule="auto"/>
        <w:rPr>
          <w:rFonts w:ascii="Arial" w:hAnsi="Arial" w:cs="Arial"/>
          <w:b/>
        </w:rPr>
      </w:pPr>
      <w:r w:rsidRPr="009C1CF9">
        <w:rPr>
          <w:rFonts w:ascii="Arial" w:hAnsi="Arial" w:cs="Arial"/>
          <w:b/>
        </w:rPr>
        <w:drawing>
          <wp:inline distT="0" distB="0" distL="0" distR="0" wp14:anchorId="63425D90" wp14:editId="55A1120D">
            <wp:extent cx="5915025" cy="7886700"/>
            <wp:effectExtent l="0" t="0" r="317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7886700"/>
                    </a:xfrm>
                    <a:prstGeom prst="rect">
                      <a:avLst/>
                    </a:prstGeom>
                    <a:noFill/>
                    <a:ln>
                      <a:noFill/>
                    </a:ln>
                  </pic:spPr>
                </pic:pic>
              </a:graphicData>
            </a:graphic>
          </wp:inline>
        </w:drawing>
      </w:r>
    </w:p>
    <w:p w14:paraId="53E2694B" w14:textId="56339142" w:rsidR="005B0D7E" w:rsidRDefault="005B0D7E" w:rsidP="005B0D7E">
      <w:pPr>
        <w:pStyle w:val="NoSpacing"/>
        <w:tabs>
          <w:tab w:val="right" w:pos="9360"/>
        </w:tabs>
        <w:spacing w:line="480" w:lineRule="auto"/>
        <w:rPr>
          <w:rFonts w:ascii="Arial" w:hAnsi="Arial" w:cs="Arial"/>
          <w:b/>
        </w:rPr>
      </w:pPr>
      <w:proofErr w:type="gramStart"/>
      <w:r w:rsidRPr="00A74B99">
        <w:rPr>
          <w:rFonts w:ascii="Arial" w:hAnsi="Arial" w:cs="Arial"/>
          <w:b/>
        </w:rPr>
        <w:t>Supplemental Figure 4.</w:t>
      </w:r>
      <w:proofErr w:type="gramEnd"/>
      <w:r>
        <w:rPr>
          <w:rFonts w:ascii="Arial" w:hAnsi="Arial" w:cs="Arial"/>
          <w:b/>
        </w:rPr>
        <w:t xml:space="preserve"> Association of Angio and Macrophage groups with IMDC and objective response, validation in KIRC TCGA and CSF1R expression among clusters. </w:t>
      </w:r>
      <w:r w:rsidR="005F03FB">
        <w:rPr>
          <w:rFonts w:ascii="Arial" w:hAnsi="Arial" w:cs="Arial"/>
          <w:b/>
        </w:rPr>
        <w:t>(a</w:t>
      </w:r>
      <w:r w:rsidR="005F03FB">
        <w:rPr>
          <w:rFonts w:ascii="Arial" w:hAnsi="Arial" w:cs="Arial"/>
        </w:rPr>
        <w:t>) Demonstrates gating strategy utilized to assess total immune and macrophage infiltration</w:t>
      </w:r>
      <w:r w:rsidR="005F03FB">
        <w:rPr>
          <w:rFonts w:ascii="Arial" w:hAnsi="Arial" w:cs="Arial"/>
        </w:rPr>
        <w:t>.</w:t>
      </w:r>
      <w:r w:rsidR="005F03FB">
        <w:rPr>
          <w:rFonts w:ascii="Arial" w:hAnsi="Arial" w:cs="Arial"/>
        </w:rPr>
        <w:t xml:space="preserve"> </w:t>
      </w:r>
      <w:r w:rsidRPr="00E817C9">
        <w:rPr>
          <w:rFonts w:ascii="Arial" w:hAnsi="Arial" w:cs="Arial"/>
        </w:rPr>
        <w:t>(</w:t>
      </w:r>
      <w:r w:rsidR="005F03FB">
        <w:rPr>
          <w:rFonts w:ascii="Arial" w:hAnsi="Arial" w:cs="Arial"/>
          <w:b/>
        </w:rPr>
        <w:t>b</w:t>
      </w:r>
      <w:r w:rsidRPr="00E817C9">
        <w:rPr>
          <w:rFonts w:ascii="Arial" w:hAnsi="Arial" w:cs="Arial"/>
        </w:rPr>
        <w:t>)</w:t>
      </w:r>
      <w:r>
        <w:rPr>
          <w:rFonts w:ascii="Arial" w:hAnsi="Arial" w:cs="Arial"/>
          <w:b/>
        </w:rPr>
        <w:t xml:space="preserve"> </w:t>
      </w:r>
      <w:r>
        <w:rPr>
          <w:rFonts w:ascii="Arial" w:hAnsi="Arial" w:cs="Arial"/>
        </w:rPr>
        <w:t xml:space="preserve">Distribution of </w:t>
      </w:r>
      <w:proofErr w:type="spellStart"/>
      <w:r>
        <w:rPr>
          <w:rFonts w:ascii="Arial" w:hAnsi="Arial" w:cs="Arial"/>
        </w:rPr>
        <w:t>Angiogenesis</w:t>
      </w:r>
      <w:r w:rsidRPr="00F843E4">
        <w:rPr>
          <w:rFonts w:ascii="Arial" w:hAnsi="Arial" w:cs="Arial"/>
          <w:vertAlign w:val="superscript"/>
        </w:rPr>
        <w:t>high</w:t>
      </w:r>
      <w:proofErr w:type="spellEnd"/>
      <w:r w:rsidRPr="00F843E4">
        <w:rPr>
          <w:rFonts w:ascii="Arial" w:hAnsi="Arial" w:cs="Arial"/>
          <w:vertAlign w:val="superscript"/>
        </w:rPr>
        <w:t>/</w:t>
      </w:r>
      <w:proofErr w:type="spellStart"/>
      <w:r w:rsidRPr="00F843E4">
        <w:rPr>
          <w:rFonts w:ascii="Arial" w:hAnsi="Arial" w:cs="Arial"/>
          <w:vertAlign w:val="superscript"/>
        </w:rPr>
        <w:t>low</w:t>
      </w:r>
      <w:r>
        <w:rPr>
          <w:rFonts w:ascii="Arial" w:hAnsi="Arial" w:cs="Arial"/>
        </w:rPr>
        <w:t>Macrophage</w:t>
      </w:r>
      <w:r w:rsidRPr="00F06350">
        <w:rPr>
          <w:rFonts w:ascii="Arial" w:hAnsi="Arial" w:cs="Arial"/>
          <w:vertAlign w:val="superscript"/>
        </w:rPr>
        <w:t>high</w:t>
      </w:r>
      <w:proofErr w:type="spellEnd"/>
      <w:r>
        <w:rPr>
          <w:rFonts w:ascii="Arial" w:hAnsi="Arial" w:cs="Arial"/>
          <w:vertAlign w:val="superscript"/>
        </w:rPr>
        <w:t>/</w:t>
      </w:r>
      <w:r w:rsidRPr="0080349B">
        <w:rPr>
          <w:rFonts w:ascii="Arial" w:hAnsi="Arial" w:cs="Arial"/>
          <w:vertAlign w:val="superscript"/>
        </w:rPr>
        <w:t>low</w:t>
      </w:r>
      <w:r>
        <w:rPr>
          <w:rFonts w:ascii="Arial" w:hAnsi="Arial" w:cs="Arial"/>
        </w:rPr>
        <w:t xml:space="preserve"> </w:t>
      </w:r>
      <w:r w:rsidRPr="0080349B">
        <w:rPr>
          <w:rFonts w:ascii="Arial" w:hAnsi="Arial" w:cs="Arial"/>
        </w:rPr>
        <w:t>gene</w:t>
      </w:r>
      <w:r w:rsidRPr="00FD2BB6">
        <w:rPr>
          <w:rFonts w:ascii="Arial" w:hAnsi="Arial" w:cs="Arial"/>
        </w:rPr>
        <w:t xml:space="preserve"> </w:t>
      </w:r>
      <w:r>
        <w:rPr>
          <w:rFonts w:ascii="Arial" w:hAnsi="Arial" w:cs="Arial"/>
        </w:rPr>
        <w:t xml:space="preserve">expression, relative to the median, within each original cluster. </w:t>
      </w:r>
      <w:r w:rsidRPr="00E817C9">
        <w:rPr>
          <w:rFonts w:ascii="Arial" w:hAnsi="Arial" w:cs="Arial"/>
        </w:rPr>
        <w:t>(</w:t>
      </w:r>
      <w:r w:rsidR="005F03FB">
        <w:rPr>
          <w:rFonts w:ascii="Arial" w:hAnsi="Arial" w:cs="Arial"/>
          <w:b/>
        </w:rPr>
        <w:t>c</w:t>
      </w:r>
      <w:r w:rsidRPr="00E817C9">
        <w:rPr>
          <w:rFonts w:ascii="Arial" w:hAnsi="Arial" w:cs="Arial"/>
        </w:rPr>
        <w:t xml:space="preserve">) </w:t>
      </w:r>
      <w:r>
        <w:rPr>
          <w:rFonts w:ascii="Arial" w:hAnsi="Arial" w:cs="Arial"/>
        </w:rPr>
        <w:t xml:space="preserve">Distribution of </w:t>
      </w:r>
      <w:proofErr w:type="spellStart"/>
      <w:r>
        <w:rPr>
          <w:rFonts w:ascii="Arial" w:hAnsi="Arial" w:cs="Arial"/>
        </w:rPr>
        <w:t>Angiogenesis</w:t>
      </w:r>
      <w:r w:rsidRPr="00F843E4">
        <w:rPr>
          <w:rFonts w:ascii="Arial" w:hAnsi="Arial" w:cs="Arial"/>
          <w:vertAlign w:val="superscript"/>
        </w:rPr>
        <w:t>high</w:t>
      </w:r>
      <w:proofErr w:type="spellEnd"/>
      <w:r w:rsidRPr="00F843E4">
        <w:rPr>
          <w:rFonts w:ascii="Arial" w:hAnsi="Arial" w:cs="Arial"/>
          <w:vertAlign w:val="superscript"/>
        </w:rPr>
        <w:t>/</w:t>
      </w:r>
      <w:proofErr w:type="spellStart"/>
      <w:r w:rsidRPr="00F843E4">
        <w:rPr>
          <w:rFonts w:ascii="Arial" w:hAnsi="Arial" w:cs="Arial"/>
          <w:vertAlign w:val="superscript"/>
        </w:rPr>
        <w:t>low</w:t>
      </w:r>
      <w:r>
        <w:rPr>
          <w:rFonts w:ascii="Arial" w:hAnsi="Arial" w:cs="Arial"/>
        </w:rPr>
        <w:t>Macrophage</w:t>
      </w:r>
      <w:r w:rsidRPr="00F06350">
        <w:rPr>
          <w:rFonts w:ascii="Arial" w:hAnsi="Arial" w:cs="Arial"/>
          <w:vertAlign w:val="superscript"/>
        </w:rPr>
        <w:t>high</w:t>
      </w:r>
      <w:proofErr w:type="spellEnd"/>
      <w:r>
        <w:rPr>
          <w:rFonts w:ascii="Arial" w:hAnsi="Arial" w:cs="Arial"/>
          <w:vertAlign w:val="superscript"/>
        </w:rPr>
        <w:t xml:space="preserve">/low </w:t>
      </w:r>
      <w:r w:rsidRPr="00FD2BB6">
        <w:rPr>
          <w:rFonts w:ascii="Arial" w:hAnsi="Arial" w:cs="Arial"/>
        </w:rPr>
        <w:t xml:space="preserve">gene </w:t>
      </w:r>
      <w:r>
        <w:rPr>
          <w:rFonts w:ascii="Arial" w:hAnsi="Arial" w:cs="Arial"/>
        </w:rPr>
        <w:t>expression, relative to the median, within IMDC risk group. (</w:t>
      </w:r>
      <w:r>
        <w:rPr>
          <w:rFonts w:ascii="Arial" w:hAnsi="Arial" w:cs="Arial"/>
          <w:b/>
        </w:rPr>
        <w:t>d</w:t>
      </w:r>
      <w:r>
        <w:rPr>
          <w:rFonts w:ascii="Arial" w:hAnsi="Arial" w:cs="Arial"/>
        </w:rPr>
        <w:t>) Demonstrates differences in CSF1R expression by Angio-Macrophage group. (</w:t>
      </w:r>
      <w:r w:rsidRPr="0051188C">
        <w:rPr>
          <w:rFonts w:ascii="Arial" w:hAnsi="Arial" w:cs="Arial"/>
          <w:b/>
        </w:rPr>
        <w:t>e</w:t>
      </w:r>
      <w:r>
        <w:rPr>
          <w:rFonts w:ascii="Arial" w:hAnsi="Arial" w:cs="Arial"/>
        </w:rPr>
        <w:t xml:space="preserve">) </w:t>
      </w:r>
      <w:r w:rsidRPr="00A74B99">
        <w:rPr>
          <w:rFonts w:ascii="Arial" w:hAnsi="Arial" w:cs="Arial"/>
        </w:rPr>
        <w:t>Kaplan-</w:t>
      </w:r>
      <w:r>
        <w:rPr>
          <w:rFonts w:ascii="Arial" w:hAnsi="Arial" w:cs="Arial"/>
        </w:rPr>
        <w:t>Meier of Angiogenesis score (high vs low) and (</w:t>
      </w:r>
      <w:r w:rsidRPr="0051188C">
        <w:rPr>
          <w:rFonts w:ascii="Arial" w:hAnsi="Arial" w:cs="Arial"/>
          <w:b/>
        </w:rPr>
        <w:t>f</w:t>
      </w:r>
      <w:r>
        <w:rPr>
          <w:rFonts w:ascii="Arial" w:hAnsi="Arial" w:cs="Arial"/>
        </w:rPr>
        <w:t>) Macrophage score (high vs low) (</w:t>
      </w:r>
      <w:r w:rsidRPr="00AC0BE6">
        <w:rPr>
          <w:rFonts w:ascii="Arial" w:hAnsi="Arial" w:cs="Arial"/>
          <w:b/>
        </w:rPr>
        <w:t>f</w:t>
      </w:r>
      <w:r>
        <w:rPr>
          <w:rFonts w:ascii="Arial" w:hAnsi="Arial" w:cs="Arial"/>
        </w:rPr>
        <w:t>) in relation to cancer-specific survival (CSS) in the KIRC TCGA cohort. CSF1R, colony-stimulating factor-1 receptor; IMDC, International Renal Cell Carcinoma Database Consortium; KIRC TCGA cohort, clear cell RCC TCGA cohort. Sample number per group indicated below each graph.</w:t>
      </w:r>
    </w:p>
    <w:p w14:paraId="2FEE40E2" w14:textId="175D292C" w:rsidR="005B0D7E" w:rsidRDefault="009C1CF9" w:rsidP="005B0D7E">
      <w:pPr>
        <w:pStyle w:val="NoSpacing"/>
        <w:tabs>
          <w:tab w:val="right" w:pos="9360"/>
        </w:tabs>
        <w:spacing w:line="480" w:lineRule="auto"/>
        <w:rPr>
          <w:rFonts w:ascii="Arial" w:hAnsi="Arial" w:cs="Arial"/>
          <w:b/>
        </w:rPr>
      </w:pPr>
      <w:r w:rsidRPr="009C1CF9">
        <w:rPr>
          <w:rFonts w:ascii="Arial" w:hAnsi="Arial" w:cs="Arial"/>
          <w:b/>
        </w:rPr>
        <w:drawing>
          <wp:inline distT="0" distB="0" distL="0" distR="0" wp14:anchorId="1306B3B0" wp14:editId="35459AC5">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bookmarkStart w:id="0" w:name="_GoBack"/>
      <w:bookmarkEnd w:id="0"/>
    </w:p>
    <w:p w14:paraId="623BE163" w14:textId="77777777" w:rsidR="005B0D7E" w:rsidRPr="00497A45" w:rsidRDefault="005B0D7E" w:rsidP="005B0D7E">
      <w:pPr>
        <w:pStyle w:val="NoSpacing"/>
        <w:tabs>
          <w:tab w:val="right" w:pos="9360"/>
        </w:tabs>
        <w:spacing w:line="480" w:lineRule="auto"/>
        <w:rPr>
          <w:rFonts w:ascii="Arial" w:hAnsi="Arial" w:cs="Arial"/>
        </w:rPr>
      </w:pPr>
      <w:proofErr w:type="gramStart"/>
      <w:r>
        <w:rPr>
          <w:rFonts w:ascii="Arial" w:hAnsi="Arial" w:cs="Arial"/>
          <w:b/>
        </w:rPr>
        <w:t>Supplemental Figure 5</w:t>
      </w:r>
      <w:r w:rsidRPr="00A74B99">
        <w:rPr>
          <w:rFonts w:ascii="Arial" w:hAnsi="Arial" w:cs="Arial"/>
          <w:b/>
        </w:rPr>
        <w:t>.</w:t>
      </w:r>
      <w:proofErr w:type="gramEnd"/>
      <w:r w:rsidRPr="00A74B99">
        <w:rPr>
          <w:rFonts w:ascii="Arial" w:hAnsi="Arial" w:cs="Arial"/>
          <w:b/>
        </w:rPr>
        <w:t xml:space="preserve"> </w:t>
      </w:r>
      <w:r>
        <w:rPr>
          <w:rFonts w:ascii="Arial" w:hAnsi="Arial" w:cs="Arial"/>
          <w:b/>
        </w:rPr>
        <w:t>Angiogenesis and Macrophage score differences by type of TKI treatment.</w:t>
      </w:r>
      <w:r w:rsidRPr="00E817C9">
        <w:rPr>
          <w:rFonts w:ascii="Arial" w:hAnsi="Arial" w:cs="Arial"/>
        </w:rPr>
        <w:t xml:space="preserve"> (</w:t>
      </w:r>
      <w:r>
        <w:rPr>
          <w:rFonts w:ascii="Arial" w:hAnsi="Arial" w:cs="Arial"/>
          <w:b/>
        </w:rPr>
        <w:t>a</w:t>
      </w:r>
      <w:r w:rsidRPr="00E817C9">
        <w:rPr>
          <w:rFonts w:ascii="Arial" w:hAnsi="Arial" w:cs="Arial"/>
        </w:rPr>
        <w:t xml:space="preserve">) </w:t>
      </w:r>
      <w:r w:rsidRPr="00A74B99">
        <w:rPr>
          <w:rFonts w:ascii="Arial" w:hAnsi="Arial" w:cs="Arial"/>
        </w:rPr>
        <w:t>Kaplan-</w:t>
      </w:r>
      <w:r>
        <w:rPr>
          <w:rFonts w:ascii="Arial" w:hAnsi="Arial" w:cs="Arial"/>
        </w:rPr>
        <w:t>Meier analyses demonstrating the impact of angiogenesis score (Angio</w:t>
      </w:r>
      <w:r w:rsidRPr="00F06350">
        <w:rPr>
          <w:rFonts w:ascii="Arial" w:hAnsi="Arial" w:cs="Arial"/>
          <w:vertAlign w:val="superscript"/>
        </w:rPr>
        <w:t>high</w:t>
      </w:r>
      <w:r>
        <w:rPr>
          <w:rFonts w:ascii="Arial" w:hAnsi="Arial" w:cs="Arial"/>
        </w:rPr>
        <w:t xml:space="preserve"> vs Angio</w:t>
      </w:r>
      <w:r w:rsidRPr="00F06350">
        <w:rPr>
          <w:rFonts w:ascii="Arial" w:hAnsi="Arial" w:cs="Arial"/>
          <w:vertAlign w:val="superscript"/>
        </w:rPr>
        <w:t>low</w:t>
      </w:r>
      <w:r>
        <w:rPr>
          <w:rFonts w:ascii="Arial" w:hAnsi="Arial" w:cs="Arial"/>
        </w:rPr>
        <w:t>, based on median score) on OS among patients treated with sunitinib (</w:t>
      </w:r>
      <w:r>
        <w:rPr>
          <w:rFonts w:ascii="Arial" w:hAnsi="Arial" w:cs="Arial"/>
          <w:i/>
        </w:rPr>
        <w:t>l</w:t>
      </w:r>
      <w:r w:rsidRPr="00316252">
        <w:rPr>
          <w:rFonts w:ascii="Arial" w:hAnsi="Arial" w:cs="Arial"/>
          <w:i/>
        </w:rPr>
        <w:t>eft</w:t>
      </w:r>
      <w:r>
        <w:rPr>
          <w:rFonts w:ascii="Arial" w:hAnsi="Arial" w:cs="Arial"/>
        </w:rPr>
        <w:t>) and pazopanib (</w:t>
      </w:r>
      <w:r>
        <w:rPr>
          <w:rFonts w:ascii="Arial" w:hAnsi="Arial" w:cs="Arial"/>
          <w:i/>
        </w:rPr>
        <w:t>r</w:t>
      </w:r>
      <w:r w:rsidRPr="00316252">
        <w:rPr>
          <w:rFonts w:ascii="Arial" w:hAnsi="Arial" w:cs="Arial"/>
          <w:i/>
        </w:rPr>
        <w:t>ight</w:t>
      </w:r>
      <w:r w:rsidRPr="00E817C9">
        <w:rPr>
          <w:rFonts w:ascii="Arial" w:hAnsi="Arial" w:cs="Arial"/>
        </w:rPr>
        <w:t>). (</w:t>
      </w:r>
      <w:r>
        <w:rPr>
          <w:rFonts w:ascii="Arial" w:hAnsi="Arial" w:cs="Arial"/>
          <w:b/>
        </w:rPr>
        <w:t>b</w:t>
      </w:r>
      <w:r w:rsidRPr="00E817C9">
        <w:rPr>
          <w:rFonts w:ascii="Arial" w:hAnsi="Arial" w:cs="Arial"/>
        </w:rPr>
        <w:t xml:space="preserve">) </w:t>
      </w:r>
      <w:r w:rsidRPr="00A74B99">
        <w:rPr>
          <w:rFonts w:ascii="Arial" w:hAnsi="Arial" w:cs="Arial"/>
        </w:rPr>
        <w:t>Kaplan-</w:t>
      </w:r>
      <w:r>
        <w:rPr>
          <w:rFonts w:ascii="Arial" w:hAnsi="Arial" w:cs="Arial"/>
        </w:rPr>
        <w:t>Meier analyses demonstrating the impact of angiogenesis score (Angio</w:t>
      </w:r>
      <w:r w:rsidRPr="00F06350">
        <w:rPr>
          <w:rFonts w:ascii="Arial" w:hAnsi="Arial" w:cs="Arial"/>
          <w:vertAlign w:val="superscript"/>
        </w:rPr>
        <w:t>high</w:t>
      </w:r>
      <w:r>
        <w:rPr>
          <w:rFonts w:ascii="Arial" w:hAnsi="Arial" w:cs="Arial"/>
        </w:rPr>
        <w:t xml:space="preserve"> vs Angio</w:t>
      </w:r>
      <w:r w:rsidRPr="00F06350">
        <w:rPr>
          <w:rFonts w:ascii="Arial" w:hAnsi="Arial" w:cs="Arial"/>
          <w:vertAlign w:val="superscript"/>
        </w:rPr>
        <w:t>low</w:t>
      </w:r>
      <w:r>
        <w:rPr>
          <w:rFonts w:ascii="Arial" w:hAnsi="Arial" w:cs="Arial"/>
        </w:rPr>
        <w:t>, based on median score) on PFS among patients treated with sunitinib (</w:t>
      </w:r>
      <w:r>
        <w:rPr>
          <w:rFonts w:ascii="Arial" w:hAnsi="Arial" w:cs="Arial"/>
          <w:i/>
        </w:rPr>
        <w:t>l</w:t>
      </w:r>
      <w:r w:rsidRPr="00316252">
        <w:rPr>
          <w:rFonts w:ascii="Arial" w:hAnsi="Arial" w:cs="Arial"/>
          <w:i/>
        </w:rPr>
        <w:t>eft</w:t>
      </w:r>
      <w:r>
        <w:rPr>
          <w:rFonts w:ascii="Arial" w:hAnsi="Arial" w:cs="Arial"/>
        </w:rPr>
        <w:t>) and pazopanib (</w:t>
      </w:r>
      <w:r>
        <w:rPr>
          <w:rFonts w:ascii="Arial" w:hAnsi="Arial" w:cs="Arial"/>
          <w:i/>
        </w:rPr>
        <w:t>r</w:t>
      </w:r>
      <w:r w:rsidRPr="00316252">
        <w:rPr>
          <w:rFonts w:ascii="Arial" w:hAnsi="Arial" w:cs="Arial"/>
          <w:i/>
        </w:rPr>
        <w:t>ight</w:t>
      </w:r>
      <w:r>
        <w:rPr>
          <w:rFonts w:ascii="Arial" w:hAnsi="Arial" w:cs="Arial"/>
        </w:rPr>
        <w:t>).</w:t>
      </w:r>
      <w:r>
        <w:rPr>
          <w:rFonts w:ascii="Arial" w:hAnsi="Arial" w:cs="Arial"/>
          <w:b/>
        </w:rPr>
        <w:t xml:space="preserve"> </w:t>
      </w:r>
      <w:r w:rsidRPr="00E817C9">
        <w:rPr>
          <w:rFonts w:ascii="Arial" w:hAnsi="Arial" w:cs="Arial"/>
        </w:rPr>
        <w:t>(</w:t>
      </w:r>
      <w:r>
        <w:rPr>
          <w:rFonts w:ascii="Arial" w:hAnsi="Arial" w:cs="Arial"/>
          <w:b/>
        </w:rPr>
        <w:t>c</w:t>
      </w:r>
      <w:r w:rsidRPr="00E817C9">
        <w:rPr>
          <w:rFonts w:ascii="Arial" w:hAnsi="Arial" w:cs="Arial"/>
        </w:rPr>
        <w:t>)</w:t>
      </w:r>
      <w:r>
        <w:rPr>
          <w:rFonts w:ascii="Arial" w:hAnsi="Arial" w:cs="Arial"/>
          <w:b/>
        </w:rPr>
        <w:t xml:space="preserve"> </w:t>
      </w:r>
      <w:r w:rsidRPr="00A74B99">
        <w:rPr>
          <w:rFonts w:ascii="Arial" w:hAnsi="Arial" w:cs="Arial"/>
        </w:rPr>
        <w:t>Kaplan-</w:t>
      </w:r>
      <w:r>
        <w:rPr>
          <w:rFonts w:ascii="Arial" w:hAnsi="Arial" w:cs="Arial"/>
        </w:rPr>
        <w:t>Meier analyses demonstrating the impact of macrophage score (Macrophage</w:t>
      </w:r>
      <w:r w:rsidRPr="00F06350">
        <w:rPr>
          <w:rFonts w:ascii="Arial" w:hAnsi="Arial" w:cs="Arial"/>
          <w:vertAlign w:val="superscript"/>
        </w:rPr>
        <w:t>high</w:t>
      </w:r>
      <w:r>
        <w:rPr>
          <w:rFonts w:ascii="Arial" w:hAnsi="Arial" w:cs="Arial"/>
        </w:rPr>
        <w:t xml:space="preserve"> vs Macrophage</w:t>
      </w:r>
      <w:r w:rsidRPr="00F06350">
        <w:rPr>
          <w:rFonts w:ascii="Arial" w:hAnsi="Arial" w:cs="Arial"/>
          <w:vertAlign w:val="superscript"/>
        </w:rPr>
        <w:t>low</w:t>
      </w:r>
      <w:r>
        <w:rPr>
          <w:rFonts w:ascii="Arial" w:hAnsi="Arial" w:cs="Arial"/>
        </w:rPr>
        <w:t>, based on median score) on OS among patients treated with sunitinib (</w:t>
      </w:r>
      <w:r>
        <w:rPr>
          <w:rFonts w:ascii="Arial" w:hAnsi="Arial" w:cs="Arial"/>
          <w:i/>
        </w:rPr>
        <w:t>l</w:t>
      </w:r>
      <w:r w:rsidRPr="00316252">
        <w:rPr>
          <w:rFonts w:ascii="Arial" w:hAnsi="Arial" w:cs="Arial"/>
          <w:i/>
        </w:rPr>
        <w:t>eft</w:t>
      </w:r>
      <w:r>
        <w:rPr>
          <w:rFonts w:ascii="Arial" w:hAnsi="Arial" w:cs="Arial"/>
        </w:rPr>
        <w:t>) and pazopanib (</w:t>
      </w:r>
      <w:r>
        <w:rPr>
          <w:rFonts w:ascii="Arial" w:hAnsi="Arial" w:cs="Arial"/>
          <w:i/>
        </w:rPr>
        <w:t>r</w:t>
      </w:r>
      <w:r w:rsidRPr="00316252">
        <w:rPr>
          <w:rFonts w:ascii="Arial" w:hAnsi="Arial" w:cs="Arial"/>
          <w:i/>
        </w:rPr>
        <w:t>ight</w:t>
      </w:r>
      <w:r>
        <w:rPr>
          <w:rFonts w:ascii="Arial" w:hAnsi="Arial" w:cs="Arial"/>
        </w:rPr>
        <w:t>).</w:t>
      </w:r>
      <w:r>
        <w:rPr>
          <w:rFonts w:ascii="Arial" w:hAnsi="Arial" w:cs="Arial"/>
          <w:b/>
        </w:rPr>
        <w:t xml:space="preserve"> </w:t>
      </w:r>
      <w:r w:rsidRPr="00E817C9">
        <w:rPr>
          <w:rFonts w:ascii="Arial" w:hAnsi="Arial" w:cs="Arial"/>
        </w:rPr>
        <w:t>(</w:t>
      </w:r>
      <w:r>
        <w:rPr>
          <w:rFonts w:ascii="Arial" w:hAnsi="Arial" w:cs="Arial"/>
          <w:b/>
        </w:rPr>
        <w:t>d</w:t>
      </w:r>
      <w:r w:rsidRPr="00E817C9">
        <w:rPr>
          <w:rFonts w:ascii="Arial" w:hAnsi="Arial" w:cs="Arial"/>
        </w:rPr>
        <w:t xml:space="preserve">) </w:t>
      </w:r>
      <w:r w:rsidRPr="00A74B99">
        <w:rPr>
          <w:rFonts w:ascii="Arial" w:hAnsi="Arial" w:cs="Arial"/>
        </w:rPr>
        <w:t>Kaplan-</w:t>
      </w:r>
      <w:r>
        <w:rPr>
          <w:rFonts w:ascii="Arial" w:hAnsi="Arial" w:cs="Arial"/>
        </w:rPr>
        <w:t>Meier analyses demonstrating the impact of macrophage score (Macrophage</w:t>
      </w:r>
      <w:r w:rsidRPr="00F06350">
        <w:rPr>
          <w:rFonts w:ascii="Arial" w:hAnsi="Arial" w:cs="Arial"/>
          <w:vertAlign w:val="superscript"/>
        </w:rPr>
        <w:t>high</w:t>
      </w:r>
      <w:r>
        <w:rPr>
          <w:rFonts w:ascii="Arial" w:hAnsi="Arial" w:cs="Arial"/>
        </w:rPr>
        <w:t xml:space="preserve"> vs Macrophage</w:t>
      </w:r>
      <w:r w:rsidRPr="00F06350">
        <w:rPr>
          <w:rFonts w:ascii="Arial" w:hAnsi="Arial" w:cs="Arial"/>
          <w:vertAlign w:val="superscript"/>
        </w:rPr>
        <w:t>low</w:t>
      </w:r>
      <w:r>
        <w:rPr>
          <w:rFonts w:ascii="Arial" w:hAnsi="Arial" w:cs="Arial"/>
        </w:rPr>
        <w:t>, based on median score) on PFS among patients treated with sunitinib (</w:t>
      </w:r>
      <w:r>
        <w:rPr>
          <w:rFonts w:ascii="Arial" w:hAnsi="Arial" w:cs="Arial"/>
          <w:i/>
        </w:rPr>
        <w:t>l</w:t>
      </w:r>
      <w:r w:rsidRPr="00316252">
        <w:rPr>
          <w:rFonts w:ascii="Arial" w:hAnsi="Arial" w:cs="Arial"/>
          <w:i/>
        </w:rPr>
        <w:t>eft</w:t>
      </w:r>
      <w:r>
        <w:rPr>
          <w:rFonts w:ascii="Arial" w:hAnsi="Arial" w:cs="Arial"/>
        </w:rPr>
        <w:t>) and pazopanib (</w:t>
      </w:r>
      <w:r>
        <w:rPr>
          <w:rFonts w:ascii="Arial" w:hAnsi="Arial" w:cs="Arial"/>
          <w:i/>
        </w:rPr>
        <w:t>r</w:t>
      </w:r>
      <w:r w:rsidRPr="00316252">
        <w:rPr>
          <w:rFonts w:ascii="Arial" w:hAnsi="Arial" w:cs="Arial"/>
          <w:i/>
        </w:rPr>
        <w:t>ight</w:t>
      </w:r>
      <w:r>
        <w:rPr>
          <w:rFonts w:ascii="Arial" w:hAnsi="Arial" w:cs="Arial"/>
        </w:rPr>
        <w:t>).</w:t>
      </w:r>
      <w:r>
        <w:rPr>
          <w:rFonts w:ascii="Arial" w:hAnsi="Arial" w:cs="Arial"/>
          <w:b/>
        </w:rPr>
        <w:t xml:space="preserve"> </w:t>
      </w:r>
      <w:r w:rsidRPr="0051188C">
        <w:rPr>
          <w:rFonts w:ascii="Arial" w:hAnsi="Arial" w:cs="Arial"/>
        </w:rPr>
        <w:t>TKI, tyrosine kinase inhibitor;</w:t>
      </w:r>
      <w:r>
        <w:rPr>
          <w:rFonts w:ascii="Arial" w:hAnsi="Arial" w:cs="Arial"/>
          <w:b/>
        </w:rPr>
        <w:t xml:space="preserve"> </w:t>
      </w:r>
      <w:r>
        <w:rPr>
          <w:rFonts w:ascii="Arial" w:hAnsi="Arial" w:cs="Arial"/>
        </w:rPr>
        <w:t>OS, overall survival; PFS, Progression-free survival; all HR and CI values for PFS and OS were extracted from Cox proportional hazard regression models.  Sample number per group indicated below each graph.</w:t>
      </w:r>
      <w:r w:rsidRPr="00497A45">
        <w:rPr>
          <w:rFonts w:ascii="Arial" w:hAnsi="Arial" w:cs="Arial"/>
        </w:rPr>
        <w:t xml:space="preserve"> </w:t>
      </w:r>
    </w:p>
    <w:p w14:paraId="2E427127" w14:textId="77777777" w:rsidR="0054660F" w:rsidRDefault="0054660F"/>
    <w:sectPr w:rsidR="0054660F" w:rsidSect="00B560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F65"/>
    <w:rsid w:val="00352F65"/>
    <w:rsid w:val="003B63AD"/>
    <w:rsid w:val="004311CF"/>
    <w:rsid w:val="0054660F"/>
    <w:rsid w:val="005B0D7E"/>
    <w:rsid w:val="005F03FB"/>
    <w:rsid w:val="0096795E"/>
    <w:rsid w:val="009C1CF9"/>
    <w:rsid w:val="00A54098"/>
    <w:rsid w:val="00FE1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8E77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D7E"/>
    <w:rPr>
      <w:rFonts w:eastAsiaTheme="minorHAnsi"/>
      <w:sz w:val="22"/>
      <w:szCs w:val="22"/>
    </w:rPr>
  </w:style>
  <w:style w:type="paragraph" w:styleId="BalloonText">
    <w:name w:val="Balloon Text"/>
    <w:basedOn w:val="Normal"/>
    <w:link w:val="BalloonTextChar"/>
    <w:uiPriority w:val="99"/>
    <w:semiHidden/>
    <w:unhideWhenUsed/>
    <w:rsid w:val="009C1CF9"/>
    <w:rPr>
      <w:rFonts w:ascii="Lucida Grande" w:hAnsi="Lucida Grande"/>
      <w:sz w:val="18"/>
      <w:szCs w:val="18"/>
    </w:rPr>
  </w:style>
  <w:style w:type="character" w:customStyle="1" w:styleId="BalloonTextChar">
    <w:name w:val="Balloon Text Char"/>
    <w:basedOn w:val="DefaultParagraphFont"/>
    <w:link w:val="BalloonText"/>
    <w:uiPriority w:val="99"/>
    <w:semiHidden/>
    <w:rsid w:val="009C1CF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0D7E"/>
    <w:rPr>
      <w:rFonts w:eastAsiaTheme="minorHAnsi"/>
      <w:sz w:val="22"/>
      <w:szCs w:val="22"/>
    </w:rPr>
  </w:style>
  <w:style w:type="paragraph" w:styleId="BalloonText">
    <w:name w:val="Balloon Text"/>
    <w:basedOn w:val="Normal"/>
    <w:link w:val="BalloonTextChar"/>
    <w:uiPriority w:val="99"/>
    <w:semiHidden/>
    <w:unhideWhenUsed/>
    <w:rsid w:val="009C1CF9"/>
    <w:rPr>
      <w:rFonts w:ascii="Lucida Grande" w:hAnsi="Lucida Grande"/>
      <w:sz w:val="18"/>
      <w:szCs w:val="18"/>
    </w:rPr>
  </w:style>
  <w:style w:type="character" w:customStyle="1" w:styleId="BalloonTextChar">
    <w:name w:val="Balloon Text Char"/>
    <w:basedOn w:val="DefaultParagraphFont"/>
    <w:link w:val="BalloonText"/>
    <w:uiPriority w:val="99"/>
    <w:semiHidden/>
    <w:rsid w:val="009C1CF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865</Words>
  <Characters>4933</Characters>
  <Application>Microsoft Macintosh Word</Application>
  <DocSecurity>0</DocSecurity>
  <Lines>41</Lines>
  <Paragraphs>11</Paragraphs>
  <ScaleCrop>false</ScaleCrop>
  <Company/>
  <LinksUpToDate>false</LinksUpToDate>
  <CharactersWithSpaces>5787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Sanchez</dc:creator>
  <cp:keywords/>
  <dc:description/>
  <cp:lastModifiedBy>Alejandro Sanchez</cp:lastModifiedBy>
  <cp:revision>9</cp:revision>
  <dcterms:created xsi:type="dcterms:W3CDTF">2018-12-28T16:31:00Z</dcterms:created>
  <dcterms:modified xsi:type="dcterms:W3CDTF">2018-12-28T19:41:00Z</dcterms:modified>
</cp:coreProperties>
</file>