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4CDAE" w14:textId="77777777" w:rsidR="007E37A8" w:rsidRPr="00647CB9" w:rsidRDefault="007E37A8" w:rsidP="007E37A8">
      <w:pPr>
        <w:jc w:val="both"/>
        <w:rPr>
          <w:b/>
        </w:rPr>
      </w:pPr>
      <w:r>
        <w:rPr>
          <w:b/>
        </w:rPr>
        <w:t xml:space="preserve">Supplementary </w:t>
      </w:r>
      <w:r w:rsidRPr="00647CB9">
        <w:rPr>
          <w:b/>
        </w:rPr>
        <w:t>Table 1</w:t>
      </w:r>
      <w:r>
        <w:rPr>
          <w:b/>
        </w:rPr>
        <w:t xml:space="preserve">: </w:t>
      </w:r>
      <w:r w:rsidRPr="00647CB9">
        <w:rPr>
          <w:b/>
        </w:rPr>
        <w:t>Sequence variants detected by targeted amplicon sequencing in 15 cases of CLL-</w:t>
      </w:r>
      <w:r>
        <w:rPr>
          <w:b/>
        </w:rPr>
        <w:t xml:space="preserve">type progression on venetoclax </w:t>
      </w:r>
    </w:p>
    <w:tbl>
      <w:tblPr>
        <w:tblStyle w:val="TableGrid"/>
        <w:tblW w:w="14619" w:type="dxa"/>
        <w:jc w:val="center"/>
        <w:tblLayout w:type="fixed"/>
        <w:tblLook w:val="04A0" w:firstRow="1" w:lastRow="0" w:firstColumn="1" w:lastColumn="0" w:noHBand="0" w:noVBand="1"/>
      </w:tblPr>
      <w:tblGrid>
        <w:gridCol w:w="1111"/>
        <w:gridCol w:w="1319"/>
        <w:gridCol w:w="3217"/>
        <w:gridCol w:w="1603"/>
        <w:gridCol w:w="3358"/>
        <w:gridCol w:w="1461"/>
        <w:gridCol w:w="1275"/>
        <w:gridCol w:w="1275"/>
      </w:tblGrid>
      <w:tr w:rsidR="007E37A8" w14:paraId="5F7889F4" w14:textId="77777777" w:rsidTr="00895815">
        <w:trPr>
          <w:jc w:val="center"/>
        </w:trPr>
        <w:tc>
          <w:tcPr>
            <w:tcW w:w="1111" w:type="dxa"/>
            <w:shd w:val="clear" w:color="auto" w:fill="F2F2F2" w:themeFill="background1" w:themeFillShade="F2"/>
            <w:vAlign w:val="center"/>
          </w:tcPr>
          <w:p w14:paraId="6513635A" w14:textId="77777777" w:rsidR="007E37A8" w:rsidRPr="006A4F62" w:rsidRDefault="007E37A8" w:rsidP="00895815">
            <w:pPr>
              <w:jc w:val="center"/>
              <w:rPr>
                <w:rFonts w:ascii="Arial" w:hAnsi="Arial" w:cs="Arial"/>
                <w:b/>
                <w:bCs/>
                <w:color w:val="000000"/>
                <w:sz w:val="18"/>
                <w:szCs w:val="18"/>
              </w:rPr>
            </w:pPr>
          </w:p>
        </w:tc>
        <w:tc>
          <w:tcPr>
            <w:tcW w:w="4536" w:type="dxa"/>
            <w:gridSpan w:val="2"/>
            <w:tcBorders>
              <w:bottom w:val="single" w:sz="4" w:space="0" w:color="auto"/>
            </w:tcBorders>
            <w:shd w:val="clear" w:color="auto" w:fill="F2F2F2" w:themeFill="background1" w:themeFillShade="F2"/>
            <w:vAlign w:val="center"/>
          </w:tcPr>
          <w:p w14:paraId="33D7570D"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t>Pre</w:t>
            </w:r>
            <w:r>
              <w:rPr>
                <w:rFonts w:ascii="Arial" w:hAnsi="Arial" w:cs="Arial"/>
                <w:b/>
                <w:bCs/>
                <w:color w:val="000000"/>
                <w:sz w:val="18"/>
                <w:szCs w:val="18"/>
              </w:rPr>
              <w:t>-</w:t>
            </w:r>
            <w:r w:rsidRPr="006A4F62">
              <w:rPr>
                <w:rFonts w:ascii="Arial" w:hAnsi="Arial" w:cs="Arial"/>
                <w:b/>
                <w:bCs/>
                <w:color w:val="000000"/>
                <w:sz w:val="18"/>
                <w:szCs w:val="18"/>
              </w:rPr>
              <w:t>venetoclax</w:t>
            </w:r>
          </w:p>
        </w:tc>
        <w:tc>
          <w:tcPr>
            <w:tcW w:w="4961" w:type="dxa"/>
            <w:gridSpan w:val="2"/>
            <w:tcBorders>
              <w:bottom w:val="single" w:sz="4" w:space="0" w:color="auto"/>
            </w:tcBorders>
            <w:shd w:val="clear" w:color="auto" w:fill="F2F2F2" w:themeFill="background1" w:themeFillShade="F2"/>
            <w:vAlign w:val="center"/>
          </w:tcPr>
          <w:p w14:paraId="67336204"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t>Post</w:t>
            </w:r>
            <w:r>
              <w:rPr>
                <w:rFonts w:ascii="Arial" w:hAnsi="Arial" w:cs="Arial"/>
                <w:b/>
                <w:bCs/>
                <w:color w:val="000000"/>
                <w:sz w:val="18"/>
                <w:szCs w:val="18"/>
              </w:rPr>
              <w:t xml:space="preserve">-progression on </w:t>
            </w:r>
            <w:r w:rsidRPr="006A4F62">
              <w:rPr>
                <w:rFonts w:ascii="Arial" w:hAnsi="Arial" w:cs="Arial"/>
                <w:b/>
                <w:bCs/>
                <w:color w:val="000000"/>
                <w:sz w:val="18"/>
                <w:szCs w:val="18"/>
              </w:rPr>
              <w:t>venetoclax</w:t>
            </w:r>
          </w:p>
        </w:tc>
        <w:tc>
          <w:tcPr>
            <w:tcW w:w="1461" w:type="dxa"/>
            <w:tcBorders>
              <w:bottom w:val="single" w:sz="4" w:space="0" w:color="auto"/>
            </w:tcBorders>
            <w:shd w:val="clear" w:color="auto" w:fill="F2F2F2" w:themeFill="background1" w:themeFillShade="F2"/>
            <w:vAlign w:val="center"/>
          </w:tcPr>
          <w:p w14:paraId="39441A8E" w14:textId="77777777" w:rsidR="007E37A8" w:rsidRDefault="007E37A8" w:rsidP="00895815">
            <w:pPr>
              <w:jc w:val="center"/>
              <w:rPr>
                <w:rFonts w:ascii="Arial" w:hAnsi="Arial" w:cs="Arial"/>
                <w:b/>
                <w:bCs/>
                <w:color w:val="000000"/>
                <w:sz w:val="18"/>
                <w:szCs w:val="18"/>
              </w:rPr>
            </w:pPr>
            <w:r>
              <w:rPr>
                <w:rFonts w:ascii="Arial" w:hAnsi="Arial" w:cs="Arial"/>
                <w:b/>
                <w:bCs/>
                <w:color w:val="000000"/>
                <w:sz w:val="18"/>
                <w:szCs w:val="18"/>
              </w:rPr>
              <w:t>BCL2 VAF (ddPCR)</w:t>
            </w:r>
          </w:p>
        </w:tc>
        <w:tc>
          <w:tcPr>
            <w:tcW w:w="1275" w:type="dxa"/>
            <w:tcBorders>
              <w:bottom w:val="single" w:sz="4" w:space="0" w:color="auto"/>
            </w:tcBorders>
            <w:shd w:val="clear" w:color="auto" w:fill="F2F2F2" w:themeFill="background1" w:themeFillShade="F2"/>
            <w:vAlign w:val="center"/>
          </w:tcPr>
          <w:p w14:paraId="04BB9108" w14:textId="77777777" w:rsidR="007E37A8" w:rsidRDefault="007E37A8" w:rsidP="00895815">
            <w:pPr>
              <w:jc w:val="center"/>
              <w:rPr>
                <w:rFonts w:ascii="Arial" w:hAnsi="Arial" w:cs="Arial"/>
                <w:b/>
                <w:bCs/>
                <w:color w:val="000000"/>
                <w:sz w:val="18"/>
                <w:szCs w:val="18"/>
              </w:rPr>
            </w:pPr>
            <w:r>
              <w:rPr>
                <w:rFonts w:ascii="Arial" w:hAnsi="Arial" w:cs="Arial"/>
                <w:b/>
                <w:bCs/>
                <w:color w:val="000000"/>
                <w:sz w:val="18"/>
                <w:szCs w:val="18"/>
              </w:rPr>
              <w:t>Est % CLL cells pos</w:t>
            </w:r>
            <w:r w:rsidRPr="00D54F06">
              <w:rPr>
                <w:rFonts w:ascii="Arial" w:hAnsi="Arial" w:cs="Arial"/>
                <w:bCs/>
                <w:color w:val="000000"/>
                <w:sz w:val="18"/>
                <w:szCs w:val="18"/>
                <w:vertAlign w:val="superscript"/>
              </w:rPr>
              <w:t>a</w:t>
            </w:r>
          </w:p>
        </w:tc>
        <w:tc>
          <w:tcPr>
            <w:tcW w:w="1275" w:type="dxa"/>
            <w:tcBorders>
              <w:bottom w:val="single" w:sz="4" w:space="0" w:color="auto"/>
            </w:tcBorders>
            <w:shd w:val="clear" w:color="auto" w:fill="F2F2F2" w:themeFill="background1" w:themeFillShade="F2"/>
            <w:vAlign w:val="center"/>
          </w:tcPr>
          <w:p w14:paraId="2AB79269" w14:textId="77777777" w:rsidR="007E37A8" w:rsidRPr="006A4F62" w:rsidRDefault="007E37A8" w:rsidP="00895815">
            <w:pPr>
              <w:jc w:val="center"/>
              <w:rPr>
                <w:rFonts w:ascii="Arial" w:hAnsi="Arial" w:cs="Arial"/>
                <w:b/>
                <w:bCs/>
                <w:color w:val="000000"/>
                <w:sz w:val="18"/>
                <w:szCs w:val="18"/>
              </w:rPr>
            </w:pPr>
            <w:r>
              <w:rPr>
                <w:rFonts w:ascii="Arial" w:hAnsi="Arial" w:cs="Arial"/>
                <w:b/>
                <w:bCs/>
                <w:color w:val="000000"/>
                <w:sz w:val="18"/>
                <w:szCs w:val="18"/>
              </w:rPr>
              <w:t>IGVH status</w:t>
            </w:r>
          </w:p>
        </w:tc>
      </w:tr>
      <w:tr w:rsidR="007E37A8" w14:paraId="35693EF4" w14:textId="77777777" w:rsidTr="00895815">
        <w:trPr>
          <w:jc w:val="center"/>
        </w:trPr>
        <w:tc>
          <w:tcPr>
            <w:tcW w:w="1111" w:type="dxa"/>
            <w:tcBorders>
              <w:bottom w:val="single" w:sz="4" w:space="0" w:color="auto"/>
            </w:tcBorders>
            <w:shd w:val="clear" w:color="auto" w:fill="F2F2F2" w:themeFill="background1" w:themeFillShade="F2"/>
            <w:vAlign w:val="bottom"/>
          </w:tcPr>
          <w:p w14:paraId="2E513E3E" w14:textId="77777777" w:rsidR="007E37A8" w:rsidRPr="006A4F62" w:rsidRDefault="007E37A8" w:rsidP="00895815">
            <w:pPr>
              <w:rPr>
                <w:rFonts w:ascii="Arial" w:hAnsi="Arial" w:cs="Arial"/>
                <w:b/>
                <w:bCs/>
                <w:color w:val="000000"/>
                <w:sz w:val="18"/>
                <w:szCs w:val="18"/>
              </w:rPr>
            </w:pPr>
            <w:r w:rsidRPr="006A4F62">
              <w:rPr>
                <w:rFonts w:ascii="Arial" w:hAnsi="Arial" w:cs="Arial"/>
                <w:b/>
                <w:bCs/>
                <w:color w:val="000000"/>
                <w:sz w:val="18"/>
                <w:szCs w:val="18"/>
              </w:rPr>
              <w:t>Patient</w:t>
            </w:r>
          </w:p>
        </w:tc>
        <w:tc>
          <w:tcPr>
            <w:tcW w:w="1319" w:type="dxa"/>
            <w:tcBorders>
              <w:bottom w:val="single" w:sz="4" w:space="0" w:color="auto"/>
              <w:right w:val="nil"/>
            </w:tcBorders>
            <w:vAlign w:val="bottom"/>
          </w:tcPr>
          <w:p w14:paraId="7DCD99E0" w14:textId="77777777" w:rsidR="007E37A8" w:rsidRPr="006A4F62" w:rsidRDefault="007E37A8" w:rsidP="00895815">
            <w:pPr>
              <w:rPr>
                <w:rFonts w:ascii="Arial" w:hAnsi="Arial" w:cs="Arial"/>
                <w:b/>
                <w:bCs/>
                <w:color w:val="000000"/>
                <w:sz w:val="18"/>
                <w:szCs w:val="18"/>
              </w:rPr>
            </w:pPr>
            <w:r w:rsidRPr="006A4F62">
              <w:rPr>
                <w:rFonts w:ascii="Arial" w:hAnsi="Arial" w:cs="Arial"/>
                <w:b/>
                <w:bCs/>
                <w:color w:val="000000"/>
                <w:sz w:val="18"/>
                <w:szCs w:val="18"/>
              </w:rPr>
              <w:t>Gene</w:t>
            </w:r>
          </w:p>
        </w:tc>
        <w:tc>
          <w:tcPr>
            <w:tcW w:w="3217" w:type="dxa"/>
            <w:tcBorders>
              <w:left w:val="nil"/>
              <w:bottom w:val="single" w:sz="4" w:space="0" w:color="auto"/>
            </w:tcBorders>
            <w:vAlign w:val="bottom"/>
          </w:tcPr>
          <w:p w14:paraId="53951FE8" w14:textId="77777777" w:rsidR="007E37A8" w:rsidRPr="006A4F62" w:rsidRDefault="007E37A8" w:rsidP="00895815">
            <w:pPr>
              <w:rPr>
                <w:rFonts w:ascii="Arial" w:hAnsi="Arial" w:cs="Arial"/>
                <w:b/>
                <w:bCs/>
                <w:color w:val="000000"/>
                <w:sz w:val="18"/>
                <w:szCs w:val="18"/>
              </w:rPr>
            </w:pPr>
            <w:r w:rsidRPr="006A4F62">
              <w:rPr>
                <w:rFonts w:ascii="Arial" w:hAnsi="Arial" w:cs="Arial"/>
                <w:b/>
                <w:bCs/>
                <w:color w:val="000000"/>
                <w:sz w:val="18"/>
                <w:szCs w:val="18"/>
              </w:rPr>
              <w:t>HGVSc</w:t>
            </w:r>
            <w:r>
              <w:rPr>
                <w:rFonts w:ascii="Arial" w:hAnsi="Arial" w:cs="Arial"/>
                <w:b/>
                <w:bCs/>
                <w:color w:val="000000"/>
                <w:sz w:val="18"/>
                <w:szCs w:val="18"/>
              </w:rPr>
              <w:t>, HGVSp</w:t>
            </w:r>
          </w:p>
        </w:tc>
        <w:tc>
          <w:tcPr>
            <w:tcW w:w="1603" w:type="dxa"/>
            <w:tcBorders>
              <w:bottom w:val="single" w:sz="4" w:space="0" w:color="auto"/>
              <w:right w:val="nil"/>
            </w:tcBorders>
            <w:vAlign w:val="bottom"/>
          </w:tcPr>
          <w:p w14:paraId="1AF5F8F3" w14:textId="77777777" w:rsidR="007E37A8" w:rsidRPr="006A4F62" w:rsidRDefault="007E37A8" w:rsidP="00895815">
            <w:pPr>
              <w:rPr>
                <w:rFonts w:ascii="Arial" w:hAnsi="Arial" w:cs="Arial"/>
                <w:b/>
                <w:bCs/>
                <w:color w:val="000000"/>
                <w:sz w:val="18"/>
                <w:szCs w:val="18"/>
              </w:rPr>
            </w:pPr>
            <w:r w:rsidRPr="006A4F62">
              <w:rPr>
                <w:rFonts w:ascii="Arial" w:hAnsi="Arial" w:cs="Arial"/>
                <w:b/>
                <w:bCs/>
                <w:color w:val="000000"/>
                <w:sz w:val="18"/>
                <w:szCs w:val="18"/>
              </w:rPr>
              <w:t>Gene</w:t>
            </w:r>
          </w:p>
        </w:tc>
        <w:tc>
          <w:tcPr>
            <w:tcW w:w="3358" w:type="dxa"/>
            <w:tcBorders>
              <w:left w:val="nil"/>
              <w:bottom w:val="single" w:sz="4" w:space="0" w:color="auto"/>
            </w:tcBorders>
            <w:vAlign w:val="bottom"/>
          </w:tcPr>
          <w:p w14:paraId="695C4ACE" w14:textId="77777777" w:rsidR="007E37A8" w:rsidRPr="006A4F62" w:rsidRDefault="007E37A8" w:rsidP="00895815">
            <w:pPr>
              <w:rPr>
                <w:rFonts w:ascii="Arial" w:hAnsi="Arial" w:cs="Arial"/>
                <w:b/>
                <w:bCs/>
                <w:color w:val="000000"/>
                <w:sz w:val="18"/>
                <w:szCs w:val="18"/>
              </w:rPr>
            </w:pPr>
            <w:r w:rsidRPr="006A4F62">
              <w:rPr>
                <w:rFonts w:ascii="Arial" w:hAnsi="Arial" w:cs="Arial"/>
                <w:b/>
                <w:bCs/>
                <w:color w:val="000000"/>
                <w:sz w:val="18"/>
                <w:szCs w:val="18"/>
              </w:rPr>
              <w:t>HGVSc</w:t>
            </w:r>
            <w:r>
              <w:rPr>
                <w:rFonts w:ascii="Arial" w:hAnsi="Arial" w:cs="Arial"/>
                <w:b/>
                <w:bCs/>
                <w:color w:val="000000"/>
                <w:sz w:val="18"/>
                <w:szCs w:val="18"/>
              </w:rPr>
              <w:t>, HGVSp</w:t>
            </w:r>
          </w:p>
        </w:tc>
        <w:tc>
          <w:tcPr>
            <w:tcW w:w="1461" w:type="dxa"/>
            <w:tcBorders>
              <w:left w:val="nil"/>
              <w:bottom w:val="single" w:sz="4" w:space="0" w:color="auto"/>
              <w:right w:val="single" w:sz="4" w:space="0" w:color="auto"/>
            </w:tcBorders>
          </w:tcPr>
          <w:p w14:paraId="14AEBA73" w14:textId="77777777" w:rsidR="007E37A8" w:rsidRPr="006A4F62" w:rsidRDefault="007E37A8" w:rsidP="00895815">
            <w:pPr>
              <w:jc w:val="center"/>
              <w:rPr>
                <w:rFonts w:ascii="Arial" w:hAnsi="Arial" w:cs="Arial"/>
                <w:b/>
                <w:bCs/>
                <w:color w:val="000000"/>
                <w:sz w:val="18"/>
                <w:szCs w:val="18"/>
              </w:rPr>
            </w:pPr>
          </w:p>
        </w:tc>
        <w:tc>
          <w:tcPr>
            <w:tcW w:w="1275" w:type="dxa"/>
            <w:tcBorders>
              <w:left w:val="single" w:sz="4" w:space="0" w:color="auto"/>
              <w:bottom w:val="single" w:sz="4" w:space="0" w:color="auto"/>
              <w:right w:val="single" w:sz="4" w:space="0" w:color="auto"/>
            </w:tcBorders>
          </w:tcPr>
          <w:p w14:paraId="0E3379B0" w14:textId="77777777" w:rsidR="007E37A8" w:rsidRPr="006A4F62" w:rsidRDefault="007E37A8" w:rsidP="00895815">
            <w:pPr>
              <w:jc w:val="center"/>
              <w:rPr>
                <w:rFonts w:ascii="Arial" w:hAnsi="Arial" w:cs="Arial"/>
                <w:b/>
                <w:bCs/>
                <w:color w:val="000000"/>
                <w:sz w:val="18"/>
                <w:szCs w:val="18"/>
              </w:rPr>
            </w:pPr>
          </w:p>
        </w:tc>
        <w:tc>
          <w:tcPr>
            <w:tcW w:w="1275" w:type="dxa"/>
            <w:tcBorders>
              <w:left w:val="single" w:sz="4" w:space="0" w:color="auto"/>
              <w:bottom w:val="single" w:sz="4" w:space="0" w:color="auto"/>
            </w:tcBorders>
          </w:tcPr>
          <w:p w14:paraId="67D01958" w14:textId="77777777" w:rsidR="007E37A8" w:rsidRPr="006A4F62" w:rsidRDefault="007E37A8" w:rsidP="00895815">
            <w:pPr>
              <w:rPr>
                <w:rFonts w:ascii="Arial" w:hAnsi="Arial" w:cs="Arial"/>
                <w:b/>
                <w:bCs/>
                <w:color w:val="000000"/>
                <w:sz w:val="18"/>
                <w:szCs w:val="18"/>
              </w:rPr>
            </w:pPr>
          </w:p>
        </w:tc>
      </w:tr>
      <w:tr w:rsidR="007E37A8" w14:paraId="4937EFB3" w14:textId="77777777" w:rsidTr="00895815">
        <w:trPr>
          <w:jc w:val="center"/>
        </w:trPr>
        <w:tc>
          <w:tcPr>
            <w:tcW w:w="1111" w:type="dxa"/>
            <w:vMerge w:val="restart"/>
            <w:tcBorders>
              <w:bottom w:val="single" w:sz="6" w:space="0" w:color="auto"/>
              <w:right w:val="single" w:sz="4" w:space="0" w:color="auto"/>
            </w:tcBorders>
            <w:shd w:val="clear" w:color="auto" w:fill="F2F2F2" w:themeFill="background1" w:themeFillShade="F2"/>
            <w:vAlign w:val="center"/>
          </w:tcPr>
          <w:p w14:paraId="21A0E564"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t>CLL1</w:t>
            </w:r>
          </w:p>
        </w:tc>
        <w:tc>
          <w:tcPr>
            <w:tcW w:w="1319" w:type="dxa"/>
            <w:tcBorders>
              <w:top w:val="single" w:sz="4" w:space="0" w:color="auto"/>
              <w:left w:val="single" w:sz="4" w:space="0" w:color="auto"/>
              <w:bottom w:val="nil"/>
              <w:right w:val="nil"/>
            </w:tcBorders>
            <w:vAlign w:val="bottom"/>
          </w:tcPr>
          <w:p w14:paraId="348D037F" w14:textId="77777777" w:rsidR="007E37A8" w:rsidRPr="00162662" w:rsidRDefault="007E37A8" w:rsidP="00895815">
            <w:pPr>
              <w:rPr>
                <w:rFonts w:ascii="Arial" w:hAnsi="Arial" w:cs="Arial"/>
                <w:sz w:val="18"/>
                <w:szCs w:val="18"/>
              </w:rPr>
            </w:pPr>
            <w:r w:rsidRPr="00162662">
              <w:rPr>
                <w:rFonts w:ascii="Arial" w:hAnsi="Arial" w:cs="Arial"/>
                <w:sz w:val="18"/>
                <w:szCs w:val="18"/>
              </w:rPr>
              <w:t>SF3B1</w:t>
            </w:r>
          </w:p>
        </w:tc>
        <w:tc>
          <w:tcPr>
            <w:tcW w:w="3217" w:type="dxa"/>
            <w:tcBorders>
              <w:top w:val="single" w:sz="4" w:space="0" w:color="auto"/>
              <w:left w:val="nil"/>
              <w:bottom w:val="nil"/>
              <w:right w:val="single" w:sz="4" w:space="0" w:color="auto"/>
            </w:tcBorders>
            <w:vAlign w:val="bottom"/>
          </w:tcPr>
          <w:p w14:paraId="20CBF4A2" w14:textId="77777777" w:rsidR="007E37A8" w:rsidRPr="00162662" w:rsidRDefault="007E37A8" w:rsidP="00895815">
            <w:pPr>
              <w:rPr>
                <w:rFonts w:ascii="Arial" w:hAnsi="Arial" w:cs="Arial"/>
                <w:sz w:val="18"/>
                <w:szCs w:val="18"/>
              </w:rPr>
            </w:pPr>
            <w:r w:rsidRPr="00162662">
              <w:rPr>
                <w:rFonts w:ascii="Arial" w:hAnsi="Arial" w:cs="Arial"/>
                <w:sz w:val="18"/>
                <w:szCs w:val="18"/>
              </w:rPr>
              <w:t>c.2098A&gt;G, p.(Lys700Glu)</w:t>
            </w:r>
          </w:p>
        </w:tc>
        <w:tc>
          <w:tcPr>
            <w:tcW w:w="1603" w:type="dxa"/>
            <w:tcBorders>
              <w:top w:val="single" w:sz="4" w:space="0" w:color="auto"/>
              <w:left w:val="single" w:sz="4" w:space="0" w:color="auto"/>
              <w:bottom w:val="nil"/>
              <w:right w:val="nil"/>
            </w:tcBorders>
            <w:vAlign w:val="bottom"/>
          </w:tcPr>
          <w:p w14:paraId="4B74A7FE" w14:textId="77777777" w:rsidR="007E37A8" w:rsidRPr="00A6679D" w:rsidRDefault="007E37A8" w:rsidP="00895815">
            <w:pPr>
              <w:rPr>
                <w:rFonts w:ascii="Arial" w:hAnsi="Arial" w:cs="Arial"/>
                <w:sz w:val="18"/>
                <w:szCs w:val="18"/>
              </w:rPr>
            </w:pPr>
            <w:r w:rsidRPr="00A6679D">
              <w:rPr>
                <w:rFonts w:ascii="Arial" w:hAnsi="Arial" w:cs="Arial"/>
                <w:sz w:val="18"/>
                <w:szCs w:val="18"/>
              </w:rPr>
              <w:t>SF3B1</w:t>
            </w:r>
          </w:p>
        </w:tc>
        <w:tc>
          <w:tcPr>
            <w:tcW w:w="3358" w:type="dxa"/>
            <w:tcBorders>
              <w:top w:val="single" w:sz="4" w:space="0" w:color="auto"/>
              <w:left w:val="nil"/>
              <w:bottom w:val="nil"/>
            </w:tcBorders>
            <w:vAlign w:val="bottom"/>
          </w:tcPr>
          <w:p w14:paraId="555D9D81" w14:textId="77777777" w:rsidR="007E37A8" w:rsidRPr="00A6679D" w:rsidRDefault="007E37A8" w:rsidP="00895815">
            <w:pPr>
              <w:rPr>
                <w:rFonts w:ascii="Arial" w:hAnsi="Arial" w:cs="Arial"/>
                <w:sz w:val="18"/>
                <w:szCs w:val="18"/>
              </w:rPr>
            </w:pPr>
            <w:r w:rsidRPr="00A6679D">
              <w:rPr>
                <w:rFonts w:ascii="Arial" w:hAnsi="Arial" w:cs="Arial"/>
                <w:sz w:val="18"/>
                <w:szCs w:val="18"/>
              </w:rPr>
              <w:t>c.2098A&gt;G, p.(Lys700Glu)</w:t>
            </w:r>
          </w:p>
        </w:tc>
        <w:tc>
          <w:tcPr>
            <w:tcW w:w="1461" w:type="dxa"/>
            <w:tcBorders>
              <w:top w:val="single" w:sz="4" w:space="0" w:color="auto"/>
              <w:left w:val="nil"/>
              <w:bottom w:val="nil"/>
              <w:right w:val="single" w:sz="4" w:space="0" w:color="auto"/>
            </w:tcBorders>
          </w:tcPr>
          <w:p w14:paraId="03703CBA" w14:textId="77777777" w:rsidR="007E37A8" w:rsidRPr="002E027B" w:rsidRDefault="007E37A8" w:rsidP="00895815">
            <w:pPr>
              <w:jc w:val="center"/>
              <w:rPr>
                <w:rFonts w:ascii="Arial" w:hAnsi="Arial" w:cs="Arial"/>
                <w:sz w:val="18"/>
                <w:szCs w:val="18"/>
              </w:rPr>
            </w:pPr>
          </w:p>
        </w:tc>
        <w:tc>
          <w:tcPr>
            <w:tcW w:w="1275" w:type="dxa"/>
            <w:tcBorders>
              <w:top w:val="single" w:sz="4" w:space="0" w:color="auto"/>
              <w:left w:val="single" w:sz="4" w:space="0" w:color="auto"/>
              <w:bottom w:val="single" w:sz="4" w:space="0" w:color="FFFFFF"/>
              <w:right w:val="single" w:sz="4" w:space="0" w:color="auto"/>
            </w:tcBorders>
          </w:tcPr>
          <w:p w14:paraId="03D65D67" w14:textId="77777777" w:rsidR="007E37A8" w:rsidRPr="002E027B" w:rsidRDefault="007E37A8" w:rsidP="00895815">
            <w:pPr>
              <w:jc w:val="center"/>
              <w:rPr>
                <w:rFonts w:ascii="Arial" w:hAnsi="Arial" w:cs="Arial"/>
                <w:sz w:val="18"/>
                <w:szCs w:val="18"/>
              </w:rPr>
            </w:pPr>
          </w:p>
        </w:tc>
        <w:tc>
          <w:tcPr>
            <w:tcW w:w="1275" w:type="dxa"/>
            <w:vMerge w:val="restart"/>
            <w:tcBorders>
              <w:top w:val="single" w:sz="4" w:space="0" w:color="auto"/>
              <w:left w:val="single" w:sz="4" w:space="0" w:color="auto"/>
            </w:tcBorders>
            <w:vAlign w:val="center"/>
          </w:tcPr>
          <w:p w14:paraId="51C9E3E0" w14:textId="77777777" w:rsidR="007E37A8" w:rsidRPr="002E027B" w:rsidRDefault="007E37A8" w:rsidP="00895815">
            <w:pPr>
              <w:rPr>
                <w:rFonts w:ascii="Arial" w:hAnsi="Arial" w:cs="Arial"/>
                <w:sz w:val="18"/>
                <w:szCs w:val="18"/>
              </w:rPr>
            </w:pPr>
            <w:r w:rsidRPr="002E027B">
              <w:rPr>
                <w:rFonts w:ascii="Arial" w:hAnsi="Arial" w:cs="Arial"/>
                <w:sz w:val="18"/>
                <w:szCs w:val="18"/>
              </w:rPr>
              <w:t>Unmutated</w:t>
            </w:r>
          </w:p>
        </w:tc>
      </w:tr>
      <w:tr w:rsidR="007E37A8" w14:paraId="7E1D3079" w14:textId="77777777" w:rsidTr="00895815">
        <w:trPr>
          <w:jc w:val="center"/>
        </w:trPr>
        <w:tc>
          <w:tcPr>
            <w:tcW w:w="1111" w:type="dxa"/>
            <w:vMerge/>
            <w:tcBorders>
              <w:top w:val="single" w:sz="6" w:space="0" w:color="auto"/>
              <w:bottom w:val="single" w:sz="6" w:space="0" w:color="auto"/>
              <w:right w:val="single" w:sz="4" w:space="0" w:color="auto"/>
            </w:tcBorders>
            <w:shd w:val="clear" w:color="auto" w:fill="F2F2F2" w:themeFill="background1" w:themeFillShade="F2"/>
            <w:vAlign w:val="center"/>
          </w:tcPr>
          <w:p w14:paraId="01F39261" w14:textId="77777777" w:rsidR="007E37A8" w:rsidRPr="006A4F62" w:rsidRDefault="007E37A8" w:rsidP="00895815">
            <w:pPr>
              <w:jc w:val="center"/>
              <w:rPr>
                <w:rFonts w:ascii="Arial" w:hAnsi="Arial" w:cs="Arial"/>
                <w:b/>
                <w:bCs/>
                <w:color w:val="000000"/>
                <w:sz w:val="18"/>
                <w:szCs w:val="18"/>
              </w:rPr>
            </w:pPr>
          </w:p>
        </w:tc>
        <w:tc>
          <w:tcPr>
            <w:tcW w:w="1319" w:type="dxa"/>
            <w:tcBorders>
              <w:top w:val="nil"/>
              <w:left w:val="single" w:sz="4" w:space="0" w:color="auto"/>
              <w:bottom w:val="nil"/>
              <w:right w:val="nil"/>
            </w:tcBorders>
            <w:vAlign w:val="bottom"/>
          </w:tcPr>
          <w:p w14:paraId="78433960" w14:textId="77777777" w:rsidR="007E37A8" w:rsidRPr="00162662" w:rsidRDefault="007E37A8" w:rsidP="00895815">
            <w:pPr>
              <w:rPr>
                <w:rFonts w:ascii="Arial" w:hAnsi="Arial" w:cs="Arial"/>
                <w:sz w:val="18"/>
                <w:szCs w:val="18"/>
              </w:rPr>
            </w:pPr>
            <w:r w:rsidRPr="00162662">
              <w:rPr>
                <w:rFonts w:ascii="Arial" w:hAnsi="Arial" w:cs="Arial"/>
                <w:sz w:val="18"/>
                <w:szCs w:val="18"/>
              </w:rPr>
              <w:t>NOTCH1</w:t>
            </w:r>
          </w:p>
        </w:tc>
        <w:tc>
          <w:tcPr>
            <w:tcW w:w="3217" w:type="dxa"/>
            <w:tcBorders>
              <w:top w:val="nil"/>
              <w:left w:val="nil"/>
              <w:bottom w:val="nil"/>
              <w:right w:val="single" w:sz="4" w:space="0" w:color="auto"/>
            </w:tcBorders>
            <w:vAlign w:val="bottom"/>
          </w:tcPr>
          <w:p w14:paraId="45FD032D" w14:textId="77777777" w:rsidR="007E37A8" w:rsidRPr="00162662" w:rsidRDefault="007E37A8" w:rsidP="00895815">
            <w:pPr>
              <w:rPr>
                <w:rFonts w:ascii="Arial" w:hAnsi="Arial" w:cs="Arial"/>
                <w:sz w:val="18"/>
                <w:szCs w:val="18"/>
              </w:rPr>
            </w:pPr>
            <w:r w:rsidRPr="00162662">
              <w:rPr>
                <w:rFonts w:ascii="Arial" w:hAnsi="Arial" w:cs="Arial"/>
                <w:sz w:val="18"/>
                <w:szCs w:val="18"/>
              </w:rPr>
              <w:t>c.7541_7542del, p.(Pro2514Argfs*4)</w:t>
            </w:r>
          </w:p>
        </w:tc>
        <w:tc>
          <w:tcPr>
            <w:tcW w:w="1603" w:type="dxa"/>
            <w:tcBorders>
              <w:top w:val="nil"/>
              <w:left w:val="single" w:sz="4" w:space="0" w:color="auto"/>
              <w:bottom w:val="nil"/>
              <w:right w:val="nil"/>
            </w:tcBorders>
            <w:vAlign w:val="bottom"/>
          </w:tcPr>
          <w:p w14:paraId="166FA3F3" w14:textId="77777777" w:rsidR="007E37A8" w:rsidRPr="00A6679D" w:rsidRDefault="007E37A8" w:rsidP="00895815">
            <w:pPr>
              <w:rPr>
                <w:rFonts w:ascii="Arial" w:hAnsi="Arial" w:cs="Arial"/>
                <w:sz w:val="18"/>
                <w:szCs w:val="18"/>
              </w:rPr>
            </w:pPr>
            <w:r w:rsidRPr="00A6679D">
              <w:rPr>
                <w:rFonts w:ascii="Arial" w:hAnsi="Arial" w:cs="Arial"/>
                <w:sz w:val="18"/>
                <w:szCs w:val="18"/>
              </w:rPr>
              <w:t>NOTCH1</w:t>
            </w:r>
          </w:p>
        </w:tc>
        <w:tc>
          <w:tcPr>
            <w:tcW w:w="3358" w:type="dxa"/>
            <w:tcBorders>
              <w:top w:val="nil"/>
              <w:left w:val="nil"/>
              <w:bottom w:val="nil"/>
            </w:tcBorders>
            <w:vAlign w:val="bottom"/>
          </w:tcPr>
          <w:p w14:paraId="53F16982" w14:textId="77777777" w:rsidR="007E37A8" w:rsidRPr="00A6679D" w:rsidRDefault="007E37A8" w:rsidP="00895815">
            <w:pPr>
              <w:rPr>
                <w:rFonts w:ascii="Arial" w:hAnsi="Arial" w:cs="Arial"/>
                <w:sz w:val="18"/>
                <w:szCs w:val="18"/>
              </w:rPr>
            </w:pPr>
            <w:r w:rsidRPr="00A6679D">
              <w:rPr>
                <w:rFonts w:ascii="Arial" w:hAnsi="Arial" w:cs="Arial"/>
                <w:sz w:val="18"/>
                <w:szCs w:val="18"/>
              </w:rPr>
              <w:t>c.7541_7542del, p.(Pro2514Argfs*4)</w:t>
            </w:r>
          </w:p>
        </w:tc>
        <w:tc>
          <w:tcPr>
            <w:tcW w:w="1461" w:type="dxa"/>
            <w:tcBorders>
              <w:top w:val="nil"/>
              <w:left w:val="nil"/>
              <w:bottom w:val="nil"/>
              <w:right w:val="single" w:sz="4" w:space="0" w:color="auto"/>
            </w:tcBorders>
          </w:tcPr>
          <w:p w14:paraId="6F697DF6" w14:textId="77777777" w:rsidR="007E37A8" w:rsidRPr="002E027B" w:rsidRDefault="007E37A8" w:rsidP="00895815">
            <w:pPr>
              <w:jc w:val="center"/>
              <w:rPr>
                <w:rFonts w:ascii="Arial" w:hAnsi="Arial" w:cs="Arial"/>
                <w:sz w:val="18"/>
                <w:szCs w:val="18"/>
              </w:rPr>
            </w:pPr>
          </w:p>
        </w:tc>
        <w:tc>
          <w:tcPr>
            <w:tcW w:w="1275" w:type="dxa"/>
            <w:tcBorders>
              <w:top w:val="single" w:sz="4" w:space="0" w:color="FFFFFF"/>
              <w:left w:val="single" w:sz="4" w:space="0" w:color="auto"/>
              <w:bottom w:val="single" w:sz="4" w:space="0" w:color="FFFFFF"/>
              <w:right w:val="single" w:sz="4" w:space="0" w:color="auto"/>
            </w:tcBorders>
          </w:tcPr>
          <w:p w14:paraId="3D122920"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tcBorders>
            <w:vAlign w:val="center"/>
          </w:tcPr>
          <w:p w14:paraId="7CC07388" w14:textId="77777777" w:rsidR="007E37A8" w:rsidRPr="002E027B" w:rsidRDefault="007E37A8" w:rsidP="00895815">
            <w:pPr>
              <w:rPr>
                <w:rFonts w:ascii="Arial" w:hAnsi="Arial" w:cs="Arial"/>
                <w:sz w:val="18"/>
                <w:szCs w:val="18"/>
              </w:rPr>
            </w:pPr>
          </w:p>
        </w:tc>
      </w:tr>
      <w:tr w:rsidR="007E37A8" w14:paraId="70A8BD94" w14:textId="77777777" w:rsidTr="00895815">
        <w:trPr>
          <w:jc w:val="center"/>
        </w:trPr>
        <w:tc>
          <w:tcPr>
            <w:tcW w:w="1111" w:type="dxa"/>
            <w:vMerge/>
            <w:tcBorders>
              <w:top w:val="single" w:sz="6" w:space="0" w:color="auto"/>
              <w:bottom w:val="single" w:sz="6" w:space="0" w:color="auto"/>
              <w:right w:val="single" w:sz="4" w:space="0" w:color="auto"/>
            </w:tcBorders>
            <w:shd w:val="clear" w:color="auto" w:fill="F2F2F2" w:themeFill="background1" w:themeFillShade="F2"/>
            <w:vAlign w:val="center"/>
          </w:tcPr>
          <w:p w14:paraId="40D98CC4" w14:textId="77777777" w:rsidR="007E37A8" w:rsidRPr="006A4F62" w:rsidRDefault="007E37A8" w:rsidP="00895815">
            <w:pPr>
              <w:jc w:val="center"/>
              <w:rPr>
                <w:rFonts w:ascii="Arial" w:hAnsi="Arial" w:cs="Arial"/>
                <w:b/>
                <w:bCs/>
                <w:color w:val="000000"/>
                <w:sz w:val="18"/>
                <w:szCs w:val="18"/>
              </w:rPr>
            </w:pPr>
          </w:p>
        </w:tc>
        <w:tc>
          <w:tcPr>
            <w:tcW w:w="1319" w:type="dxa"/>
            <w:tcBorders>
              <w:top w:val="nil"/>
              <w:left w:val="single" w:sz="4" w:space="0" w:color="auto"/>
              <w:bottom w:val="nil"/>
              <w:right w:val="nil"/>
            </w:tcBorders>
            <w:vAlign w:val="bottom"/>
          </w:tcPr>
          <w:p w14:paraId="74FA09F3" w14:textId="77777777" w:rsidR="007E37A8" w:rsidRPr="00162662" w:rsidRDefault="007E37A8" w:rsidP="00895815">
            <w:pPr>
              <w:rPr>
                <w:rFonts w:ascii="Arial" w:hAnsi="Arial" w:cs="Arial"/>
                <w:sz w:val="18"/>
                <w:szCs w:val="18"/>
              </w:rPr>
            </w:pPr>
            <w:r w:rsidRPr="00162662">
              <w:rPr>
                <w:rFonts w:ascii="Arial" w:hAnsi="Arial" w:cs="Arial"/>
                <w:sz w:val="18"/>
                <w:szCs w:val="18"/>
              </w:rPr>
              <w:t>BIRC3</w:t>
            </w:r>
          </w:p>
        </w:tc>
        <w:tc>
          <w:tcPr>
            <w:tcW w:w="3217" w:type="dxa"/>
            <w:tcBorders>
              <w:top w:val="nil"/>
              <w:left w:val="nil"/>
              <w:bottom w:val="nil"/>
              <w:right w:val="single" w:sz="4" w:space="0" w:color="auto"/>
            </w:tcBorders>
            <w:vAlign w:val="bottom"/>
          </w:tcPr>
          <w:p w14:paraId="375CABCF" w14:textId="77777777" w:rsidR="007E37A8" w:rsidRPr="00162662" w:rsidRDefault="007E37A8" w:rsidP="00895815">
            <w:pPr>
              <w:rPr>
                <w:rFonts w:ascii="Arial" w:hAnsi="Arial" w:cs="Arial"/>
                <w:sz w:val="18"/>
                <w:szCs w:val="18"/>
              </w:rPr>
            </w:pPr>
            <w:r w:rsidRPr="00162662">
              <w:rPr>
                <w:rFonts w:ascii="Arial" w:hAnsi="Arial" w:cs="Arial"/>
                <w:sz w:val="18"/>
                <w:szCs w:val="18"/>
              </w:rPr>
              <w:t>c.1670_1673del, p.(Cys557*)</w:t>
            </w:r>
          </w:p>
        </w:tc>
        <w:tc>
          <w:tcPr>
            <w:tcW w:w="1603" w:type="dxa"/>
            <w:tcBorders>
              <w:top w:val="nil"/>
              <w:left w:val="single" w:sz="4" w:space="0" w:color="auto"/>
              <w:bottom w:val="nil"/>
              <w:right w:val="nil"/>
            </w:tcBorders>
            <w:vAlign w:val="bottom"/>
          </w:tcPr>
          <w:p w14:paraId="7937F9B0" w14:textId="77777777" w:rsidR="007E37A8" w:rsidRPr="00A6679D" w:rsidRDefault="007E37A8" w:rsidP="00895815">
            <w:pPr>
              <w:rPr>
                <w:rFonts w:ascii="Arial" w:hAnsi="Arial" w:cs="Arial"/>
                <w:sz w:val="18"/>
                <w:szCs w:val="18"/>
              </w:rPr>
            </w:pPr>
            <w:r w:rsidRPr="00A6679D">
              <w:rPr>
                <w:rFonts w:ascii="Arial" w:hAnsi="Arial" w:cs="Arial"/>
                <w:sz w:val="18"/>
                <w:szCs w:val="18"/>
              </w:rPr>
              <w:t>BIRC3</w:t>
            </w:r>
          </w:p>
        </w:tc>
        <w:tc>
          <w:tcPr>
            <w:tcW w:w="3358" w:type="dxa"/>
            <w:tcBorders>
              <w:top w:val="nil"/>
              <w:left w:val="nil"/>
              <w:bottom w:val="nil"/>
            </w:tcBorders>
            <w:vAlign w:val="bottom"/>
          </w:tcPr>
          <w:p w14:paraId="7372DECE" w14:textId="77777777" w:rsidR="007E37A8" w:rsidRPr="00A6679D" w:rsidRDefault="007E37A8" w:rsidP="00895815">
            <w:pPr>
              <w:rPr>
                <w:rFonts w:ascii="Arial" w:hAnsi="Arial" w:cs="Arial"/>
                <w:sz w:val="18"/>
                <w:szCs w:val="18"/>
              </w:rPr>
            </w:pPr>
            <w:r w:rsidRPr="00A6679D">
              <w:rPr>
                <w:rFonts w:ascii="Arial" w:hAnsi="Arial" w:cs="Arial"/>
                <w:sz w:val="18"/>
                <w:szCs w:val="18"/>
              </w:rPr>
              <w:t>c.1670_1673del, p.(Cys557*)</w:t>
            </w:r>
          </w:p>
        </w:tc>
        <w:tc>
          <w:tcPr>
            <w:tcW w:w="1461" w:type="dxa"/>
            <w:tcBorders>
              <w:top w:val="nil"/>
              <w:left w:val="nil"/>
              <w:bottom w:val="nil"/>
              <w:right w:val="single" w:sz="4" w:space="0" w:color="auto"/>
            </w:tcBorders>
          </w:tcPr>
          <w:p w14:paraId="18DA6712" w14:textId="77777777" w:rsidR="007E37A8" w:rsidRPr="002E027B" w:rsidRDefault="007E37A8" w:rsidP="00895815">
            <w:pPr>
              <w:jc w:val="center"/>
              <w:rPr>
                <w:rFonts w:ascii="Arial" w:hAnsi="Arial" w:cs="Arial"/>
                <w:sz w:val="18"/>
                <w:szCs w:val="18"/>
              </w:rPr>
            </w:pPr>
          </w:p>
        </w:tc>
        <w:tc>
          <w:tcPr>
            <w:tcW w:w="1275" w:type="dxa"/>
            <w:tcBorders>
              <w:top w:val="single" w:sz="4" w:space="0" w:color="FFFFFF"/>
              <w:left w:val="single" w:sz="4" w:space="0" w:color="auto"/>
              <w:bottom w:val="single" w:sz="4" w:space="0" w:color="FFFFFF"/>
              <w:right w:val="single" w:sz="4" w:space="0" w:color="auto"/>
            </w:tcBorders>
          </w:tcPr>
          <w:p w14:paraId="0DB0D61D"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tcBorders>
            <w:vAlign w:val="center"/>
          </w:tcPr>
          <w:p w14:paraId="5412CF54" w14:textId="77777777" w:rsidR="007E37A8" w:rsidRPr="002E027B" w:rsidRDefault="007E37A8" w:rsidP="00895815">
            <w:pPr>
              <w:rPr>
                <w:rFonts w:ascii="Arial" w:hAnsi="Arial" w:cs="Arial"/>
                <w:sz w:val="18"/>
                <w:szCs w:val="18"/>
              </w:rPr>
            </w:pPr>
          </w:p>
        </w:tc>
      </w:tr>
      <w:tr w:rsidR="007E37A8" w14:paraId="241EAE82" w14:textId="77777777" w:rsidTr="00895815">
        <w:trPr>
          <w:jc w:val="center"/>
        </w:trPr>
        <w:tc>
          <w:tcPr>
            <w:tcW w:w="1111" w:type="dxa"/>
            <w:vMerge/>
            <w:tcBorders>
              <w:top w:val="single" w:sz="6" w:space="0" w:color="auto"/>
              <w:bottom w:val="single" w:sz="6" w:space="0" w:color="auto"/>
              <w:right w:val="single" w:sz="4" w:space="0" w:color="auto"/>
            </w:tcBorders>
            <w:shd w:val="clear" w:color="auto" w:fill="F2F2F2" w:themeFill="background1" w:themeFillShade="F2"/>
            <w:vAlign w:val="center"/>
          </w:tcPr>
          <w:p w14:paraId="147DBE78" w14:textId="77777777" w:rsidR="007E37A8" w:rsidRPr="006A4F62" w:rsidRDefault="007E37A8" w:rsidP="00895815">
            <w:pPr>
              <w:jc w:val="center"/>
              <w:rPr>
                <w:rFonts w:ascii="Arial" w:hAnsi="Arial" w:cs="Arial"/>
                <w:b/>
                <w:bCs/>
                <w:color w:val="000000"/>
                <w:sz w:val="18"/>
                <w:szCs w:val="18"/>
              </w:rPr>
            </w:pPr>
          </w:p>
        </w:tc>
        <w:tc>
          <w:tcPr>
            <w:tcW w:w="1319" w:type="dxa"/>
            <w:tcBorders>
              <w:top w:val="nil"/>
              <w:left w:val="single" w:sz="4" w:space="0" w:color="auto"/>
              <w:bottom w:val="single" w:sz="4" w:space="0" w:color="auto"/>
              <w:right w:val="nil"/>
            </w:tcBorders>
            <w:vAlign w:val="bottom"/>
          </w:tcPr>
          <w:p w14:paraId="3700C40E" w14:textId="77777777" w:rsidR="007E37A8" w:rsidRPr="00162662" w:rsidRDefault="007E37A8" w:rsidP="00895815">
            <w:pPr>
              <w:rPr>
                <w:rFonts w:ascii="Arial" w:hAnsi="Arial" w:cs="Arial"/>
                <w:sz w:val="18"/>
                <w:szCs w:val="18"/>
              </w:rPr>
            </w:pPr>
            <w:r w:rsidRPr="00162662">
              <w:rPr>
                <w:rFonts w:ascii="Arial" w:hAnsi="Arial" w:cs="Arial"/>
                <w:sz w:val="18"/>
                <w:szCs w:val="18"/>
              </w:rPr>
              <w:t>TP53</w:t>
            </w:r>
          </w:p>
        </w:tc>
        <w:tc>
          <w:tcPr>
            <w:tcW w:w="3217" w:type="dxa"/>
            <w:tcBorders>
              <w:top w:val="nil"/>
              <w:left w:val="nil"/>
              <w:bottom w:val="single" w:sz="4" w:space="0" w:color="auto"/>
              <w:right w:val="single" w:sz="4" w:space="0" w:color="auto"/>
            </w:tcBorders>
            <w:vAlign w:val="bottom"/>
          </w:tcPr>
          <w:p w14:paraId="336E2B59" w14:textId="77777777" w:rsidR="007E37A8" w:rsidRPr="00162662" w:rsidRDefault="007E37A8" w:rsidP="00895815">
            <w:pPr>
              <w:rPr>
                <w:rFonts w:ascii="Arial" w:hAnsi="Arial" w:cs="Arial"/>
                <w:sz w:val="18"/>
                <w:szCs w:val="18"/>
              </w:rPr>
            </w:pPr>
            <w:r w:rsidRPr="00162662">
              <w:rPr>
                <w:rFonts w:ascii="Arial" w:hAnsi="Arial" w:cs="Arial"/>
                <w:sz w:val="18"/>
                <w:szCs w:val="18"/>
              </w:rPr>
              <w:t>c.166_167insT, p.(Glu56Valfs*7)</w:t>
            </w:r>
          </w:p>
        </w:tc>
        <w:tc>
          <w:tcPr>
            <w:tcW w:w="1603" w:type="dxa"/>
            <w:tcBorders>
              <w:top w:val="nil"/>
              <w:left w:val="single" w:sz="4" w:space="0" w:color="auto"/>
              <w:bottom w:val="single" w:sz="4" w:space="0" w:color="auto"/>
              <w:right w:val="nil"/>
            </w:tcBorders>
            <w:vAlign w:val="bottom"/>
          </w:tcPr>
          <w:p w14:paraId="2481BC24" w14:textId="77777777" w:rsidR="007E37A8" w:rsidRPr="006A4F62" w:rsidRDefault="007E37A8" w:rsidP="00895815">
            <w:pPr>
              <w:rPr>
                <w:rFonts w:ascii="Arial" w:hAnsi="Arial" w:cs="Arial"/>
                <w:b/>
                <w:bCs/>
                <w:color w:val="000000"/>
                <w:sz w:val="18"/>
                <w:szCs w:val="18"/>
              </w:rPr>
            </w:pPr>
          </w:p>
        </w:tc>
        <w:tc>
          <w:tcPr>
            <w:tcW w:w="3358" w:type="dxa"/>
            <w:tcBorders>
              <w:top w:val="nil"/>
              <w:left w:val="nil"/>
              <w:bottom w:val="single" w:sz="4" w:space="0" w:color="auto"/>
            </w:tcBorders>
            <w:vAlign w:val="bottom"/>
          </w:tcPr>
          <w:p w14:paraId="201B7D82" w14:textId="77777777" w:rsidR="007E37A8" w:rsidRPr="006A4F62" w:rsidRDefault="007E37A8" w:rsidP="00895815">
            <w:pPr>
              <w:rPr>
                <w:rFonts w:ascii="Arial" w:hAnsi="Arial" w:cs="Arial"/>
                <w:b/>
                <w:bCs/>
                <w:color w:val="000000"/>
                <w:sz w:val="18"/>
                <w:szCs w:val="18"/>
              </w:rPr>
            </w:pPr>
          </w:p>
        </w:tc>
        <w:tc>
          <w:tcPr>
            <w:tcW w:w="1461" w:type="dxa"/>
            <w:tcBorders>
              <w:top w:val="nil"/>
              <w:left w:val="nil"/>
              <w:bottom w:val="single" w:sz="4" w:space="0" w:color="auto"/>
              <w:right w:val="single" w:sz="4" w:space="0" w:color="auto"/>
            </w:tcBorders>
          </w:tcPr>
          <w:p w14:paraId="59AAA231" w14:textId="77777777" w:rsidR="007E37A8" w:rsidRPr="002E027B" w:rsidRDefault="007E37A8" w:rsidP="00895815">
            <w:pPr>
              <w:jc w:val="center"/>
              <w:rPr>
                <w:rFonts w:ascii="Arial" w:hAnsi="Arial" w:cs="Arial"/>
                <w:bCs/>
                <w:sz w:val="18"/>
                <w:szCs w:val="18"/>
              </w:rPr>
            </w:pPr>
          </w:p>
        </w:tc>
        <w:tc>
          <w:tcPr>
            <w:tcW w:w="1275" w:type="dxa"/>
            <w:tcBorders>
              <w:top w:val="single" w:sz="4" w:space="0" w:color="FFFFFF"/>
              <w:left w:val="single" w:sz="4" w:space="0" w:color="auto"/>
              <w:bottom w:val="single" w:sz="4" w:space="0" w:color="auto"/>
              <w:right w:val="single" w:sz="4" w:space="0" w:color="auto"/>
            </w:tcBorders>
          </w:tcPr>
          <w:p w14:paraId="021D13F6" w14:textId="77777777" w:rsidR="007E37A8" w:rsidRPr="002E027B" w:rsidRDefault="007E37A8" w:rsidP="00895815">
            <w:pPr>
              <w:jc w:val="center"/>
              <w:rPr>
                <w:rFonts w:ascii="Arial" w:hAnsi="Arial" w:cs="Arial"/>
                <w:bCs/>
                <w:sz w:val="18"/>
                <w:szCs w:val="18"/>
              </w:rPr>
            </w:pPr>
          </w:p>
        </w:tc>
        <w:tc>
          <w:tcPr>
            <w:tcW w:w="1275" w:type="dxa"/>
            <w:vMerge/>
            <w:tcBorders>
              <w:left w:val="single" w:sz="4" w:space="0" w:color="auto"/>
              <w:bottom w:val="single" w:sz="4" w:space="0" w:color="auto"/>
            </w:tcBorders>
            <w:vAlign w:val="center"/>
          </w:tcPr>
          <w:p w14:paraId="309375E5" w14:textId="77777777" w:rsidR="007E37A8" w:rsidRPr="002E027B" w:rsidRDefault="007E37A8" w:rsidP="00895815">
            <w:pPr>
              <w:rPr>
                <w:rFonts w:ascii="Arial" w:hAnsi="Arial" w:cs="Arial"/>
                <w:bCs/>
                <w:sz w:val="18"/>
                <w:szCs w:val="18"/>
              </w:rPr>
            </w:pPr>
          </w:p>
        </w:tc>
      </w:tr>
      <w:tr w:rsidR="007E37A8" w14:paraId="10520435" w14:textId="77777777" w:rsidTr="00895815">
        <w:trPr>
          <w:jc w:val="center"/>
        </w:trPr>
        <w:tc>
          <w:tcPr>
            <w:tcW w:w="1111" w:type="dxa"/>
            <w:vMerge w:val="restart"/>
            <w:tcBorders>
              <w:top w:val="single" w:sz="4" w:space="0" w:color="FFFFFF"/>
              <w:bottom w:val="single" w:sz="6" w:space="0" w:color="auto"/>
            </w:tcBorders>
            <w:shd w:val="clear" w:color="auto" w:fill="DEEAF6" w:themeFill="accent5" w:themeFillTint="33"/>
            <w:vAlign w:val="center"/>
          </w:tcPr>
          <w:p w14:paraId="48197350"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t>CLL2</w:t>
            </w:r>
          </w:p>
        </w:tc>
        <w:tc>
          <w:tcPr>
            <w:tcW w:w="1319" w:type="dxa"/>
            <w:tcBorders>
              <w:top w:val="single" w:sz="4" w:space="0" w:color="FFFFFF"/>
              <w:bottom w:val="nil"/>
              <w:right w:val="nil"/>
            </w:tcBorders>
            <w:shd w:val="clear" w:color="auto" w:fill="DEEAF6" w:themeFill="accent5" w:themeFillTint="33"/>
            <w:vAlign w:val="bottom"/>
          </w:tcPr>
          <w:p w14:paraId="1369A5D9" w14:textId="77777777" w:rsidR="007E37A8" w:rsidRPr="00162662" w:rsidRDefault="007E37A8" w:rsidP="00895815">
            <w:pPr>
              <w:rPr>
                <w:rFonts w:ascii="Arial" w:hAnsi="Arial" w:cs="Arial"/>
                <w:sz w:val="18"/>
                <w:szCs w:val="18"/>
              </w:rPr>
            </w:pPr>
            <w:r w:rsidRPr="00162662">
              <w:rPr>
                <w:rFonts w:ascii="Arial" w:hAnsi="Arial" w:cs="Arial"/>
                <w:sz w:val="18"/>
                <w:szCs w:val="18"/>
              </w:rPr>
              <w:t>NOTCH1</w:t>
            </w:r>
          </w:p>
        </w:tc>
        <w:tc>
          <w:tcPr>
            <w:tcW w:w="3217" w:type="dxa"/>
            <w:tcBorders>
              <w:top w:val="single" w:sz="4" w:space="0" w:color="FFFFFF"/>
              <w:left w:val="nil"/>
              <w:bottom w:val="nil"/>
            </w:tcBorders>
            <w:shd w:val="clear" w:color="auto" w:fill="DEEAF6" w:themeFill="accent5" w:themeFillTint="33"/>
            <w:vAlign w:val="bottom"/>
          </w:tcPr>
          <w:p w14:paraId="570C2AE1" w14:textId="77777777" w:rsidR="007E37A8" w:rsidRPr="00162662" w:rsidRDefault="007E37A8" w:rsidP="00895815">
            <w:pPr>
              <w:rPr>
                <w:rFonts w:ascii="Arial" w:hAnsi="Arial" w:cs="Arial"/>
                <w:sz w:val="18"/>
                <w:szCs w:val="18"/>
              </w:rPr>
            </w:pPr>
            <w:r w:rsidRPr="00162662">
              <w:rPr>
                <w:rFonts w:ascii="Arial" w:hAnsi="Arial" w:cs="Arial"/>
                <w:sz w:val="18"/>
                <w:szCs w:val="18"/>
              </w:rPr>
              <w:t>c.7541_7542del, p.(Pro2514Argfs*4)</w:t>
            </w:r>
          </w:p>
        </w:tc>
        <w:tc>
          <w:tcPr>
            <w:tcW w:w="1603" w:type="dxa"/>
            <w:tcBorders>
              <w:top w:val="single" w:sz="4" w:space="0" w:color="FFFFFF"/>
              <w:bottom w:val="nil"/>
              <w:right w:val="nil"/>
            </w:tcBorders>
            <w:shd w:val="clear" w:color="auto" w:fill="DEEAF6" w:themeFill="accent5" w:themeFillTint="33"/>
            <w:vAlign w:val="bottom"/>
          </w:tcPr>
          <w:p w14:paraId="08D5EAA9" w14:textId="77777777" w:rsidR="007E37A8" w:rsidRPr="00A6679D" w:rsidRDefault="007E37A8" w:rsidP="00895815">
            <w:pPr>
              <w:rPr>
                <w:rFonts w:ascii="Arial" w:hAnsi="Arial" w:cs="Arial"/>
                <w:sz w:val="18"/>
                <w:szCs w:val="18"/>
              </w:rPr>
            </w:pPr>
            <w:r w:rsidRPr="00A6679D">
              <w:rPr>
                <w:rFonts w:ascii="Arial" w:hAnsi="Arial" w:cs="Arial"/>
                <w:sz w:val="18"/>
                <w:szCs w:val="18"/>
              </w:rPr>
              <w:t>NOTCH1</w:t>
            </w:r>
          </w:p>
        </w:tc>
        <w:tc>
          <w:tcPr>
            <w:tcW w:w="3358" w:type="dxa"/>
            <w:tcBorders>
              <w:top w:val="single" w:sz="4" w:space="0" w:color="FFFFFF"/>
              <w:left w:val="nil"/>
              <w:bottom w:val="nil"/>
            </w:tcBorders>
            <w:shd w:val="clear" w:color="auto" w:fill="DEEAF6" w:themeFill="accent5" w:themeFillTint="33"/>
            <w:vAlign w:val="bottom"/>
          </w:tcPr>
          <w:p w14:paraId="1197FE9C" w14:textId="77777777" w:rsidR="007E37A8" w:rsidRPr="00A6679D" w:rsidRDefault="007E37A8" w:rsidP="00895815">
            <w:pPr>
              <w:rPr>
                <w:rFonts w:ascii="Arial" w:hAnsi="Arial" w:cs="Arial"/>
                <w:sz w:val="18"/>
                <w:szCs w:val="18"/>
              </w:rPr>
            </w:pPr>
            <w:r w:rsidRPr="00A6679D">
              <w:rPr>
                <w:rFonts w:ascii="Arial" w:hAnsi="Arial" w:cs="Arial"/>
                <w:sz w:val="18"/>
                <w:szCs w:val="18"/>
              </w:rPr>
              <w:t>c.7541_7542del, p.(Pro2514Argfs*4)</w:t>
            </w:r>
          </w:p>
        </w:tc>
        <w:tc>
          <w:tcPr>
            <w:tcW w:w="1461" w:type="dxa"/>
            <w:tcBorders>
              <w:top w:val="single" w:sz="4" w:space="0" w:color="FFFFFF"/>
              <w:left w:val="nil"/>
              <w:bottom w:val="nil"/>
              <w:right w:val="single" w:sz="4" w:space="0" w:color="auto"/>
            </w:tcBorders>
            <w:shd w:val="clear" w:color="auto" w:fill="DEEAF6" w:themeFill="accent5" w:themeFillTint="33"/>
          </w:tcPr>
          <w:p w14:paraId="0F0F5668" w14:textId="77777777" w:rsidR="007E37A8" w:rsidRPr="002E027B" w:rsidRDefault="007E37A8" w:rsidP="00895815">
            <w:pPr>
              <w:jc w:val="center"/>
              <w:rPr>
                <w:rFonts w:ascii="Arial" w:hAnsi="Arial" w:cs="Arial"/>
                <w:sz w:val="18"/>
                <w:szCs w:val="18"/>
              </w:rPr>
            </w:pPr>
          </w:p>
        </w:tc>
        <w:tc>
          <w:tcPr>
            <w:tcW w:w="1275" w:type="dxa"/>
            <w:tcBorders>
              <w:top w:val="single" w:sz="4" w:space="0" w:color="auto"/>
              <w:left w:val="single" w:sz="4" w:space="0" w:color="auto"/>
              <w:bottom w:val="nil"/>
              <w:right w:val="single" w:sz="4" w:space="0" w:color="auto"/>
            </w:tcBorders>
            <w:shd w:val="clear" w:color="auto" w:fill="DEEAF6" w:themeFill="accent5" w:themeFillTint="33"/>
          </w:tcPr>
          <w:p w14:paraId="5A727BF1" w14:textId="77777777" w:rsidR="007E37A8" w:rsidRPr="002E027B" w:rsidRDefault="007E37A8" w:rsidP="00895815">
            <w:pPr>
              <w:jc w:val="center"/>
              <w:rPr>
                <w:rFonts w:ascii="Arial" w:hAnsi="Arial" w:cs="Arial"/>
                <w:sz w:val="18"/>
                <w:szCs w:val="18"/>
              </w:rPr>
            </w:pPr>
          </w:p>
        </w:tc>
        <w:tc>
          <w:tcPr>
            <w:tcW w:w="1275" w:type="dxa"/>
            <w:vMerge w:val="restart"/>
            <w:tcBorders>
              <w:top w:val="single" w:sz="4" w:space="0" w:color="FFFFFF"/>
              <w:left w:val="single" w:sz="4" w:space="0" w:color="auto"/>
            </w:tcBorders>
            <w:shd w:val="clear" w:color="auto" w:fill="DEEAF6" w:themeFill="accent5" w:themeFillTint="33"/>
            <w:vAlign w:val="center"/>
          </w:tcPr>
          <w:p w14:paraId="7509B42C" w14:textId="77777777" w:rsidR="007E37A8" w:rsidRPr="002E027B" w:rsidRDefault="007E37A8" w:rsidP="00895815">
            <w:pPr>
              <w:rPr>
                <w:rFonts w:ascii="Arial" w:hAnsi="Arial" w:cs="Arial"/>
                <w:sz w:val="18"/>
                <w:szCs w:val="18"/>
              </w:rPr>
            </w:pPr>
            <w:r w:rsidRPr="002E027B">
              <w:rPr>
                <w:rFonts w:ascii="Arial" w:hAnsi="Arial" w:cs="Arial"/>
                <w:sz w:val="18"/>
                <w:szCs w:val="18"/>
              </w:rPr>
              <w:t>Unmutated</w:t>
            </w:r>
          </w:p>
        </w:tc>
      </w:tr>
      <w:tr w:rsidR="007E37A8" w14:paraId="7AD16EFB" w14:textId="77777777" w:rsidTr="00895815">
        <w:trPr>
          <w:jc w:val="center"/>
        </w:trPr>
        <w:tc>
          <w:tcPr>
            <w:tcW w:w="1111" w:type="dxa"/>
            <w:vMerge/>
            <w:tcBorders>
              <w:top w:val="single" w:sz="6" w:space="0" w:color="auto"/>
              <w:bottom w:val="single" w:sz="6" w:space="0" w:color="auto"/>
            </w:tcBorders>
            <w:shd w:val="clear" w:color="auto" w:fill="DEEAF6" w:themeFill="accent5" w:themeFillTint="33"/>
            <w:vAlign w:val="center"/>
          </w:tcPr>
          <w:p w14:paraId="35782146"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nil"/>
              <w:right w:val="nil"/>
            </w:tcBorders>
            <w:shd w:val="clear" w:color="auto" w:fill="DEEAF6" w:themeFill="accent5" w:themeFillTint="33"/>
            <w:vAlign w:val="bottom"/>
          </w:tcPr>
          <w:p w14:paraId="5CA140DC" w14:textId="77777777" w:rsidR="007E37A8" w:rsidRPr="00162662" w:rsidRDefault="007E37A8" w:rsidP="00895815">
            <w:pPr>
              <w:rPr>
                <w:rFonts w:ascii="Arial" w:hAnsi="Arial" w:cs="Arial"/>
                <w:sz w:val="18"/>
                <w:szCs w:val="18"/>
              </w:rPr>
            </w:pPr>
            <w:r w:rsidRPr="00162662">
              <w:rPr>
                <w:rFonts w:ascii="Arial" w:hAnsi="Arial" w:cs="Arial"/>
                <w:sz w:val="18"/>
                <w:szCs w:val="18"/>
              </w:rPr>
              <w:t>TP53</w:t>
            </w:r>
          </w:p>
        </w:tc>
        <w:tc>
          <w:tcPr>
            <w:tcW w:w="3217" w:type="dxa"/>
            <w:tcBorders>
              <w:top w:val="nil"/>
              <w:left w:val="nil"/>
              <w:bottom w:val="nil"/>
            </w:tcBorders>
            <w:shd w:val="clear" w:color="auto" w:fill="DEEAF6" w:themeFill="accent5" w:themeFillTint="33"/>
            <w:vAlign w:val="bottom"/>
          </w:tcPr>
          <w:p w14:paraId="31422E3C" w14:textId="77777777" w:rsidR="007E37A8" w:rsidRPr="00162662" w:rsidRDefault="007E37A8" w:rsidP="00895815">
            <w:pPr>
              <w:rPr>
                <w:rFonts w:ascii="Arial" w:hAnsi="Arial" w:cs="Arial"/>
                <w:sz w:val="18"/>
                <w:szCs w:val="18"/>
              </w:rPr>
            </w:pPr>
            <w:r w:rsidRPr="00162662">
              <w:rPr>
                <w:rFonts w:ascii="Arial" w:hAnsi="Arial" w:cs="Arial"/>
                <w:sz w:val="18"/>
                <w:szCs w:val="18"/>
              </w:rPr>
              <w:t>c.626_627del, p.(Arg209Lysfs*6)</w:t>
            </w:r>
          </w:p>
        </w:tc>
        <w:tc>
          <w:tcPr>
            <w:tcW w:w="1603" w:type="dxa"/>
            <w:tcBorders>
              <w:top w:val="nil"/>
              <w:bottom w:val="nil"/>
              <w:right w:val="nil"/>
            </w:tcBorders>
            <w:shd w:val="clear" w:color="auto" w:fill="DEEAF6" w:themeFill="accent5" w:themeFillTint="33"/>
            <w:vAlign w:val="bottom"/>
          </w:tcPr>
          <w:p w14:paraId="52F4865E" w14:textId="77777777" w:rsidR="007E37A8" w:rsidRPr="00A6679D" w:rsidRDefault="007E37A8" w:rsidP="00895815">
            <w:pPr>
              <w:rPr>
                <w:rFonts w:ascii="Arial" w:hAnsi="Arial" w:cs="Arial"/>
                <w:sz w:val="18"/>
                <w:szCs w:val="18"/>
              </w:rPr>
            </w:pPr>
            <w:r w:rsidRPr="00A6679D">
              <w:rPr>
                <w:rFonts w:ascii="Arial" w:hAnsi="Arial" w:cs="Arial"/>
                <w:sz w:val="18"/>
                <w:szCs w:val="18"/>
              </w:rPr>
              <w:t>TP53</w:t>
            </w:r>
          </w:p>
        </w:tc>
        <w:tc>
          <w:tcPr>
            <w:tcW w:w="3358" w:type="dxa"/>
            <w:tcBorders>
              <w:top w:val="nil"/>
              <w:left w:val="nil"/>
              <w:bottom w:val="nil"/>
            </w:tcBorders>
            <w:shd w:val="clear" w:color="auto" w:fill="DEEAF6" w:themeFill="accent5" w:themeFillTint="33"/>
            <w:vAlign w:val="bottom"/>
          </w:tcPr>
          <w:p w14:paraId="09D3A46F" w14:textId="77777777" w:rsidR="007E37A8" w:rsidRPr="00A6679D" w:rsidRDefault="007E37A8" w:rsidP="00895815">
            <w:pPr>
              <w:rPr>
                <w:rFonts w:ascii="Arial" w:hAnsi="Arial" w:cs="Arial"/>
                <w:sz w:val="18"/>
                <w:szCs w:val="18"/>
              </w:rPr>
            </w:pPr>
            <w:r w:rsidRPr="00A6679D">
              <w:rPr>
                <w:rFonts w:ascii="Arial" w:hAnsi="Arial" w:cs="Arial"/>
                <w:sz w:val="18"/>
                <w:szCs w:val="18"/>
              </w:rPr>
              <w:t>c.626_627del, p.(Arg209Lysfs*6)</w:t>
            </w:r>
          </w:p>
        </w:tc>
        <w:tc>
          <w:tcPr>
            <w:tcW w:w="1461" w:type="dxa"/>
            <w:tcBorders>
              <w:top w:val="nil"/>
              <w:left w:val="nil"/>
              <w:bottom w:val="nil"/>
              <w:right w:val="single" w:sz="4" w:space="0" w:color="auto"/>
            </w:tcBorders>
            <w:shd w:val="clear" w:color="auto" w:fill="DEEAF6" w:themeFill="accent5" w:themeFillTint="33"/>
          </w:tcPr>
          <w:p w14:paraId="1757F976" w14:textId="77777777" w:rsidR="007E37A8" w:rsidRPr="002E027B" w:rsidRDefault="007E37A8" w:rsidP="00895815">
            <w:pPr>
              <w:jc w:val="center"/>
              <w:rPr>
                <w:rFonts w:ascii="Arial" w:hAnsi="Arial" w:cs="Arial"/>
                <w:sz w:val="18"/>
                <w:szCs w:val="18"/>
              </w:rPr>
            </w:pPr>
          </w:p>
        </w:tc>
        <w:tc>
          <w:tcPr>
            <w:tcW w:w="1275" w:type="dxa"/>
            <w:tcBorders>
              <w:top w:val="nil"/>
              <w:left w:val="single" w:sz="4" w:space="0" w:color="auto"/>
              <w:bottom w:val="nil"/>
              <w:right w:val="single" w:sz="4" w:space="0" w:color="auto"/>
            </w:tcBorders>
            <w:shd w:val="clear" w:color="auto" w:fill="DEEAF6" w:themeFill="accent5" w:themeFillTint="33"/>
          </w:tcPr>
          <w:p w14:paraId="2509F41E"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tcBorders>
            <w:shd w:val="clear" w:color="auto" w:fill="DEEAF6" w:themeFill="accent5" w:themeFillTint="33"/>
            <w:vAlign w:val="center"/>
          </w:tcPr>
          <w:p w14:paraId="09E6EAFC" w14:textId="77777777" w:rsidR="007E37A8" w:rsidRPr="002E027B" w:rsidRDefault="007E37A8" w:rsidP="00895815">
            <w:pPr>
              <w:rPr>
                <w:rFonts w:ascii="Arial" w:hAnsi="Arial" w:cs="Arial"/>
                <w:sz w:val="18"/>
                <w:szCs w:val="18"/>
              </w:rPr>
            </w:pPr>
          </w:p>
        </w:tc>
      </w:tr>
      <w:tr w:rsidR="007E37A8" w14:paraId="0EF6F4E7" w14:textId="77777777" w:rsidTr="00895815">
        <w:trPr>
          <w:jc w:val="center"/>
        </w:trPr>
        <w:tc>
          <w:tcPr>
            <w:tcW w:w="1111" w:type="dxa"/>
            <w:vMerge/>
            <w:tcBorders>
              <w:top w:val="single" w:sz="6" w:space="0" w:color="auto"/>
              <w:bottom w:val="single" w:sz="6" w:space="0" w:color="auto"/>
            </w:tcBorders>
            <w:shd w:val="clear" w:color="auto" w:fill="DEEAF6" w:themeFill="accent5" w:themeFillTint="33"/>
            <w:vAlign w:val="center"/>
          </w:tcPr>
          <w:p w14:paraId="4F9B7E2E"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single" w:sz="4" w:space="0" w:color="auto"/>
              <w:right w:val="nil"/>
            </w:tcBorders>
            <w:shd w:val="clear" w:color="auto" w:fill="DEEAF6" w:themeFill="accent5" w:themeFillTint="33"/>
            <w:vAlign w:val="bottom"/>
          </w:tcPr>
          <w:p w14:paraId="1B44933D" w14:textId="77777777" w:rsidR="007E37A8" w:rsidRPr="00162662" w:rsidRDefault="007E37A8" w:rsidP="00895815">
            <w:pPr>
              <w:rPr>
                <w:rFonts w:ascii="Arial" w:hAnsi="Arial" w:cs="Arial"/>
                <w:sz w:val="18"/>
                <w:szCs w:val="18"/>
              </w:rPr>
            </w:pPr>
          </w:p>
        </w:tc>
        <w:tc>
          <w:tcPr>
            <w:tcW w:w="3217" w:type="dxa"/>
            <w:tcBorders>
              <w:top w:val="nil"/>
              <w:left w:val="nil"/>
              <w:bottom w:val="single" w:sz="4" w:space="0" w:color="auto"/>
            </w:tcBorders>
            <w:shd w:val="clear" w:color="auto" w:fill="DEEAF6" w:themeFill="accent5" w:themeFillTint="33"/>
            <w:vAlign w:val="bottom"/>
          </w:tcPr>
          <w:p w14:paraId="30D14D8C" w14:textId="77777777" w:rsidR="007E37A8" w:rsidRPr="00162662" w:rsidRDefault="007E37A8" w:rsidP="00895815">
            <w:pPr>
              <w:rPr>
                <w:rFonts w:ascii="Arial" w:hAnsi="Arial" w:cs="Arial"/>
                <w:sz w:val="18"/>
                <w:szCs w:val="18"/>
              </w:rPr>
            </w:pPr>
          </w:p>
        </w:tc>
        <w:tc>
          <w:tcPr>
            <w:tcW w:w="1603" w:type="dxa"/>
            <w:tcBorders>
              <w:top w:val="nil"/>
              <w:bottom w:val="single" w:sz="4" w:space="0" w:color="auto"/>
              <w:right w:val="nil"/>
            </w:tcBorders>
            <w:shd w:val="clear" w:color="auto" w:fill="DEEAF6" w:themeFill="accent5" w:themeFillTint="33"/>
            <w:vAlign w:val="bottom"/>
          </w:tcPr>
          <w:p w14:paraId="6898CB26" w14:textId="77777777" w:rsidR="007E37A8" w:rsidRPr="002B05C8" w:rsidRDefault="007E37A8" w:rsidP="00895815">
            <w:pPr>
              <w:rPr>
                <w:rFonts w:ascii="Arial" w:hAnsi="Arial" w:cs="Arial"/>
                <w:b/>
                <w:color w:val="C45911" w:themeColor="accent2" w:themeShade="BF"/>
                <w:sz w:val="18"/>
                <w:szCs w:val="18"/>
              </w:rPr>
            </w:pPr>
            <w:r w:rsidRPr="002B05C8">
              <w:rPr>
                <w:rFonts w:ascii="Arial" w:hAnsi="Arial" w:cs="Arial"/>
                <w:b/>
                <w:color w:val="C45911" w:themeColor="accent2" w:themeShade="BF"/>
                <w:sz w:val="18"/>
                <w:szCs w:val="18"/>
              </w:rPr>
              <w:t>BCL2</w:t>
            </w:r>
          </w:p>
        </w:tc>
        <w:tc>
          <w:tcPr>
            <w:tcW w:w="3358" w:type="dxa"/>
            <w:tcBorders>
              <w:top w:val="nil"/>
              <w:left w:val="nil"/>
              <w:bottom w:val="single" w:sz="4" w:space="0" w:color="auto"/>
            </w:tcBorders>
            <w:shd w:val="clear" w:color="auto" w:fill="DEEAF6" w:themeFill="accent5" w:themeFillTint="33"/>
            <w:vAlign w:val="bottom"/>
          </w:tcPr>
          <w:p w14:paraId="48B66219" w14:textId="77777777" w:rsidR="007E37A8" w:rsidRPr="002B05C8" w:rsidRDefault="007E37A8" w:rsidP="00895815">
            <w:pPr>
              <w:rPr>
                <w:rFonts w:ascii="Arial" w:hAnsi="Arial" w:cs="Arial"/>
                <w:b/>
                <w:color w:val="C45911" w:themeColor="accent2" w:themeShade="BF"/>
                <w:sz w:val="18"/>
                <w:szCs w:val="18"/>
              </w:rPr>
            </w:pPr>
            <w:r w:rsidRPr="002B05C8">
              <w:rPr>
                <w:rFonts w:ascii="Arial" w:hAnsi="Arial" w:cs="Arial"/>
                <w:b/>
                <w:color w:val="C45911" w:themeColor="accent2" w:themeShade="BF"/>
                <w:sz w:val="18"/>
                <w:szCs w:val="18"/>
              </w:rPr>
              <w:t>c.302G&gt;T, p.(Gly101Val)</w:t>
            </w:r>
            <w:r w:rsidRPr="00D54F06">
              <w:rPr>
                <w:rFonts w:ascii="Arial" w:hAnsi="Arial" w:cs="Arial"/>
                <w:color w:val="C45911" w:themeColor="accent2" w:themeShade="BF"/>
                <w:sz w:val="18"/>
                <w:szCs w:val="18"/>
                <w:vertAlign w:val="superscript"/>
              </w:rPr>
              <w:t>b</w:t>
            </w:r>
          </w:p>
        </w:tc>
        <w:tc>
          <w:tcPr>
            <w:tcW w:w="1461" w:type="dxa"/>
            <w:tcBorders>
              <w:top w:val="nil"/>
              <w:left w:val="nil"/>
              <w:bottom w:val="single" w:sz="4" w:space="0" w:color="auto"/>
              <w:right w:val="single" w:sz="4" w:space="0" w:color="auto"/>
            </w:tcBorders>
            <w:shd w:val="clear" w:color="auto" w:fill="DEEAF6" w:themeFill="accent5" w:themeFillTint="33"/>
          </w:tcPr>
          <w:p w14:paraId="17DE2523" w14:textId="77777777" w:rsidR="007E37A8" w:rsidRPr="002B05C8" w:rsidRDefault="007E37A8" w:rsidP="00895815">
            <w:pPr>
              <w:jc w:val="center"/>
              <w:rPr>
                <w:rFonts w:ascii="Arial" w:hAnsi="Arial" w:cs="Arial"/>
                <w:b/>
                <w:color w:val="C45911" w:themeColor="accent2" w:themeShade="BF"/>
                <w:sz w:val="18"/>
                <w:szCs w:val="18"/>
              </w:rPr>
            </w:pPr>
            <w:r w:rsidRPr="002B05C8">
              <w:rPr>
                <w:rFonts w:ascii="Arial" w:hAnsi="Arial" w:cs="Arial"/>
                <w:b/>
                <w:color w:val="C45911" w:themeColor="accent2" w:themeShade="BF"/>
                <w:sz w:val="18"/>
                <w:szCs w:val="18"/>
              </w:rPr>
              <w:t>1.42%</w:t>
            </w:r>
          </w:p>
        </w:tc>
        <w:tc>
          <w:tcPr>
            <w:tcW w:w="1275" w:type="dxa"/>
            <w:tcBorders>
              <w:top w:val="nil"/>
              <w:left w:val="single" w:sz="4" w:space="0" w:color="auto"/>
              <w:bottom w:val="single" w:sz="4" w:space="0" w:color="auto"/>
              <w:right w:val="single" w:sz="4" w:space="0" w:color="auto"/>
            </w:tcBorders>
            <w:shd w:val="clear" w:color="auto" w:fill="DEEAF6" w:themeFill="accent5" w:themeFillTint="33"/>
          </w:tcPr>
          <w:p w14:paraId="40437134" w14:textId="77777777" w:rsidR="007E37A8" w:rsidRPr="00254E66" w:rsidRDefault="007E37A8" w:rsidP="00895815">
            <w:pPr>
              <w:jc w:val="center"/>
              <w:rPr>
                <w:rFonts w:ascii="Arial" w:hAnsi="Arial" w:cs="Arial"/>
                <w:b/>
                <w:sz w:val="18"/>
                <w:szCs w:val="18"/>
              </w:rPr>
            </w:pPr>
            <w:r w:rsidRPr="00254E66">
              <w:rPr>
                <w:rFonts w:ascii="Arial" w:hAnsi="Arial" w:cs="Arial"/>
                <w:b/>
                <w:color w:val="C45911" w:themeColor="accent2" w:themeShade="BF"/>
                <w:sz w:val="18"/>
                <w:szCs w:val="18"/>
              </w:rPr>
              <w:t>25</w:t>
            </w:r>
            <w:r>
              <w:rPr>
                <w:rFonts w:ascii="Arial" w:hAnsi="Arial" w:cs="Arial"/>
                <w:b/>
                <w:color w:val="C45911" w:themeColor="accent2" w:themeShade="BF"/>
                <w:sz w:val="18"/>
                <w:szCs w:val="18"/>
              </w:rPr>
              <w:t>.8</w:t>
            </w:r>
            <w:r w:rsidRPr="00254E66">
              <w:rPr>
                <w:rFonts w:ascii="Arial" w:hAnsi="Arial" w:cs="Arial"/>
                <w:b/>
                <w:color w:val="C45911" w:themeColor="accent2" w:themeShade="BF"/>
                <w:sz w:val="18"/>
                <w:szCs w:val="18"/>
              </w:rPr>
              <w:t>%</w:t>
            </w:r>
          </w:p>
        </w:tc>
        <w:tc>
          <w:tcPr>
            <w:tcW w:w="1275" w:type="dxa"/>
            <w:vMerge/>
            <w:tcBorders>
              <w:left w:val="single" w:sz="4" w:space="0" w:color="auto"/>
              <w:bottom w:val="single" w:sz="4" w:space="0" w:color="auto"/>
            </w:tcBorders>
            <w:shd w:val="clear" w:color="auto" w:fill="DEEAF6" w:themeFill="accent5" w:themeFillTint="33"/>
            <w:vAlign w:val="center"/>
          </w:tcPr>
          <w:p w14:paraId="765AA849" w14:textId="77777777" w:rsidR="007E37A8" w:rsidRPr="002E027B" w:rsidRDefault="007E37A8" w:rsidP="00895815">
            <w:pPr>
              <w:rPr>
                <w:rFonts w:ascii="Arial" w:hAnsi="Arial" w:cs="Arial"/>
                <w:sz w:val="18"/>
                <w:szCs w:val="18"/>
              </w:rPr>
            </w:pPr>
          </w:p>
        </w:tc>
      </w:tr>
      <w:tr w:rsidR="007E37A8" w14:paraId="674FC2A1" w14:textId="77777777" w:rsidTr="00895815">
        <w:trPr>
          <w:jc w:val="center"/>
        </w:trPr>
        <w:tc>
          <w:tcPr>
            <w:tcW w:w="1111" w:type="dxa"/>
            <w:vMerge w:val="restart"/>
            <w:tcBorders>
              <w:top w:val="single" w:sz="6" w:space="0" w:color="auto"/>
              <w:bottom w:val="single" w:sz="6" w:space="0" w:color="auto"/>
            </w:tcBorders>
            <w:shd w:val="clear" w:color="auto" w:fill="DEEAF6" w:themeFill="accent5" w:themeFillTint="33"/>
            <w:vAlign w:val="center"/>
          </w:tcPr>
          <w:p w14:paraId="331E097A"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t>CLL3</w:t>
            </w:r>
          </w:p>
        </w:tc>
        <w:tc>
          <w:tcPr>
            <w:tcW w:w="1319" w:type="dxa"/>
            <w:tcBorders>
              <w:top w:val="single" w:sz="4" w:space="0" w:color="auto"/>
              <w:bottom w:val="nil"/>
              <w:right w:val="nil"/>
            </w:tcBorders>
            <w:shd w:val="clear" w:color="auto" w:fill="DEEAF6" w:themeFill="accent5" w:themeFillTint="33"/>
            <w:vAlign w:val="bottom"/>
          </w:tcPr>
          <w:p w14:paraId="225E52B5" w14:textId="77777777" w:rsidR="007E37A8" w:rsidRPr="00162662" w:rsidRDefault="007E37A8" w:rsidP="00895815">
            <w:pPr>
              <w:rPr>
                <w:rFonts w:ascii="Arial" w:hAnsi="Arial" w:cs="Arial"/>
                <w:sz w:val="18"/>
                <w:szCs w:val="18"/>
              </w:rPr>
            </w:pPr>
            <w:r w:rsidRPr="00162662">
              <w:rPr>
                <w:rFonts w:ascii="Arial" w:hAnsi="Arial" w:cs="Arial"/>
                <w:sz w:val="18"/>
                <w:szCs w:val="18"/>
              </w:rPr>
              <w:t>SF3B1</w:t>
            </w:r>
          </w:p>
        </w:tc>
        <w:tc>
          <w:tcPr>
            <w:tcW w:w="3217" w:type="dxa"/>
            <w:tcBorders>
              <w:top w:val="single" w:sz="4" w:space="0" w:color="auto"/>
              <w:left w:val="nil"/>
              <w:bottom w:val="nil"/>
            </w:tcBorders>
            <w:shd w:val="clear" w:color="auto" w:fill="DEEAF6" w:themeFill="accent5" w:themeFillTint="33"/>
            <w:vAlign w:val="bottom"/>
          </w:tcPr>
          <w:p w14:paraId="1797A4E0" w14:textId="77777777" w:rsidR="007E37A8" w:rsidRPr="00162662" w:rsidRDefault="007E37A8" w:rsidP="00895815">
            <w:pPr>
              <w:rPr>
                <w:rFonts w:ascii="Arial" w:hAnsi="Arial" w:cs="Arial"/>
                <w:sz w:val="18"/>
                <w:szCs w:val="18"/>
              </w:rPr>
            </w:pPr>
            <w:r w:rsidRPr="00162662">
              <w:rPr>
                <w:rFonts w:ascii="Arial" w:hAnsi="Arial" w:cs="Arial"/>
                <w:sz w:val="18"/>
                <w:szCs w:val="18"/>
              </w:rPr>
              <w:t>c.2098A&gt;G, p.(Lys700Glu)</w:t>
            </w:r>
          </w:p>
        </w:tc>
        <w:tc>
          <w:tcPr>
            <w:tcW w:w="1603" w:type="dxa"/>
            <w:tcBorders>
              <w:top w:val="single" w:sz="4" w:space="0" w:color="auto"/>
              <w:bottom w:val="nil"/>
              <w:right w:val="nil"/>
            </w:tcBorders>
            <w:shd w:val="clear" w:color="auto" w:fill="DEEAF6" w:themeFill="accent5" w:themeFillTint="33"/>
            <w:vAlign w:val="bottom"/>
          </w:tcPr>
          <w:p w14:paraId="2F9CE4EA" w14:textId="77777777" w:rsidR="007E37A8" w:rsidRPr="00A6679D" w:rsidRDefault="007E37A8" w:rsidP="00895815">
            <w:pPr>
              <w:rPr>
                <w:rFonts w:ascii="Arial" w:hAnsi="Arial" w:cs="Arial"/>
                <w:sz w:val="18"/>
                <w:szCs w:val="18"/>
              </w:rPr>
            </w:pPr>
            <w:r w:rsidRPr="00A6679D">
              <w:rPr>
                <w:rFonts w:ascii="Arial" w:hAnsi="Arial" w:cs="Arial"/>
                <w:sz w:val="18"/>
                <w:szCs w:val="18"/>
              </w:rPr>
              <w:t>SF3B1</w:t>
            </w:r>
          </w:p>
        </w:tc>
        <w:tc>
          <w:tcPr>
            <w:tcW w:w="3358" w:type="dxa"/>
            <w:tcBorders>
              <w:top w:val="single" w:sz="4" w:space="0" w:color="auto"/>
              <w:left w:val="nil"/>
              <w:bottom w:val="nil"/>
            </w:tcBorders>
            <w:shd w:val="clear" w:color="auto" w:fill="DEEAF6" w:themeFill="accent5" w:themeFillTint="33"/>
            <w:vAlign w:val="bottom"/>
          </w:tcPr>
          <w:p w14:paraId="3106C00C" w14:textId="77777777" w:rsidR="007E37A8" w:rsidRPr="00A6679D" w:rsidRDefault="007E37A8" w:rsidP="00895815">
            <w:pPr>
              <w:rPr>
                <w:rFonts w:ascii="Arial" w:hAnsi="Arial" w:cs="Arial"/>
                <w:sz w:val="18"/>
                <w:szCs w:val="18"/>
              </w:rPr>
            </w:pPr>
            <w:r w:rsidRPr="00A6679D">
              <w:rPr>
                <w:rFonts w:ascii="Arial" w:hAnsi="Arial" w:cs="Arial"/>
                <w:sz w:val="18"/>
                <w:szCs w:val="18"/>
              </w:rPr>
              <w:t>c.2098A&gt;G, p.(Lys700Glu)</w:t>
            </w:r>
          </w:p>
        </w:tc>
        <w:tc>
          <w:tcPr>
            <w:tcW w:w="1461" w:type="dxa"/>
            <w:tcBorders>
              <w:top w:val="single" w:sz="4" w:space="0" w:color="auto"/>
              <w:left w:val="nil"/>
              <w:bottom w:val="nil"/>
              <w:right w:val="single" w:sz="4" w:space="0" w:color="auto"/>
            </w:tcBorders>
            <w:shd w:val="clear" w:color="auto" w:fill="DEEAF6" w:themeFill="accent5" w:themeFillTint="33"/>
          </w:tcPr>
          <w:p w14:paraId="6B025A6F" w14:textId="77777777" w:rsidR="007E37A8" w:rsidRPr="002E027B" w:rsidRDefault="007E37A8" w:rsidP="00895815">
            <w:pPr>
              <w:jc w:val="center"/>
              <w:rPr>
                <w:rFonts w:ascii="Arial" w:hAnsi="Arial" w:cs="Arial"/>
                <w:sz w:val="18"/>
                <w:szCs w:val="18"/>
              </w:rPr>
            </w:pPr>
          </w:p>
        </w:tc>
        <w:tc>
          <w:tcPr>
            <w:tcW w:w="1275" w:type="dxa"/>
            <w:tcBorders>
              <w:top w:val="single" w:sz="4" w:space="0" w:color="auto"/>
              <w:left w:val="single" w:sz="4" w:space="0" w:color="auto"/>
              <w:bottom w:val="nil"/>
              <w:right w:val="single" w:sz="4" w:space="0" w:color="auto"/>
            </w:tcBorders>
            <w:shd w:val="clear" w:color="auto" w:fill="DEEAF6" w:themeFill="accent5" w:themeFillTint="33"/>
          </w:tcPr>
          <w:p w14:paraId="54543881" w14:textId="77777777" w:rsidR="007E37A8" w:rsidRPr="002E027B" w:rsidRDefault="007E37A8" w:rsidP="00895815">
            <w:pPr>
              <w:jc w:val="center"/>
              <w:rPr>
                <w:rFonts w:ascii="Arial" w:hAnsi="Arial" w:cs="Arial"/>
                <w:sz w:val="18"/>
                <w:szCs w:val="18"/>
              </w:rPr>
            </w:pPr>
          </w:p>
        </w:tc>
        <w:tc>
          <w:tcPr>
            <w:tcW w:w="1275" w:type="dxa"/>
            <w:vMerge w:val="restart"/>
            <w:tcBorders>
              <w:top w:val="single" w:sz="4" w:space="0" w:color="auto"/>
              <w:left w:val="single" w:sz="4" w:space="0" w:color="auto"/>
            </w:tcBorders>
            <w:shd w:val="clear" w:color="auto" w:fill="DEEAF6" w:themeFill="accent5" w:themeFillTint="33"/>
            <w:vAlign w:val="center"/>
          </w:tcPr>
          <w:p w14:paraId="3E088128" w14:textId="77777777" w:rsidR="007E37A8" w:rsidRPr="002E027B" w:rsidRDefault="007E37A8" w:rsidP="00895815">
            <w:pPr>
              <w:rPr>
                <w:rFonts w:ascii="Arial" w:hAnsi="Arial" w:cs="Arial"/>
                <w:sz w:val="18"/>
                <w:szCs w:val="18"/>
              </w:rPr>
            </w:pPr>
            <w:r w:rsidRPr="002E027B">
              <w:rPr>
                <w:rFonts w:ascii="Arial" w:hAnsi="Arial" w:cs="Arial"/>
                <w:sz w:val="18"/>
                <w:szCs w:val="18"/>
              </w:rPr>
              <w:t>Mutated</w:t>
            </w:r>
          </w:p>
        </w:tc>
      </w:tr>
      <w:tr w:rsidR="007E37A8" w14:paraId="3807AC36" w14:textId="77777777" w:rsidTr="00895815">
        <w:trPr>
          <w:jc w:val="center"/>
        </w:trPr>
        <w:tc>
          <w:tcPr>
            <w:tcW w:w="1111" w:type="dxa"/>
            <w:vMerge/>
            <w:tcBorders>
              <w:top w:val="single" w:sz="6" w:space="0" w:color="auto"/>
              <w:bottom w:val="single" w:sz="6" w:space="0" w:color="auto"/>
            </w:tcBorders>
            <w:shd w:val="clear" w:color="auto" w:fill="DEEAF6" w:themeFill="accent5" w:themeFillTint="33"/>
            <w:vAlign w:val="center"/>
          </w:tcPr>
          <w:p w14:paraId="79EA984A"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nil"/>
              <w:right w:val="nil"/>
            </w:tcBorders>
            <w:shd w:val="clear" w:color="auto" w:fill="DEEAF6" w:themeFill="accent5" w:themeFillTint="33"/>
            <w:vAlign w:val="bottom"/>
          </w:tcPr>
          <w:p w14:paraId="37E14E1D" w14:textId="77777777" w:rsidR="007E37A8" w:rsidRPr="00162662" w:rsidRDefault="007E37A8" w:rsidP="00895815">
            <w:pPr>
              <w:rPr>
                <w:rFonts w:ascii="Arial" w:hAnsi="Arial" w:cs="Arial"/>
                <w:sz w:val="18"/>
                <w:szCs w:val="18"/>
              </w:rPr>
            </w:pPr>
            <w:r w:rsidRPr="00162662">
              <w:rPr>
                <w:rFonts w:ascii="Arial" w:hAnsi="Arial" w:cs="Arial"/>
                <w:sz w:val="18"/>
                <w:szCs w:val="18"/>
              </w:rPr>
              <w:t>TP53</w:t>
            </w:r>
          </w:p>
        </w:tc>
        <w:tc>
          <w:tcPr>
            <w:tcW w:w="3217" w:type="dxa"/>
            <w:tcBorders>
              <w:top w:val="nil"/>
              <w:left w:val="nil"/>
              <w:bottom w:val="nil"/>
            </w:tcBorders>
            <w:shd w:val="clear" w:color="auto" w:fill="DEEAF6" w:themeFill="accent5" w:themeFillTint="33"/>
            <w:vAlign w:val="bottom"/>
          </w:tcPr>
          <w:p w14:paraId="597E7258" w14:textId="77777777" w:rsidR="007E37A8" w:rsidRPr="00162662" w:rsidRDefault="007E37A8" w:rsidP="00895815">
            <w:pPr>
              <w:rPr>
                <w:rFonts w:ascii="Arial" w:hAnsi="Arial" w:cs="Arial"/>
                <w:sz w:val="18"/>
                <w:szCs w:val="18"/>
              </w:rPr>
            </w:pPr>
            <w:r w:rsidRPr="00162662">
              <w:rPr>
                <w:rFonts w:ascii="Arial" w:hAnsi="Arial" w:cs="Arial"/>
                <w:sz w:val="18"/>
                <w:szCs w:val="18"/>
              </w:rPr>
              <w:t>c.818G&gt;A, p.(Arg273His)</w:t>
            </w:r>
          </w:p>
        </w:tc>
        <w:tc>
          <w:tcPr>
            <w:tcW w:w="1603" w:type="dxa"/>
            <w:tcBorders>
              <w:top w:val="nil"/>
              <w:bottom w:val="nil"/>
              <w:right w:val="nil"/>
            </w:tcBorders>
            <w:shd w:val="clear" w:color="auto" w:fill="DEEAF6" w:themeFill="accent5" w:themeFillTint="33"/>
            <w:vAlign w:val="bottom"/>
          </w:tcPr>
          <w:p w14:paraId="62F58291" w14:textId="77777777" w:rsidR="007E37A8" w:rsidRPr="00A6679D" w:rsidRDefault="007E37A8" w:rsidP="00895815">
            <w:pPr>
              <w:rPr>
                <w:rFonts w:ascii="Arial" w:hAnsi="Arial" w:cs="Arial"/>
                <w:sz w:val="18"/>
                <w:szCs w:val="18"/>
              </w:rPr>
            </w:pPr>
            <w:r w:rsidRPr="00A6679D">
              <w:rPr>
                <w:rFonts w:ascii="Arial" w:hAnsi="Arial" w:cs="Arial"/>
                <w:sz w:val="18"/>
                <w:szCs w:val="18"/>
              </w:rPr>
              <w:t>TP53</w:t>
            </w:r>
          </w:p>
        </w:tc>
        <w:tc>
          <w:tcPr>
            <w:tcW w:w="3358" w:type="dxa"/>
            <w:tcBorders>
              <w:top w:val="nil"/>
              <w:left w:val="nil"/>
              <w:bottom w:val="nil"/>
            </w:tcBorders>
            <w:shd w:val="clear" w:color="auto" w:fill="DEEAF6" w:themeFill="accent5" w:themeFillTint="33"/>
            <w:vAlign w:val="bottom"/>
          </w:tcPr>
          <w:p w14:paraId="7F9EE464" w14:textId="77777777" w:rsidR="007E37A8" w:rsidRPr="00A6679D" w:rsidRDefault="007E37A8" w:rsidP="00895815">
            <w:pPr>
              <w:rPr>
                <w:rFonts w:ascii="Arial" w:hAnsi="Arial" w:cs="Arial"/>
                <w:sz w:val="18"/>
                <w:szCs w:val="18"/>
              </w:rPr>
            </w:pPr>
            <w:r w:rsidRPr="00A6679D">
              <w:rPr>
                <w:rFonts w:ascii="Arial" w:hAnsi="Arial" w:cs="Arial"/>
                <w:sz w:val="18"/>
                <w:szCs w:val="18"/>
              </w:rPr>
              <w:t>c.818G&gt;A, p.(Arg273His)</w:t>
            </w:r>
          </w:p>
        </w:tc>
        <w:tc>
          <w:tcPr>
            <w:tcW w:w="1461" w:type="dxa"/>
            <w:tcBorders>
              <w:top w:val="nil"/>
              <w:left w:val="nil"/>
              <w:bottom w:val="nil"/>
              <w:right w:val="single" w:sz="4" w:space="0" w:color="auto"/>
            </w:tcBorders>
            <w:shd w:val="clear" w:color="auto" w:fill="DEEAF6" w:themeFill="accent5" w:themeFillTint="33"/>
          </w:tcPr>
          <w:p w14:paraId="0DACC9DD" w14:textId="77777777" w:rsidR="007E37A8" w:rsidRPr="002E027B" w:rsidRDefault="007E37A8" w:rsidP="00895815">
            <w:pPr>
              <w:jc w:val="center"/>
              <w:rPr>
                <w:rFonts w:ascii="Arial" w:hAnsi="Arial" w:cs="Arial"/>
                <w:sz w:val="18"/>
                <w:szCs w:val="18"/>
              </w:rPr>
            </w:pPr>
          </w:p>
        </w:tc>
        <w:tc>
          <w:tcPr>
            <w:tcW w:w="1275" w:type="dxa"/>
            <w:tcBorders>
              <w:top w:val="nil"/>
              <w:left w:val="single" w:sz="4" w:space="0" w:color="auto"/>
              <w:bottom w:val="nil"/>
              <w:right w:val="single" w:sz="4" w:space="0" w:color="auto"/>
            </w:tcBorders>
            <w:shd w:val="clear" w:color="auto" w:fill="DEEAF6" w:themeFill="accent5" w:themeFillTint="33"/>
          </w:tcPr>
          <w:p w14:paraId="38C8EE97"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tcBorders>
            <w:shd w:val="clear" w:color="auto" w:fill="DEEAF6" w:themeFill="accent5" w:themeFillTint="33"/>
            <w:vAlign w:val="center"/>
          </w:tcPr>
          <w:p w14:paraId="0F75DF64" w14:textId="77777777" w:rsidR="007E37A8" w:rsidRPr="002E027B" w:rsidRDefault="007E37A8" w:rsidP="00895815">
            <w:pPr>
              <w:rPr>
                <w:rFonts w:ascii="Arial" w:hAnsi="Arial" w:cs="Arial"/>
                <w:sz w:val="18"/>
                <w:szCs w:val="18"/>
              </w:rPr>
            </w:pPr>
          </w:p>
        </w:tc>
      </w:tr>
      <w:tr w:rsidR="007E37A8" w14:paraId="6FD6A96C" w14:textId="77777777" w:rsidTr="00895815">
        <w:trPr>
          <w:jc w:val="center"/>
        </w:trPr>
        <w:tc>
          <w:tcPr>
            <w:tcW w:w="1111" w:type="dxa"/>
            <w:vMerge/>
            <w:tcBorders>
              <w:top w:val="single" w:sz="6" w:space="0" w:color="auto"/>
              <w:bottom w:val="single" w:sz="6" w:space="0" w:color="auto"/>
            </w:tcBorders>
            <w:shd w:val="clear" w:color="auto" w:fill="DEEAF6" w:themeFill="accent5" w:themeFillTint="33"/>
            <w:vAlign w:val="center"/>
          </w:tcPr>
          <w:p w14:paraId="196665E4"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nil"/>
              <w:right w:val="nil"/>
            </w:tcBorders>
            <w:shd w:val="clear" w:color="auto" w:fill="DEEAF6" w:themeFill="accent5" w:themeFillTint="33"/>
            <w:vAlign w:val="bottom"/>
          </w:tcPr>
          <w:p w14:paraId="085FA03E" w14:textId="77777777" w:rsidR="007E37A8" w:rsidRPr="00162662" w:rsidRDefault="007E37A8" w:rsidP="00895815">
            <w:pPr>
              <w:rPr>
                <w:rFonts w:ascii="Arial" w:hAnsi="Arial" w:cs="Arial"/>
                <w:sz w:val="18"/>
                <w:szCs w:val="18"/>
              </w:rPr>
            </w:pPr>
            <w:r w:rsidRPr="00162662">
              <w:rPr>
                <w:rFonts w:ascii="Arial" w:hAnsi="Arial" w:cs="Arial"/>
                <w:sz w:val="18"/>
                <w:szCs w:val="18"/>
              </w:rPr>
              <w:t>TP53</w:t>
            </w:r>
          </w:p>
        </w:tc>
        <w:tc>
          <w:tcPr>
            <w:tcW w:w="3217" w:type="dxa"/>
            <w:tcBorders>
              <w:top w:val="nil"/>
              <w:left w:val="nil"/>
              <w:bottom w:val="nil"/>
            </w:tcBorders>
            <w:shd w:val="clear" w:color="auto" w:fill="DEEAF6" w:themeFill="accent5" w:themeFillTint="33"/>
            <w:vAlign w:val="bottom"/>
          </w:tcPr>
          <w:p w14:paraId="579317C7" w14:textId="77777777" w:rsidR="007E37A8" w:rsidRPr="00162662" w:rsidRDefault="007E37A8" w:rsidP="00895815">
            <w:pPr>
              <w:rPr>
                <w:rFonts w:ascii="Arial" w:hAnsi="Arial" w:cs="Arial"/>
                <w:sz w:val="18"/>
                <w:szCs w:val="18"/>
              </w:rPr>
            </w:pPr>
            <w:r w:rsidRPr="00162662">
              <w:rPr>
                <w:rFonts w:ascii="Arial" w:hAnsi="Arial" w:cs="Arial"/>
                <w:sz w:val="18"/>
                <w:szCs w:val="18"/>
              </w:rPr>
              <w:t>c.742C&gt;T, p.(Arg248Trp)</w:t>
            </w:r>
          </w:p>
        </w:tc>
        <w:tc>
          <w:tcPr>
            <w:tcW w:w="1603" w:type="dxa"/>
            <w:tcBorders>
              <w:top w:val="nil"/>
              <w:bottom w:val="nil"/>
              <w:right w:val="nil"/>
            </w:tcBorders>
            <w:shd w:val="clear" w:color="auto" w:fill="DEEAF6" w:themeFill="accent5" w:themeFillTint="33"/>
            <w:vAlign w:val="bottom"/>
          </w:tcPr>
          <w:p w14:paraId="41042268" w14:textId="77777777" w:rsidR="007E37A8" w:rsidRPr="00A6679D" w:rsidRDefault="007E37A8" w:rsidP="00895815">
            <w:pPr>
              <w:rPr>
                <w:rFonts w:ascii="Arial" w:hAnsi="Arial" w:cs="Arial"/>
                <w:sz w:val="18"/>
                <w:szCs w:val="18"/>
              </w:rPr>
            </w:pPr>
          </w:p>
        </w:tc>
        <w:tc>
          <w:tcPr>
            <w:tcW w:w="3358" w:type="dxa"/>
            <w:tcBorders>
              <w:top w:val="nil"/>
              <w:left w:val="nil"/>
              <w:bottom w:val="nil"/>
            </w:tcBorders>
            <w:shd w:val="clear" w:color="auto" w:fill="DEEAF6" w:themeFill="accent5" w:themeFillTint="33"/>
            <w:vAlign w:val="bottom"/>
          </w:tcPr>
          <w:p w14:paraId="56A8C5F3" w14:textId="77777777" w:rsidR="007E37A8" w:rsidRPr="00A6679D" w:rsidRDefault="007E37A8" w:rsidP="00895815">
            <w:pPr>
              <w:rPr>
                <w:rFonts w:ascii="Arial" w:hAnsi="Arial" w:cs="Arial"/>
                <w:sz w:val="18"/>
                <w:szCs w:val="18"/>
              </w:rPr>
            </w:pPr>
          </w:p>
        </w:tc>
        <w:tc>
          <w:tcPr>
            <w:tcW w:w="1461" w:type="dxa"/>
            <w:tcBorders>
              <w:top w:val="nil"/>
              <w:left w:val="nil"/>
              <w:bottom w:val="nil"/>
              <w:right w:val="single" w:sz="4" w:space="0" w:color="auto"/>
            </w:tcBorders>
            <w:shd w:val="clear" w:color="auto" w:fill="DEEAF6" w:themeFill="accent5" w:themeFillTint="33"/>
          </w:tcPr>
          <w:p w14:paraId="23BED0C6" w14:textId="77777777" w:rsidR="007E37A8" w:rsidRPr="002E027B" w:rsidRDefault="007E37A8" w:rsidP="00895815">
            <w:pPr>
              <w:jc w:val="center"/>
              <w:rPr>
                <w:rFonts w:ascii="Arial" w:hAnsi="Arial" w:cs="Arial"/>
                <w:sz w:val="18"/>
                <w:szCs w:val="18"/>
              </w:rPr>
            </w:pPr>
          </w:p>
        </w:tc>
        <w:tc>
          <w:tcPr>
            <w:tcW w:w="1275" w:type="dxa"/>
            <w:tcBorders>
              <w:top w:val="nil"/>
              <w:left w:val="single" w:sz="4" w:space="0" w:color="auto"/>
              <w:bottom w:val="nil"/>
              <w:right w:val="single" w:sz="4" w:space="0" w:color="auto"/>
            </w:tcBorders>
            <w:shd w:val="clear" w:color="auto" w:fill="DEEAF6" w:themeFill="accent5" w:themeFillTint="33"/>
          </w:tcPr>
          <w:p w14:paraId="6A5BF912"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tcBorders>
            <w:shd w:val="clear" w:color="auto" w:fill="DEEAF6" w:themeFill="accent5" w:themeFillTint="33"/>
            <w:vAlign w:val="center"/>
          </w:tcPr>
          <w:p w14:paraId="656F09C5" w14:textId="77777777" w:rsidR="007E37A8" w:rsidRPr="002E027B" w:rsidRDefault="007E37A8" w:rsidP="00895815">
            <w:pPr>
              <w:rPr>
                <w:rFonts w:ascii="Arial" w:hAnsi="Arial" w:cs="Arial"/>
                <w:sz w:val="18"/>
                <w:szCs w:val="18"/>
              </w:rPr>
            </w:pPr>
          </w:p>
        </w:tc>
      </w:tr>
      <w:tr w:rsidR="007E37A8" w14:paraId="7985B3E0" w14:textId="77777777" w:rsidTr="00895815">
        <w:trPr>
          <w:jc w:val="center"/>
        </w:trPr>
        <w:tc>
          <w:tcPr>
            <w:tcW w:w="1111" w:type="dxa"/>
            <w:vMerge/>
            <w:tcBorders>
              <w:top w:val="single" w:sz="6" w:space="0" w:color="auto"/>
              <w:bottom w:val="single" w:sz="6" w:space="0" w:color="auto"/>
            </w:tcBorders>
            <w:shd w:val="clear" w:color="auto" w:fill="DEEAF6" w:themeFill="accent5" w:themeFillTint="33"/>
            <w:vAlign w:val="center"/>
          </w:tcPr>
          <w:p w14:paraId="192E92CA"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single" w:sz="4" w:space="0" w:color="auto"/>
              <w:right w:val="nil"/>
            </w:tcBorders>
            <w:shd w:val="clear" w:color="auto" w:fill="DEEAF6" w:themeFill="accent5" w:themeFillTint="33"/>
            <w:vAlign w:val="bottom"/>
          </w:tcPr>
          <w:p w14:paraId="2AC22148" w14:textId="77777777" w:rsidR="007E37A8" w:rsidRPr="00162662" w:rsidRDefault="007E37A8" w:rsidP="00895815">
            <w:pPr>
              <w:rPr>
                <w:rFonts w:ascii="Arial" w:hAnsi="Arial" w:cs="Arial"/>
                <w:sz w:val="18"/>
                <w:szCs w:val="18"/>
              </w:rPr>
            </w:pPr>
          </w:p>
        </w:tc>
        <w:tc>
          <w:tcPr>
            <w:tcW w:w="3217" w:type="dxa"/>
            <w:tcBorders>
              <w:top w:val="nil"/>
              <w:left w:val="nil"/>
              <w:bottom w:val="single" w:sz="4" w:space="0" w:color="auto"/>
            </w:tcBorders>
            <w:shd w:val="clear" w:color="auto" w:fill="DEEAF6" w:themeFill="accent5" w:themeFillTint="33"/>
            <w:vAlign w:val="bottom"/>
          </w:tcPr>
          <w:p w14:paraId="74838F16" w14:textId="77777777" w:rsidR="007E37A8" w:rsidRPr="00162662" w:rsidRDefault="007E37A8" w:rsidP="00895815">
            <w:pPr>
              <w:rPr>
                <w:rFonts w:ascii="Arial" w:hAnsi="Arial" w:cs="Arial"/>
                <w:sz w:val="18"/>
                <w:szCs w:val="18"/>
              </w:rPr>
            </w:pPr>
          </w:p>
        </w:tc>
        <w:tc>
          <w:tcPr>
            <w:tcW w:w="1603" w:type="dxa"/>
            <w:tcBorders>
              <w:top w:val="nil"/>
              <w:bottom w:val="single" w:sz="4" w:space="0" w:color="auto"/>
              <w:right w:val="nil"/>
            </w:tcBorders>
            <w:shd w:val="clear" w:color="auto" w:fill="DEEAF6" w:themeFill="accent5" w:themeFillTint="33"/>
            <w:vAlign w:val="bottom"/>
          </w:tcPr>
          <w:p w14:paraId="76152737" w14:textId="77777777" w:rsidR="007E37A8" w:rsidRPr="002B05C8" w:rsidRDefault="007E37A8" w:rsidP="00895815">
            <w:pPr>
              <w:rPr>
                <w:rFonts w:ascii="Arial" w:hAnsi="Arial" w:cs="Arial"/>
                <w:b/>
                <w:color w:val="C45911" w:themeColor="accent2" w:themeShade="BF"/>
                <w:sz w:val="18"/>
                <w:szCs w:val="18"/>
              </w:rPr>
            </w:pPr>
            <w:r w:rsidRPr="002B05C8">
              <w:rPr>
                <w:rFonts w:ascii="Arial" w:hAnsi="Arial" w:cs="Arial"/>
                <w:b/>
                <w:color w:val="C45911" w:themeColor="accent2" w:themeShade="BF"/>
                <w:sz w:val="18"/>
                <w:szCs w:val="18"/>
              </w:rPr>
              <w:t>BCL2</w:t>
            </w:r>
          </w:p>
        </w:tc>
        <w:tc>
          <w:tcPr>
            <w:tcW w:w="3358" w:type="dxa"/>
            <w:tcBorders>
              <w:top w:val="nil"/>
              <w:left w:val="nil"/>
              <w:bottom w:val="single" w:sz="4" w:space="0" w:color="auto"/>
            </w:tcBorders>
            <w:shd w:val="clear" w:color="auto" w:fill="DEEAF6" w:themeFill="accent5" w:themeFillTint="33"/>
            <w:vAlign w:val="bottom"/>
          </w:tcPr>
          <w:p w14:paraId="248E5C4C" w14:textId="77777777" w:rsidR="007E37A8" w:rsidRPr="002B05C8" w:rsidRDefault="007E37A8" w:rsidP="00895815">
            <w:pPr>
              <w:rPr>
                <w:rFonts w:ascii="Arial" w:hAnsi="Arial" w:cs="Arial"/>
                <w:b/>
                <w:color w:val="C45911" w:themeColor="accent2" w:themeShade="BF"/>
                <w:sz w:val="18"/>
                <w:szCs w:val="18"/>
              </w:rPr>
            </w:pPr>
            <w:r w:rsidRPr="002B05C8">
              <w:rPr>
                <w:rFonts w:ascii="Arial" w:hAnsi="Arial" w:cs="Arial"/>
                <w:b/>
                <w:color w:val="C45911" w:themeColor="accent2" w:themeShade="BF"/>
                <w:sz w:val="18"/>
                <w:szCs w:val="18"/>
              </w:rPr>
              <w:t>c.302G&gt;T, p.(Gly101Val)</w:t>
            </w:r>
            <w:r w:rsidRPr="001375B0">
              <w:rPr>
                <w:rFonts w:ascii="Arial" w:hAnsi="Arial" w:cs="Arial"/>
                <w:color w:val="C45911" w:themeColor="accent2" w:themeShade="BF"/>
                <w:sz w:val="18"/>
                <w:szCs w:val="18"/>
                <w:vertAlign w:val="superscript"/>
              </w:rPr>
              <w:t xml:space="preserve"> b</w:t>
            </w:r>
          </w:p>
        </w:tc>
        <w:tc>
          <w:tcPr>
            <w:tcW w:w="1461" w:type="dxa"/>
            <w:tcBorders>
              <w:top w:val="nil"/>
              <w:left w:val="nil"/>
              <w:bottom w:val="single" w:sz="4" w:space="0" w:color="auto"/>
              <w:right w:val="single" w:sz="4" w:space="0" w:color="auto"/>
            </w:tcBorders>
            <w:shd w:val="clear" w:color="auto" w:fill="DEEAF6" w:themeFill="accent5" w:themeFillTint="33"/>
          </w:tcPr>
          <w:p w14:paraId="04779812" w14:textId="77777777" w:rsidR="007E37A8" w:rsidRPr="002B05C8" w:rsidRDefault="007E37A8" w:rsidP="00895815">
            <w:pPr>
              <w:jc w:val="center"/>
              <w:rPr>
                <w:rFonts w:ascii="Arial" w:hAnsi="Arial" w:cs="Arial"/>
                <w:b/>
                <w:color w:val="C45911" w:themeColor="accent2" w:themeShade="BF"/>
                <w:sz w:val="18"/>
                <w:szCs w:val="18"/>
              </w:rPr>
            </w:pPr>
            <w:r>
              <w:rPr>
                <w:rFonts w:ascii="Arial" w:hAnsi="Arial" w:cs="Arial"/>
                <w:b/>
                <w:color w:val="C45911" w:themeColor="accent2" w:themeShade="BF"/>
                <w:sz w:val="18"/>
                <w:szCs w:val="18"/>
              </w:rPr>
              <w:t>12.02</w:t>
            </w:r>
            <w:r w:rsidRPr="002B05C8">
              <w:rPr>
                <w:rFonts w:ascii="Arial" w:hAnsi="Arial" w:cs="Arial"/>
                <w:b/>
                <w:color w:val="C45911" w:themeColor="accent2" w:themeShade="BF"/>
                <w:sz w:val="18"/>
                <w:szCs w:val="18"/>
              </w:rPr>
              <w:t>%</w:t>
            </w:r>
          </w:p>
        </w:tc>
        <w:tc>
          <w:tcPr>
            <w:tcW w:w="1275" w:type="dxa"/>
            <w:tcBorders>
              <w:top w:val="nil"/>
              <w:left w:val="single" w:sz="4" w:space="0" w:color="auto"/>
              <w:bottom w:val="single" w:sz="4" w:space="0" w:color="auto"/>
              <w:right w:val="single" w:sz="4" w:space="0" w:color="auto"/>
            </w:tcBorders>
            <w:shd w:val="clear" w:color="auto" w:fill="DEEAF6" w:themeFill="accent5" w:themeFillTint="33"/>
          </w:tcPr>
          <w:p w14:paraId="7B119073" w14:textId="77777777" w:rsidR="007E37A8" w:rsidRPr="002E027B" w:rsidRDefault="007E37A8" w:rsidP="00895815">
            <w:pPr>
              <w:jc w:val="center"/>
              <w:rPr>
                <w:rFonts w:ascii="Arial" w:hAnsi="Arial" w:cs="Arial"/>
                <w:sz w:val="18"/>
                <w:szCs w:val="18"/>
              </w:rPr>
            </w:pPr>
            <w:r>
              <w:rPr>
                <w:rFonts w:ascii="Arial" w:hAnsi="Arial" w:cs="Arial"/>
                <w:b/>
                <w:color w:val="C45911" w:themeColor="accent2" w:themeShade="BF"/>
                <w:sz w:val="18"/>
                <w:szCs w:val="18"/>
              </w:rPr>
              <w:t>68% (70</w:t>
            </w:r>
            <w:r w:rsidRPr="00254E66">
              <w:rPr>
                <w:rFonts w:ascii="Arial" w:hAnsi="Arial" w:cs="Arial"/>
                <w:b/>
                <w:color w:val="C45911" w:themeColor="accent2" w:themeShade="BF"/>
                <w:sz w:val="18"/>
                <w:szCs w:val="18"/>
              </w:rPr>
              <w:t>%</w:t>
            </w:r>
            <w:r>
              <w:rPr>
                <w:rFonts w:ascii="Arial" w:hAnsi="Arial" w:cs="Arial"/>
                <w:b/>
                <w:color w:val="C45911" w:themeColor="accent2" w:themeShade="BF"/>
                <w:sz w:val="18"/>
                <w:szCs w:val="18"/>
              </w:rPr>
              <w:t>)</w:t>
            </w:r>
            <w:r w:rsidRPr="00D54F06">
              <w:rPr>
                <w:rFonts w:ascii="Arial" w:hAnsi="Arial" w:cs="Arial"/>
                <w:color w:val="C45911" w:themeColor="accent2" w:themeShade="BF"/>
                <w:sz w:val="18"/>
                <w:szCs w:val="18"/>
                <w:vertAlign w:val="superscript"/>
              </w:rPr>
              <w:t>d</w:t>
            </w:r>
          </w:p>
        </w:tc>
        <w:tc>
          <w:tcPr>
            <w:tcW w:w="1275" w:type="dxa"/>
            <w:vMerge/>
            <w:tcBorders>
              <w:left w:val="single" w:sz="4" w:space="0" w:color="auto"/>
              <w:bottom w:val="single" w:sz="4" w:space="0" w:color="auto"/>
            </w:tcBorders>
            <w:shd w:val="clear" w:color="auto" w:fill="DEEAF6" w:themeFill="accent5" w:themeFillTint="33"/>
            <w:vAlign w:val="center"/>
          </w:tcPr>
          <w:p w14:paraId="6BDF8888" w14:textId="77777777" w:rsidR="007E37A8" w:rsidRPr="002E027B" w:rsidRDefault="007E37A8" w:rsidP="00895815">
            <w:pPr>
              <w:rPr>
                <w:rFonts w:ascii="Arial" w:hAnsi="Arial" w:cs="Arial"/>
                <w:sz w:val="18"/>
                <w:szCs w:val="18"/>
              </w:rPr>
            </w:pPr>
          </w:p>
        </w:tc>
      </w:tr>
      <w:tr w:rsidR="007E37A8" w14:paraId="534956B3" w14:textId="77777777" w:rsidTr="00895815">
        <w:trPr>
          <w:jc w:val="center"/>
        </w:trPr>
        <w:tc>
          <w:tcPr>
            <w:tcW w:w="1111" w:type="dxa"/>
            <w:vMerge w:val="restart"/>
            <w:tcBorders>
              <w:top w:val="single" w:sz="6" w:space="0" w:color="auto"/>
            </w:tcBorders>
            <w:shd w:val="clear" w:color="auto" w:fill="F2F2F2" w:themeFill="background1" w:themeFillShade="F2"/>
            <w:vAlign w:val="center"/>
          </w:tcPr>
          <w:p w14:paraId="19529CED"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t>CLL4</w:t>
            </w:r>
          </w:p>
        </w:tc>
        <w:tc>
          <w:tcPr>
            <w:tcW w:w="1319" w:type="dxa"/>
            <w:tcBorders>
              <w:top w:val="single" w:sz="4" w:space="0" w:color="auto"/>
              <w:bottom w:val="nil"/>
              <w:right w:val="nil"/>
            </w:tcBorders>
            <w:vAlign w:val="bottom"/>
          </w:tcPr>
          <w:p w14:paraId="115AF004" w14:textId="77777777" w:rsidR="007E37A8" w:rsidRPr="00162662" w:rsidRDefault="007E37A8" w:rsidP="00895815">
            <w:pPr>
              <w:rPr>
                <w:rFonts w:ascii="Arial" w:hAnsi="Arial" w:cs="Arial"/>
                <w:sz w:val="18"/>
                <w:szCs w:val="18"/>
              </w:rPr>
            </w:pPr>
            <w:r w:rsidRPr="00162662">
              <w:rPr>
                <w:rFonts w:ascii="Arial" w:hAnsi="Arial" w:cs="Arial"/>
                <w:sz w:val="18"/>
                <w:szCs w:val="18"/>
              </w:rPr>
              <w:t>NOTCH1</w:t>
            </w:r>
          </w:p>
        </w:tc>
        <w:tc>
          <w:tcPr>
            <w:tcW w:w="3217" w:type="dxa"/>
            <w:tcBorders>
              <w:top w:val="single" w:sz="4" w:space="0" w:color="auto"/>
              <w:left w:val="nil"/>
              <w:bottom w:val="nil"/>
            </w:tcBorders>
            <w:vAlign w:val="bottom"/>
          </w:tcPr>
          <w:p w14:paraId="68B67A9B" w14:textId="77777777" w:rsidR="007E37A8" w:rsidRPr="00162662" w:rsidRDefault="007E37A8" w:rsidP="00895815">
            <w:pPr>
              <w:rPr>
                <w:rFonts w:ascii="Arial" w:hAnsi="Arial" w:cs="Arial"/>
                <w:sz w:val="18"/>
                <w:szCs w:val="18"/>
              </w:rPr>
            </w:pPr>
            <w:r w:rsidRPr="00162662">
              <w:rPr>
                <w:rFonts w:ascii="Arial" w:hAnsi="Arial" w:cs="Arial"/>
                <w:sz w:val="18"/>
                <w:szCs w:val="18"/>
              </w:rPr>
              <w:t>c.7541_7542del, p.(Pro2514Argfs*4)</w:t>
            </w:r>
          </w:p>
        </w:tc>
        <w:tc>
          <w:tcPr>
            <w:tcW w:w="1603" w:type="dxa"/>
            <w:tcBorders>
              <w:top w:val="single" w:sz="4" w:space="0" w:color="auto"/>
              <w:bottom w:val="nil"/>
              <w:right w:val="nil"/>
            </w:tcBorders>
            <w:vAlign w:val="bottom"/>
          </w:tcPr>
          <w:p w14:paraId="3B8A6C24" w14:textId="77777777" w:rsidR="007E37A8" w:rsidRPr="00A6679D" w:rsidRDefault="007E37A8" w:rsidP="00895815">
            <w:pPr>
              <w:rPr>
                <w:rFonts w:ascii="Arial" w:hAnsi="Arial" w:cs="Arial"/>
                <w:sz w:val="18"/>
                <w:szCs w:val="18"/>
              </w:rPr>
            </w:pPr>
            <w:r w:rsidRPr="00A6679D">
              <w:rPr>
                <w:rFonts w:ascii="Arial" w:hAnsi="Arial" w:cs="Arial"/>
                <w:sz w:val="18"/>
                <w:szCs w:val="18"/>
              </w:rPr>
              <w:t>NOTCH1</w:t>
            </w:r>
          </w:p>
        </w:tc>
        <w:tc>
          <w:tcPr>
            <w:tcW w:w="3358" w:type="dxa"/>
            <w:tcBorders>
              <w:top w:val="single" w:sz="4" w:space="0" w:color="auto"/>
              <w:left w:val="nil"/>
              <w:bottom w:val="nil"/>
              <w:right w:val="single" w:sz="4" w:space="0" w:color="auto"/>
            </w:tcBorders>
            <w:vAlign w:val="bottom"/>
          </w:tcPr>
          <w:p w14:paraId="48638721" w14:textId="77777777" w:rsidR="007E37A8" w:rsidRPr="00A6679D" w:rsidRDefault="007E37A8" w:rsidP="00895815">
            <w:pPr>
              <w:rPr>
                <w:rFonts w:ascii="Arial" w:hAnsi="Arial" w:cs="Arial"/>
                <w:sz w:val="18"/>
                <w:szCs w:val="18"/>
              </w:rPr>
            </w:pPr>
            <w:r w:rsidRPr="00A6679D">
              <w:rPr>
                <w:rFonts w:ascii="Arial" w:hAnsi="Arial" w:cs="Arial"/>
                <w:sz w:val="18"/>
                <w:szCs w:val="18"/>
              </w:rPr>
              <w:t>c.7541_7542del, p.(Pro2514Argfs*4)</w:t>
            </w:r>
          </w:p>
        </w:tc>
        <w:tc>
          <w:tcPr>
            <w:tcW w:w="1461" w:type="dxa"/>
            <w:tcBorders>
              <w:top w:val="single" w:sz="4" w:space="0" w:color="auto"/>
              <w:left w:val="single" w:sz="4" w:space="0" w:color="auto"/>
              <w:bottom w:val="nil"/>
              <w:right w:val="single" w:sz="4" w:space="0" w:color="auto"/>
            </w:tcBorders>
          </w:tcPr>
          <w:p w14:paraId="2D43E5F7" w14:textId="77777777" w:rsidR="007E37A8" w:rsidRPr="002E027B" w:rsidRDefault="007E37A8" w:rsidP="00895815">
            <w:pPr>
              <w:jc w:val="center"/>
              <w:rPr>
                <w:rFonts w:ascii="Arial" w:hAnsi="Arial" w:cs="Arial"/>
                <w:sz w:val="18"/>
                <w:szCs w:val="18"/>
              </w:rPr>
            </w:pPr>
          </w:p>
        </w:tc>
        <w:tc>
          <w:tcPr>
            <w:tcW w:w="1275" w:type="dxa"/>
            <w:tcBorders>
              <w:top w:val="single" w:sz="4" w:space="0" w:color="auto"/>
              <w:left w:val="single" w:sz="4" w:space="0" w:color="auto"/>
              <w:bottom w:val="nil"/>
              <w:right w:val="single" w:sz="4" w:space="0" w:color="auto"/>
            </w:tcBorders>
          </w:tcPr>
          <w:p w14:paraId="20D9FA91" w14:textId="77777777" w:rsidR="007E37A8" w:rsidRPr="002E027B" w:rsidRDefault="007E37A8" w:rsidP="00895815">
            <w:pPr>
              <w:jc w:val="center"/>
              <w:rPr>
                <w:rFonts w:ascii="Arial" w:hAnsi="Arial" w:cs="Arial"/>
                <w:sz w:val="18"/>
                <w:szCs w:val="18"/>
              </w:rPr>
            </w:pPr>
          </w:p>
        </w:tc>
        <w:tc>
          <w:tcPr>
            <w:tcW w:w="1275" w:type="dxa"/>
            <w:vMerge w:val="restart"/>
            <w:tcBorders>
              <w:top w:val="single" w:sz="4" w:space="0" w:color="auto"/>
              <w:left w:val="single" w:sz="4" w:space="0" w:color="auto"/>
            </w:tcBorders>
            <w:vAlign w:val="center"/>
          </w:tcPr>
          <w:p w14:paraId="656E4B3D" w14:textId="77777777" w:rsidR="007E37A8" w:rsidRPr="002E027B" w:rsidRDefault="007E37A8" w:rsidP="00895815">
            <w:pPr>
              <w:rPr>
                <w:rFonts w:ascii="Arial" w:hAnsi="Arial" w:cs="Arial"/>
                <w:sz w:val="18"/>
                <w:szCs w:val="18"/>
              </w:rPr>
            </w:pPr>
            <w:r w:rsidRPr="002E027B">
              <w:rPr>
                <w:rFonts w:ascii="Arial" w:hAnsi="Arial" w:cs="Arial"/>
                <w:sz w:val="18"/>
                <w:szCs w:val="18"/>
              </w:rPr>
              <w:t>Unmutated</w:t>
            </w:r>
          </w:p>
        </w:tc>
      </w:tr>
      <w:tr w:rsidR="007E37A8" w14:paraId="3F9814BE" w14:textId="77777777" w:rsidTr="00895815">
        <w:trPr>
          <w:jc w:val="center"/>
        </w:trPr>
        <w:tc>
          <w:tcPr>
            <w:tcW w:w="1111" w:type="dxa"/>
            <w:vMerge/>
            <w:shd w:val="clear" w:color="auto" w:fill="F2F2F2" w:themeFill="background1" w:themeFillShade="F2"/>
            <w:vAlign w:val="center"/>
          </w:tcPr>
          <w:p w14:paraId="3F8FEE50"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nil"/>
              <w:right w:val="nil"/>
            </w:tcBorders>
            <w:vAlign w:val="bottom"/>
          </w:tcPr>
          <w:p w14:paraId="0FB65260" w14:textId="77777777" w:rsidR="007E37A8" w:rsidRPr="00162662" w:rsidRDefault="007E37A8" w:rsidP="00895815">
            <w:pPr>
              <w:rPr>
                <w:rFonts w:ascii="Arial" w:hAnsi="Arial" w:cs="Arial"/>
                <w:sz w:val="18"/>
                <w:szCs w:val="18"/>
              </w:rPr>
            </w:pPr>
            <w:r w:rsidRPr="000C1F86">
              <w:rPr>
                <w:rFonts w:ascii="Arial" w:hAnsi="Arial" w:cs="Arial"/>
                <w:sz w:val="18"/>
                <w:szCs w:val="18"/>
              </w:rPr>
              <w:t>BIRC3</w:t>
            </w:r>
          </w:p>
        </w:tc>
        <w:tc>
          <w:tcPr>
            <w:tcW w:w="3217" w:type="dxa"/>
            <w:tcBorders>
              <w:top w:val="nil"/>
              <w:left w:val="nil"/>
              <w:bottom w:val="nil"/>
            </w:tcBorders>
            <w:vAlign w:val="bottom"/>
          </w:tcPr>
          <w:p w14:paraId="6082E226" w14:textId="77777777" w:rsidR="007E37A8" w:rsidRPr="00162662" w:rsidRDefault="007E37A8" w:rsidP="00895815">
            <w:pPr>
              <w:rPr>
                <w:rFonts w:ascii="Arial" w:hAnsi="Arial" w:cs="Arial"/>
                <w:sz w:val="18"/>
                <w:szCs w:val="18"/>
              </w:rPr>
            </w:pPr>
            <w:r w:rsidRPr="000C1F86">
              <w:rPr>
                <w:rFonts w:ascii="Arial" w:hAnsi="Arial" w:cs="Arial"/>
                <w:sz w:val="18"/>
                <w:szCs w:val="18"/>
              </w:rPr>
              <w:t>c.1331_1334del</w:t>
            </w:r>
            <w:r>
              <w:rPr>
                <w:rFonts w:ascii="Arial" w:hAnsi="Arial" w:cs="Arial"/>
                <w:sz w:val="18"/>
                <w:szCs w:val="18"/>
              </w:rPr>
              <w:t xml:space="preserve">, </w:t>
            </w:r>
            <w:r w:rsidRPr="000C1F86">
              <w:rPr>
                <w:rFonts w:ascii="Arial" w:hAnsi="Arial" w:cs="Arial"/>
                <w:sz w:val="18"/>
                <w:szCs w:val="18"/>
              </w:rPr>
              <w:t>p.(Leu444Tyrfs*2)</w:t>
            </w:r>
          </w:p>
        </w:tc>
        <w:tc>
          <w:tcPr>
            <w:tcW w:w="1603" w:type="dxa"/>
            <w:tcBorders>
              <w:top w:val="nil"/>
              <w:bottom w:val="nil"/>
              <w:right w:val="nil"/>
            </w:tcBorders>
          </w:tcPr>
          <w:p w14:paraId="182AAB44" w14:textId="77777777" w:rsidR="007E37A8" w:rsidRPr="00162662" w:rsidRDefault="007E37A8" w:rsidP="00895815">
            <w:pPr>
              <w:rPr>
                <w:rFonts w:ascii="Arial" w:hAnsi="Arial" w:cs="Arial"/>
                <w:sz w:val="18"/>
                <w:szCs w:val="18"/>
              </w:rPr>
            </w:pPr>
          </w:p>
        </w:tc>
        <w:tc>
          <w:tcPr>
            <w:tcW w:w="3358" w:type="dxa"/>
            <w:tcBorders>
              <w:top w:val="nil"/>
              <w:left w:val="nil"/>
              <w:bottom w:val="nil"/>
              <w:right w:val="single" w:sz="4" w:space="0" w:color="auto"/>
            </w:tcBorders>
          </w:tcPr>
          <w:p w14:paraId="37F912EA" w14:textId="77777777" w:rsidR="007E37A8" w:rsidRPr="00162662" w:rsidRDefault="007E37A8" w:rsidP="00895815">
            <w:pPr>
              <w:rPr>
                <w:rFonts w:ascii="Arial" w:hAnsi="Arial" w:cs="Arial"/>
                <w:sz w:val="18"/>
                <w:szCs w:val="18"/>
              </w:rPr>
            </w:pPr>
          </w:p>
        </w:tc>
        <w:tc>
          <w:tcPr>
            <w:tcW w:w="1461" w:type="dxa"/>
            <w:tcBorders>
              <w:top w:val="nil"/>
              <w:left w:val="single" w:sz="4" w:space="0" w:color="auto"/>
              <w:bottom w:val="nil"/>
              <w:right w:val="single" w:sz="4" w:space="0" w:color="auto"/>
            </w:tcBorders>
          </w:tcPr>
          <w:p w14:paraId="69577239" w14:textId="77777777" w:rsidR="007E37A8" w:rsidRPr="002E027B" w:rsidRDefault="007E37A8" w:rsidP="00895815">
            <w:pPr>
              <w:jc w:val="center"/>
              <w:rPr>
                <w:rFonts w:ascii="Arial" w:hAnsi="Arial" w:cs="Arial"/>
                <w:sz w:val="18"/>
                <w:szCs w:val="18"/>
              </w:rPr>
            </w:pPr>
          </w:p>
        </w:tc>
        <w:tc>
          <w:tcPr>
            <w:tcW w:w="1275" w:type="dxa"/>
            <w:tcBorders>
              <w:top w:val="nil"/>
              <w:left w:val="single" w:sz="4" w:space="0" w:color="auto"/>
              <w:bottom w:val="nil"/>
              <w:right w:val="single" w:sz="4" w:space="0" w:color="auto"/>
            </w:tcBorders>
          </w:tcPr>
          <w:p w14:paraId="5AC5DF07"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tcBorders>
            <w:vAlign w:val="center"/>
          </w:tcPr>
          <w:p w14:paraId="740A0614" w14:textId="77777777" w:rsidR="007E37A8" w:rsidRPr="002E027B" w:rsidRDefault="007E37A8" w:rsidP="00895815">
            <w:pPr>
              <w:rPr>
                <w:rFonts w:ascii="Arial" w:hAnsi="Arial" w:cs="Arial"/>
                <w:sz w:val="18"/>
                <w:szCs w:val="18"/>
              </w:rPr>
            </w:pPr>
          </w:p>
        </w:tc>
      </w:tr>
      <w:tr w:rsidR="007E37A8" w14:paraId="3B9B192F" w14:textId="77777777" w:rsidTr="00895815">
        <w:trPr>
          <w:jc w:val="center"/>
        </w:trPr>
        <w:tc>
          <w:tcPr>
            <w:tcW w:w="1111" w:type="dxa"/>
            <w:vMerge/>
            <w:tcBorders>
              <w:bottom w:val="single" w:sz="6" w:space="0" w:color="auto"/>
            </w:tcBorders>
            <w:shd w:val="clear" w:color="auto" w:fill="DEEAF6" w:themeFill="accent5" w:themeFillTint="33"/>
            <w:vAlign w:val="center"/>
          </w:tcPr>
          <w:p w14:paraId="48609105"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single" w:sz="4" w:space="0" w:color="auto"/>
              <w:right w:val="nil"/>
            </w:tcBorders>
            <w:shd w:val="clear" w:color="auto" w:fill="auto"/>
            <w:vAlign w:val="bottom"/>
          </w:tcPr>
          <w:p w14:paraId="3BA8380C" w14:textId="77777777" w:rsidR="007E37A8" w:rsidRPr="007D4918" w:rsidRDefault="007E37A8" w:rsidP="00895815">
            <w:pPr>
              <w:rPr>
                <w:rFonts w:ascii="Arial" w:hAnsi="Arial" w:cs="Arial"/>
                <w:sz w:val="18"/>
                <w:szCs w:val="18"/>
              </w:rPr>
            </w:pPr>
          </w:p>
        </w:tc>
        <w:tc>
          <w:tcPr>
            <w:tcW w:w="3217" w:type="dxa"/>
            <w:tcBorders>
              <w:top w:val="nil"/>
              <w:left w:val="nil"/>
              <w:bottom w:val="single" w:sz="4" w:space="0" w:color="auto"/>
            </w:tcBorders>
            <w:shd w:val="clear" w:color="auto" w:fill="auto"/>
            <w:vAlign w:val="bottom"/>
          </w:tcPr>
          <w:p w14:paraId="3F7AE5EC" w14:textId="77777777" w:rsidR="007E37A8" w:rsidRPr="007D4918" w:rsidRDefault="007E37A8" w:rsidP="00895815">
            <w:pPr>
              <w:rPr>
                <w:rFonts w:ascii="Arial" w:hAnsi="Arial" w:cs="Arial"/>
                <w:sz w:val="18"/>
                <w:szCs w:val="18"/>
              </w:rPr>
            </w:pPr>
          </w:p>
        </w:tc>
        <w:tc>
          <w:tcPr>
            <w:tcW w:w="1603" w:type="dxa"/>
            <w:tcBorders>
              <w:top w:val="nil"/>
              <w:bottom w:val="single" w:sz="4" w:space="0" w:color="auto"/>
              <w:right w:val="nil"/>
            </w:tcBorders>
            <w:shd w:val="clear" w:color="auto" w:fill="auto"/>
          </w:tcPr>
          <w:p w14:paraId="68D36619" w14:textId="77777777" w:rsidR="007E37A8" w:rsidRPr="006F75D4" w:rsidRDefault="007E37A8" w:rsidP="00895815">
            <w:pPr>
              <w:rPr>
                <w:rFonts w:ascii="Arial" w:hAnsi="Arial" w:cs="Arial"/>
                <w:b/>
                <w:sz w:val="18"/>
                <w:szCs w:val="18"/>
              </w:rPr>
            </w:pPr>
            <w:r w:rsidRPr="007D4918">
              <w:rPr>
                <w:rFonts w:ascii="Arial" w:hAnsi="Arial" w:cs="Arial"/>
                <w:sz w:val="18"/>
                <w:szCs w:val="18"/>
              </w:rPr>
              <w:t>TP53</w:t>
            </w:r>
          </w:p>
        </w:tc>
        <w:tc>
          <w:tcPr>
            <w:tcW w:w="3358" w:type="dxa"/>
            <w:tcBorders>
              <w:top w:val="nil"/>
              <w:left w:val="nil"/>
              <w:bottom w:val="single" w:sz="4" w:space="0" w:color="auto"/>
              <w:right w:val="single" w:sz="4" w:space="0" w:color="auto"/>
            </w:tcBorders>
            <w:shd w:val="clear" w:color="auto" w:fill="auto"/>
          </w:tcPr>
          <w:p w14:paraId="1100C558" w14:textId="77777777" w:rsidR="007E37A8" w:rsidRPr="006F75D4" w:rsidRDefault="007E37A8" w:rsidP="00895815">
            <w:pPr>
              <w:rPr>
                <w:rFonts w:ascii="Arial" w:hAnsi="Arial" w:cs="Arial"/>
                <w:b/>
                <w:sz w:val="18"/>
                <w:szCs w:val="18"/>
              </w:rPr>
            </w:pPr>
            <w:r w:rsidRPr="007D4918">
              <w:rPr>
                <w:rFonts w:ascii="Arial" w:hAnsi="Arial" w:cs="Arial"/>
                <w:sz w:val="18"/>
                <w:szCs w:val="18"/>
              </w:rPr>
              <w:t>c.842_843delinsTA, p.(Asp281Val)</w:t>
            </w:r>
          </w:p>
        </w:tc>
        <w:tc>
          <w:tcPr>
            <w:tcW w:w="1461" w:type="dxa"/>
            <w:tcBorders>
              <w:top w:val="nil"/>
              <w:left w:val="single" w:sz="4" w:space="0" w:color="auto"/>
              <w:bottom w:val="single" w:sz="4" w:space="0" w:color="auto"/>
              <w:right w:val="single" w:sz="4" w:space="0" w:color="auto"/>
            </w:tcBorders>
            <w:shd w:val="clear" w:color="auto" w:fill="auto"/>
          </w:tcPr>
          <w:p w14:paraId="659F88E6" w14:textId="77777777" w:rsidR="007E37A8" w:rsidRPr="006F75D4" w:rsidRDefault="007E37A8" w:rsidP="00895815">
            <w:pPr>
              <w:jc w:val="center"/>
              <w:rPr>
                <w:rFonts w:ascii="Arial" w:hAnsi="Arial" w:cs="Arial"/>
                <w:b/>
                <w:sz w:val="18"/>
                <w:szCs w:val="18"/>
              </w:rPr>
            </w:pPr>
          </w:p>
        </w:tc>
        <w:tc>
          <w:tcPr>
            <w:tcW w:w="1275" w:type="dxa"/>
            <w:tcBorders>
              <w:top w:val="nil"/>
              <w:left w:val="single" w:sz="4" w:space="0" w:color="auto"/>
              <w:bottom w:val="single" w:sz="4" w:space="0" w:color="auto"/>
              <w:right w:val="single" w:sz="4" w:space="0" w:color="auto"/>
            </w:tcBorders>
            <w:shd w:val="clear" w:color="auto" w:fill="auto"/>
          </w:tcPr>
          <w:p w14:paraId="3453C7C8" w14:textId="77777777" w:rsidR="007E37A8" w:rsidRPr="006F75D4" w:rsidRDefault="007E37A8" w:rsidP="00895815">
            <w:pPr>
              <w:jc w:val="center"/>
              <w:rPr>
                <w:rFonts w:ascii="Arial" w:hAnsi="Arial" w:cs="Arial"/>
                <w:b/>
                <w:sz w:val="18"/>
                <w:szCs w:val="18"/>
              </w:rPr>
            </w:pPr>
          </w:p>
        </w:tc>
        <w:tc>
          <w:tcPr>
            <w:tcW w:w="1275" w:type="dxa"/>
            <w:vMerge/>
            <w:tcBorders>
              <w:left w:val="single" w:sz="4" w:space="0" w:color="auto"/>
              <w:bottom w:val="single" w:sz="4" w:space="0" w:color="auto"/>
            </w:tcBorders>
            <w:shd w:val="clear" w:color="auto" w:fill="auto"/>
            <w:vAlign w:val="center"/>
          </w:tcPr>
          <w:p w14:paraId="0D241089" w14:textId="77777777" w:rsidR="007E37A8" w:rsidRPr="007D4918" w:rsidRDefault="007E37A8" w:rsidP="00895815">
            <w:pPr>
              <w:rPr>
                <w:rFonts w:ascii="Arial" w:hAnsi="Arial" w:cs="Arial"/>
                <w:sz w:val="18"/>
                <w:szCs w:val="18"/>
              </w:rPr>
            </w:pPr>
          </w:p>
        </w:tc>
      </w:tr>
      <w:tr w:rsidR="007E37A8" w14:paraId="5727CADD" w14:textId="77777777" w:rsidTr="00895815">
        <w:trPr>
          <w:jc w:val="center"/>
        </w:trPr>
        <w:tc>
          <w:tcPr>
            <w:tcW w:w="1111" w:type="dxa"/>
            <w:tcBorders>
              <w:top w:val="single" w:sz="6" w:space="0" w:color="auto"/>
              <w:bottom w:val="single" w:sz="6" w:space="0" w:color="auto"/>
            </w:tcBorders>
            <w:shd w:val="clear" w:color="auto" w:fill="DEEAF6" w:themeFill="accent5" w:themeFillTint="33"/>
            <w:vAlign w:val="center"/>
          </w:tcPr>
          <w:p w14:paraId="4821E981"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t>CLL5</w:t>
            </w:r>
          </w:p>
        </w:tc>
        <w:tc>
          <w:tcPr>
            <w:tcW w:w="1319" w:type="dxa"/>
            <w:tcBorders>
              <w:top w:val="single" w:sz="4" w:space="0" w:color="auto"/>
              <w:bottom w:val="single" w:sz="4" w:space="0" w:color="auto"/>
              <w:right w:val="nil"/>
            </w:tcBorders>
            <w:shd w:val="clear" w:color="auto" w:fill="DEEAF6" w:themeFill="accent5" w:themeFillTint="33"/>
            <w:vAlign w:val="bottom"/>
          </w:tcPr>
          <w:p w14:paraId="5807D400" w14:textId="77777777" w:rsidR="007E37A8" w:rsidRPr="00162662" w:rsidRDefault="007E37A8" w:rsidP="00895815">
            <w:pPr>
              <w:rPr>
                <w:rFonts w:ascii="Arial" w:hAnsi="Arial" w:cs="Arial"/>
                <w:sz w:val="18"/>
                <w:szCs w:val="18"/>
              </w:rPr>
            </w:pPr>
            <w:r w:rsidRPr="00162662">
              <w:rPr>
                <w:rFonts w:ascii="Arial" w:hAnsi="Arial" w:cs="Arial"/>
                <w:sz w:val="18"/>
                <w:szCs w:val="18"/>
              </w:rPr>
              <w:t>Nil</w:t>
            </w:r>
          </w:p>
        </w:tc>
        <w:tc>
          <w:tcPr>
            <w:tcW w:w="3217" w:type="dxa"/>
            <w:tcBorders>
              <w:top w:val="single" w:sz="4" w:space="0" w:color="auto"/>
              <w:left w:val="nil"/>
              <w:bottom w:val="single" w:sz="4" w:space="0" w:color="auto"/>
            </w:tcBorders>
            <w:shd w:val="clear" w:color="auto" w:fill="DEEAF6" w:themeFill="accent5" w:themeFillTint="33"/>
            <w:vAlign w:val="bottom"/>
          </w:tcPr>
          <w:p w14:paraId="3F5CF18C" w14:textId="77777777" w:rsidR="007E37A8" w:rsidRPr="00162662" w:rsidRDefault="007E37A8" w:rsidP="00895815">
            <w:pPr>
              <w:rPr>
                <w:rFonts w:ascii="Arial" w:hAnsi="Arial" w:cs="Arial"/>
                <w:sz w:val="18"/>
                <w:szCs w:val="18"/>
              </w:rPr>
            </w:pPr>
          </w:p>
        </w:tc>
        <w:tc>
          <w:tcPr>
            <w:tcW w:w="1603" w:type="dxa"/>
            <w:tcBorders>
              <w:top w:val="single" w:sz="4" w:space="0" w:color="auto"/>
              <w:bottom w:val="single" w:sz="4" w:space="0" w:color="auto"/>
              <w:right w:val="nil"/>
            </w:tcBorders>
            <w:shd w:val="clear" w:color="auto" w:fill="DEEAF6" w:themeFill="accent5" w:themeFillTint="33"/>
            <w:vAlign w:val="bottom"/>
          </w:tcPr>
          <w:p w14:paraId="6BAB50C3" w14:textId="77777777" w:rsidR="007E37A8" w:rsidRPr="002B05C8" w:rsidRDefault="007E37A8" w:rsidP="00895815">
            <w:pPr>
              <w:rPr>
                <w:rFonts w:ascii="Arial" w:hAnsi="Arial" w:cs="Arial"/>
                <w:b/>
                <w:color w:val="C45911" w:themeColor="accent2" w:themeShade="BF"/>
                <w:sz w:val="18"/>
                <w:szCs w:val="18"/>
              </w:rPr>
            </w:pPr>
            <w:r w:rsidRPr="002B05C8">
              <w:rPr>
                <w:rFonts w:ascii="Arial" w:hAnsi="Arial" w:cs="Arial"/>
                <w:b/>
                <w:color w:val="C45911" w:themeColor="accent2" w:themeShade="BF"/>
                <w:sz w:val="18"/>
                <w:szCs w:val="18"/>
              </w:rPr>
              <w:t>BCL2</w:t>
            </w:r>
          </w:p>
        </w:tc>
        <w:tc>
          <w:tcPr>
            <w:tcW w:w="3358" w:type="dxa"/>
            <w:tcBorders>
              <w:top w:val="single" w:sz="4" w:space="0" w:color="auto"/>
              <w:left w:val="nil"/>
              <w:bottom w:val="single" w:sz="4" w:space="0" w:color="auto"/>
            </w:tcBorders>
            <w:shd w:val="clear" w:color="auto" w:fill="DEEAF6" w:themeFill="accent5" w:themeFillTint="33"/>
            <w:vAlign w:val="bottom"/>
          </w:tcPr>
          <w:p w14:paraId="26463EEE" w14:textId="77777777" w:rsidR="007E37A8" w:rsidRPr="002B05C8" w:rsidRDefault="007E37A8" w:rsidP="00895815">
            <w:pPr>
              <w:rPr>
                <w:rFonts w:ascii="Arial" w:hAnsi="Arial" w:cs="Arial"/>
                <w:b/>
                <w:color w:val="C45911" w:themeColor="accent2" w:themeShade="BF"/>
                <w:sz w:val="18"/>
                <w:szCs w:val="18"/>
              </w:rPr>
            </w:pPr>
            <w:r w:rsidRPr="002B05C8">
              <w:rPr>
                <w:rFonts w:ascii="Arial" w:hAnsi="Arial" w:cs="Arial"/>
                <w:b/>
                <w:color w:val="C45911" w:themeColor="accent2" w:themeShade="BF"/>
                <w:sz w:val="18"/>
                <w:szCs w:val="18"/>
              </w:rPr>
              <w:t>c.302G&gt;T, p.(Gly101Val)</w:t>
            </w:r>
            <w:r w:rsidRPr="001375B0">
              <w:rPr>
                <w:rFonts w:ascii="Arial" w:hAnsi="Arial" w:cs="Arial"/>
                <w:color w:val="C45911" w:themeColor="accent2" w:themeShade="BF"/>
                <w:sz w:val="18"/>
                <w:szCs w:val="18"/>
                <w:vertAlign w:val="superscript"/>
              </w:rPr>
              <w:t xml:space="preserve"> c</w:t>
            </w:r>
          </w:p>
        </w:tc>
        <w:tc>
          <w:tcPr>
            <w:tcW w:w="1461" w:type="dxa"/>
            <w:tcBorders>
              <w:top w:val="single" w:sz="4" w:space="0" w:color="auto"/>
              <w:left w:val="nil"/>
              <w:bottom w:val="single" w:sz="4" w:space="0" w:color="auto"/>
              <w:right w:val="single" w:sz="4" w:space="0" w:color="auto"/>
            </w:tcBorders>
            <w:shd w:val="clear" w:color="auto" w:fill="DEEAF6" w:themeFill="accent5" w:themeFillTint="33"/>
          </w:tcPr>
          <w:p w14:paraId="6FE8EE20" w14:textId="77777777" w:rsidR="007E37A8" w:rsidRPr="002B05C8" w:rsidRDefault="007E37A8" w:rsidP="00895815">
            <w:pPr>
              <w:jc w:val="center"/>
              <w:rPr>
                <w:rFonts w:ascii="Arial" w:hAnsi="Arial" w:cs="Arial"/>
                <w:b/>
                <w:color w:val="C45911" w:themeColor="accent2" w:themeShade="BF"/>
                <w:sz w:val="18"/>
                <w:szCs w:val="18"/>
              </w:rPr>
            </w:pPr>
            <w:r w:rsidRPr="002B05C8">
              <w:rPr>
                <w:rFonts w:ascii="Arial" w:hAnsi="Arial" w:cs="Arial"/>
                <w:b/>
                <w:color w:val="C45911" w:themeColor="accent2" w:themeShade="BF"/>
                <w:sz w:val="18"/>
                <w:szCs w:val="18"/>
              </w:rPr>
              <w:t>0.01%</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6042E45" w14:textId="77777777" w:rsidR="007E37A8" w:rsidRPr="002E027B" w:rsidRDefault="007E37A8" w:rsidP="00895815">
            <w:pPr>
              <w:jc w:val="center"/>
              <w:rPr>
                <w:rFonts w:ascii="Arial" w:hAnsi="Arial" w:cs="Arial"/>
                <w:sz w:val="18"/>
                <w:szCs w:val="18"/>
              </w:rPr>
            </w:pPr>
            <w:r>
              <w:rPr>
                <w:rFonts w:ascii="Arial" w:hAnsi="Arial" w:cs="Arial"/>
                <w:b/>
                <w:color w:val="C45911" w:themeColor="accent2" w:themeShade="BF"/>
                <w:sz w:val="18"/>
                <w:szCs w:val="18"/>
              </w:rPr>
              <w:t>4</w:t>
            </w:r>
            <w:r w:rsidRPr="00254E66">
              <w:rPr>
                <w:rFonts w:ascii="Arial" w:hAnsi="Arial" w:cs="Arial"/>
                <w:b/>
                <w:color w:val="C45911" w:themeColor="accent2" w:themeShade="BF"/>
                <w:sz w:val="18"/>
                <w:szCs w:val="18"/>
              </w:rPr>
              <w:t>5</w:t>
            </w:r>
            <w:r>
              <w:rPr>
                <w:rFonts w:ascii="Arial" w:hAnsi="Arial" w:cs="Arial"/>
                <w:b/>
                <w:color w:val="C45911" w:themeColor="accent2" w:themeShade="BF"/>
                <w:sz w:val="18"/>
                <w:szCs w:val="18"/>
              </w:rPr>
              <w:t>.6</w:t>
            </w:r>
            <w:r w:rsidRPr="00254E66">
              <w:rPr>
                <w:rFonts w:ascii="Arial" w:hAnsi="Arial" w:cs="Arial"/>
                <w:b/>
                <w:color w:val="C45911" w:themeColor="accent2" w:themeShade="BF"/>
                <w:sz w:val="18"/>
                <w:szCs w:val="18"/>
              </w:rPr>
              <w:t>%</w:t>
            </w:r>
            <w:r w:rsidRPr="00D54F06">
              <w:rPr>
                <w:rFonts w:ascii="Arial" w:hAnsi="Arial" w:cs="Arial"/>
                <w:color w:val="C45911" w:themeColor="accent2" w:themeShade="BF"/>
                <w:sz w:val="18"/>
                <w:szCs w:val="18"/>
                <w:vertAlign w:val="superscript"/>
              </w:rPr>
              <w:t>e</w:t>
            </w:r>
          </w:p>
        </w:tc>
        <w:tc>
          <w:tcPr>
            <w:tcW w:w="1275" w:type="dxa"/>
            <w:tcBorders>
              <w:top w:val="single" w:sz="4" w:space="0" w:color="auto"/>
              <w:left w:val="single" w:sz="4" w:space="0" w:color="auto"/>
              <w:bottom w:val="single" w:sz="4" w:space="0" w:color="auto"/>
            </w:tcBorders>
            <w:shd w:val="clear" w:color="auto" w:fill="DEEAF6" w:themeFill="accent5" w:themeFillTint="33"/>
            <w:vAlign w:val="center"/>
          </w:tcPr>
          <w:p w14:paraId="796FF570" w14:textId="77777777" w:rsidR="007E37A8" w:rsidRPr="002E027B" w:rsidRDefault="007E37A8" w:rsidP="00895815">
            <w:pPr>
              <w:rPr>
                <w:rFonts w:ascii="Arial" w:hAnsi="Arial" w:cs="Arial"/>
                <w:sz w:val="18"/>
                <w:szCs w:val="18"/>
              </w:rPr>
            </w:pPr>
            <w:r w:rsidRPr="002E027B">
              <w:rPr>
                <w:rFonts w:ascii="Arial" w:hAnsi="Arial" w:cs="Arial"/>
                <w:sz w:val="18"/>
                <w:szCs w:val="18"/>
              </w:rPr>
              <w:t>Unmutated</w:t>
            </w:r>
          </w:p>
        </w:tc>
      </w:tr>
      <w:tr w:rsidR="007E37A8" w14:paraId="0A60AB30" w14:textId="77777777" w:rsidTr="00895815">
        <w:trPr>
          <w:jc w:val="center"/>
        </w:trPr>
        <w:tc>
          <w:tcPr>
            <w:tcW w:w="1111" w:type="dxa"/>
            <w:vMerge w:val="restart"/>
            <w:tcBorders>
              <w:top w:val="single" w:sz="6" w:space="0" w:color="auto"/>
            </w:tcBorders>
            <w:shd w:val="clear" w:color="auto" w:fill="DEEAF6" w:themeFill="accent5" w:themeFillTint="33"/>
            <w:vAlign w:val="center"/>
          </w:tcPr>
          <w:p w14:paraId="2C9E5FD2"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t>CLL6</w:t>
            </w:r>
          </w:p>
        </w:tc>
        <w:tc>
          <w:tcPr>
            <w:tcW w:w="1319" w:type="dxa"/>
            <w:tcBorders>
              <w:top w:val="single" w:sz="4" w:space="0" w:color="auto"/>
              <w:bottom w:val="nil"/>
              <w:right w:val="nil"/>
            </w:tcBorders>
            <w:shd w:val="clear" w:color="auto" w:fill="DEEAF6" w:themeFill="accent5" w:themeFillTint="33"/>
            <w:vAlign w:val="bottom"/>
          </w:tcPr>
          <w:p w14:paraId="52CEC578" w14:textId="77777777" w:rsidR="007E37A8" w:rsidRPr="00162662" w:rsidRDefault="007E37A8" w:rsidP="00895815">
            <w:pPr>
              <w:rPr>
                <w:rFonts w:ascii="Arial" w:hAnsi="Arial" w:cs="Arial"/>
                <w:sz w:val="18"/>
                <w:szCs w:val="18"/>
              </w:rPr>
            </w:pPr>
            <w:r w:rsidRPr="00162662">
              <w:rPr>
                <w:rFonts w:ascii="Arial" w:hAnsi="Arial" w:cs="Arial"/>
                <w:sz w:val="18"/>
                <w:szCs w:val="18"/>
              </w:rPr>
              <w:t>TP53</w:t>
            </w:r>
          </w:p>
        </w:tc>
        <w:tc>
          <w:tcPr>
            <w:tcW w:w="3217" w:type="dxa"/>
            <w:tcBorders>
              <w:top w:val="single" w:sz="4" w:space="0" w:color="auto"/>
              <w:left w:val="nil"/>
              <w:bottom w:val="nil"/>
            </w:tcBorders>
            <w:shd w:val="clear" w:color="auto" w:fill="DEEAF6" w:themeFill="accent5" w:themeFillTint="33"/>
            <w:vAlign w:val="bottom"/>
          </w:tcPr>
          <w:p w14:paraId="617A5FB0" w14:textId="77777777" w:rsidR="007E37A8" w:rsidRPr="00162662" w:rsidRDefault="007E37A8" w:rsidP="00895815">
            <w:pPr>
              <w:rPr>
                <w:rFonts w:ascii="Arial" w:hAnsi="Arial" w:cs="Arial"/>
                <w:sz w:val="18"/>
                <w:szCs w:val="18"/>
              </w:rPr>
            </w:pPr>
            <w:r w:rsidRPr="00162662">
              <w:rPr>
                <w:rFonts w:ascii="Arial" w:hAnsi="Arial" w:cs="Arial"/>
                <w:sz w:val="18"/>
                <w:szCs w:val="18"/>
              </w:rPr>
              <w:t>c.701A&gt;C, p.(Tyr234Ser)</w:t>
            </w:r>
          </w:p>
        </w:tc>
        <w:tc>
          <w:tcPr>
            <w:tcW w:w="1603" w:type="dxa"/>
            <w:tcBorders>
              <w:top w:val="single" w:sz="4" w:space="0" w:color="auto"/>
              <w:bottom w:val="nil"/>
              <w:right w:val="nil"/>
            </w:tcBorders>
            <w:shd w:val="clear" w:color="auto" w:fill="DEEAF6" w:themeFill="accent5" w:themeFillTint="33"/>
          </w:tcPr>
          <w:p w14:paraId="2EB5CDA3" w14:textId="77777777" w:rsidR="007E37A8" w:rsidRPr="00A6679D" w:rsidRDefault="007E37A8" w:rsidP="00895815">
            <w:pPr>
              <w:rPr>
                <w:rFonts w:ascii="Arial" w:hAnsi="Arial" w:cs="Arial"/>
                <w:sz w:val="18"/>
                <w:szCs w:val="18"/>
              </w:rPr>
            </w:pPr>
            <w:r w:rsidRPr="00A6679D">
              <w:rPr>
                <w:rFonts w:ascii="Arial" w:hAnsi="Arial" w:cs="Arial"/>
                <w:sz w:val="18"/>
                <w:szCs w:val="18"/>
              </w:rPr>
              <w:t>TP53</w:t>
            </w:r>
          </w:p>
        </w:tc>
        <w:tc>
          <w:tcPr>
            <w:tcW w:w="3358" w:type="dxa"/>
            <w:tcBorders>
              <w:top w:val="single" w:sz="4" w:space="0" w:color="auto"/>
              <w:left w:val="nil"/>
              <w:bottom w:val="nil"/>
            </w:tcBorders>
            <w:shd w:val="clear" w:color="auto" w:fill="DEEAF6" w:themeFill="accent5" w:themeFillTint="33"/>
          </w:tcPr>
          <w:p w14:paraId="0F9EB2DF" w14:textId="77777777" w:rsidR="007E37A8" w:rsidRPr="00A6679D" w:rsidRDefault="007E37A8" w:rsidP="00895815">
            <w:pPr>
              <w:rPr>
                <w:rFonts w:ascii="Arial" w:hAnsi="Arial" w:cs="Arial"/>
                <w:sz w:val="18"/>
                <w:szCs w:val="18"/>
              </w:rPr>
            </w:pPr>
            <w:r w:rsidRPr="00A6679D">
              <w:rPr>
                <w:rFonts w:ascii="Arial" w:hAnsi="Arial" w:cs="Arial"/>
                <w:sz w:val="18"/>
                <w:szCs w:val="18"/>
              </w:rPr>
              <w:t>c.701A&gt;C, p.(Tyr234Ser)</w:t>
            </w:r>
          </w:p>
        </w:tc>
        <w:tc>
          <w:tcPr>
            <w:tcW w:w="1461" w:type="dxa"/>
            <w:tcBorders>
              <w:top w:val="single" w:sz="4" w:space="0" w:color="auto"/>
              <w:left w:val="nil"/>
              <w:bottom w:val="nil"/>
              <w:right w:val="single" w:sz="4" w:space="0" w:color="auto"/>
            </w:tcBorders>
            <w:shd w:val="clear" w:color="auto" w:fill="DEEAF6" w:themeFill="accent5" w:themeFillTint="33"/>
          </w:tcPr>
          <w:p w14:paraId="5640C185" w14:textId="77777777" w:rsidR="007E37A8" w:rsidRPr="002E027B" w:rsidRDefault="007E37A8" w:rsidP="00895815">
            <w:pPr>
              <w:jc w:val="center"/>
              <w:rPr>
                <w:rFonts w:ascii="Arial" w:hAnsi="Arial" w:cs="Arial"/>
                <w:sz w:val="18"/>
                <w:szCs w:val="18"/>
              </w:rPr>
            </w:pPr>
          </w:p>
        </w:tc>
        <w:tc>
          <w:tcPr>
            <w:tcW w:w="1275" w:type="dxa"/>
            <w:tcBorders>
              <w:top w:val="single" w:sz="4" w:space="0" w:color="auto"/>
              <w:left w:val="single" w:sz="4" w:space="0" w:color="auto"/>
              <w:bottom w:val="nil"/>
              <w:right w:val="single" w:sz="4" w:space="0" w:color="auto"/>
            </w:tcBorders>
            <w:shd w:val="clear" w:color="auto" w:fill="DEEAF6" w:themeFill="accent5" w:themeFillTint="33"/>
          </w:tcPr>
          <w:p w14:paraId="0D4CE11D" w14:textId="77777777" w:rsidR="007E37A8" w:rsidRPr="002E027B" w:rsidRDefault="007E37A8" w:rsidP="00895815">
            <w:pPr>
              <w:jc w:val="center"/>
              <w:rPr>
                <w:rFonts w:ascii="Arial" w:hAnsi="Arial" w:cs="Arial"/>
                <w:sz w:val="18"/>
                <w:szCs w:val="18"/>
              </w:rPr>
            </w:pPr>
          </w:p>
        </w:tc>
        <w:tc>
          <w:tcPr>
            <w:tcW w:w="1275" w:type="dxa"/>
            <w:vMerge w:val="restart"/>
            <w:tcBorders>
              <w:top w:val="single" w:sz="4" w:space="0" w:color="auto"/>
              <w:left w:val="single" w:sz="4" w:space="0" w:color="auto"/>
            </w:tcBorders>
            <w:shd w:val="clear" w:color="auto" w:fill="DEEAF6" w:themeFill="accent5" w:themeFillTint="33"/>
            <w:vAlign w:val="center"/>
          </w:tcPr>
          <w:p w14:paraId="5964C82F" w14:textId="77777777" w:rsidR="007E37A8" w:rsidRPr="002E027B" w:rsidRDefault="007E37A8" w:rsidP="00895815">
            <w:pPr>
              <w:rPr>
                <w:rFonts w:ascii="Arial" w:hAnsi="Arial" w:cs="Arial"/>
                <w:sz w:val="18"/>
                <w:szCs w:val="18"/>
              </w:rPr>
            </w:pPr>
            <w:r w:rsidRPr="002E027B">
              <w:rPr>
                <w:rFonts w:ascii="Arial" w:hAnsi="Arial" w:cs="Arial"/>
                <w:sz w:val="18"/>
                <w:szCs w:val="18"/>
              </w:rPr>
              <w:t>Unmutated</w:t>
            </w:r>
          </w:p>
        </w:tc>
      </w:tr>
      <w:tr w:rsidR="007E37A8" w14:paraId="015AC301" w14:textId="77777777" w:rsidTr="00895815">
        <w:trPr>
          <w:jc w:val="center"/>
        </w:trPr>
        <w:tc>
          <w:tcPr>
            <w:tcW w:w="1111" w:type="dxa"/>
            <w:vMerge/>
            <w:shd w:val="clear" w:color="auto" w:fill="F2F2F2" w:themeFill="background1" w:themeFillShade="F2"/>
            <w:vAlign w:val="center"/>
          </w:tcPr>
          <w:p w14:paraId="39940A6F"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nil"/>
              <w:right w:val="nil"/>
            </w:tcBorders>
            <w:shd w:val="clear" w:color="auto" w:fill="DEEAF6" w:themeFill="accent5" w:themeFillTint="33"/>
            <w:vAlign w:val="bottom"/>
          </w:tcPr>
          <w:p w14:paraId="7F610E6D" w14:textId="77777777" w:rsidR="007E37A8" w:rsidRPr="00162662" w:rsidRDefault="007E37A8" w:rsidP="00895815">
            <w:pPr>
              <w:rPr>
                <w:rFonts w:ascii="Arial" w:hAnsi="Arial" w:cs="Arial"/>
                <w:sz w:val="18"/>
                <w:szCs w:val="18"/>
              </w:rPr>
            </w:pPr>
          </w:p>
        </w:tc>
        <w:tc>
          <w:tcPr>
            <w:tcW w:w="3217" w:type="dxa"/>
            <w:tcBorders>
              <w:top w:val="nil"/>
              <w:left w:val="nil"/>
              <w:bottom w:val="nil"/>
            </w:tcBorders>
            <w:shd w:val="clear" w:color="auto" w:fill="DEEAF6" w:themeFill="accent5" w:themeFillTint="33"/>
            <w:vAlign w:val="bottom"/>
          </w:tcPr>
          <w:p w14:paraId="49735E16" w14:textId="77777777" w:rsidR="007E37A8" w:rsidRPr="00162662" w:rsidRDefault="007E37A8" w:rsidP="00895815">
            <w:pPr>
              <w:rPr>
                <w:rFonts w:ascii="Arial" w:hAnsi="Arial" w:cs="Arial"/>
                <w:sz w:val="18"/>
                <w:szCs w:val="18"/>
              </w:rPr>
            </w:pPr>
          </w:p>
        </w:tc>
        <w:tc>
          <w:tcPr>
            <w:tcW w:w="1603" w:type="dxa"/>
            <w:tcBorders>
              <w:top w:val="nil"/>
              <w:bottom w:val="nil"/>
              <w:right w:val="nil"/>
            </w:tcBorders>
            <w:shd w:val="clear" w:color="auto" w:fill="DEEAF6" w:themeFill="accent5" w:themeFillTint="33"/>
          </w:tcPr>
          <w:p w14:paraId="69ED60CF" w14:textId="77777777" w:rsidR="007E37A8" w:rsidRPr="00162662" w:rsidRDefault="007E37A8" w:rsidP="00895815">
            <w:pPr>
              <w:rPr>
                <w:rFonts w:ascii="Arial" w:hAnsi="Arial" w:cs="Arial"/>
                <w:sz w:val="18"/>
                <w:szCs w:val="18"/>
              </w:rPr>
            </w:pPr>
            <w:r w:rsidRPr="00162662">
              <w:rPr>
                <w:rFonts w:ascii="Arial" w:hAnsi="Arial" w:cs="Arial"/>
                <w:sz w:val="18"/>
                <w:szCs w:val="18"/>
              </w:rPr>
              <w:t>TP53</w:t>
            </w:r>
          </w:p>
        </w:tc>
        <w:tc>
          <w:tcPr>
            <w:tcW w:w="3358" w:type="dxa"/>
            <w:tcBorders>
              <w:top w:val="nil"/>
              <w:left w:val="nil"/>
              <w:bottom w:val="nil"/>
            </w:tcBorders>
            <w:shd w:val="clear" w:color="auto" w:fill="DEEAF6" w:themeFill="accent5" w:themeFillTint="33"/>
          </w:tcPr>
          <w:p w14:paraId="52A7D7D7" w14:textId="77777777" w:rsidR="007E37A8" w:rsidRPr="00162662" w:rsidRDefault="007E37A8" w:rsidP="00895815">
            <w:pPr>
              <w:rPr>
                <w:rFonts w:ascii="Arial" w:hAnsi="Arial" w:cs="Arial"/>
                <w:sz w:val="18"/>
                <w:szCs w:val="18"/>
              </w:rPr>
            </w:pPr>
            <w:r w:rsidRPr="00162662">
              <w:rPr>
                <w:rFonts w:ascii="Arial" w:hAnsi="Arial" w:cs="Arial"/>
                <w:sz w:val="18"/>
                <w:szCs w:val="18"/>
              </w:rPr>
              <w:t>c.1125_1140del, p.(Ser376Lysfs*41)</w:t>
            </w:r>
          </w:p>
        </w:tc>
        <w:tc>
          <w:tcPr>
            <w:tcW w:w="1461" w:type="dxa"/>
            <w:tcBorders>
              <w:top w:val="nil"/>
              <w:left w:val="nil"/>
              <w:bottom w:val="nil"/>
              <w:right w:val="single" w:sz="4" w:space="0" w:color="auto"/>
            </w:tcBorders>
            <w:shd w:val="clear" w:color="auto" w:fill="DEEAF6" w:themeFill="accent5" w:themeFillTint="33"/>
          </w:tcPr>
          <w:p w14:paraId="0C102980" w14:textId="77777777" w:rsidR="007E37A8" w:rsidRPr="002E027B" w:rsidRDefault="007E37A8" w:rsidP="00895815">
            <w:pPr>
              <w:jc w:val="center"/>
              <w:rPr>
                <w:rFonts w:ascii="Arial" w:hAnsi="Arial" w:cs="Arial"/>
                <w:sz w:val="18"/>
                <w:szCs w:val="18"/>
              </w:rPr>
            </w:pPr>
          </w:p>
        </w:tc>
        <w:tc>
          <w:tcPr>
            <w:tcW w:w="1275" w:type="dxa"/>
            <w:tcBorders>
              <w:top w:val="nil"/>
              <w:left w:val="single" w:sz="4" w:space="0" w:color="auto"/>
              <w:bottom w:val="nil"/>
              <w:right w:val="single" w:sz="4" w:space="0" w:color="auto"/>
            </w:tcBorders>
            <w:shd w:val="clear" w:color="auto" w:fill="DEEAF6" w:themeFill="accent5" w:themeFillTint="33"/>
          </w:tcPr>
          <w:p w14:paraId="6314D788"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tcBorders>
            <w:vAlign w:val="center"/>
          </w:tcPr>
          <w:p w14:paraId="319D79EA" w14:textId="77777777" w:rsidR="007E37A8" w:rsidRPr="002E027B" w:rsidRDefault="007E37A8" w:rsidP="00895815">
            <w:pPr>
              <w:rPr>
                <w:rFonts w:ascii="Arial" w:hAnsi="Arial" w:cs="Arial"/>
                <w:sz w:val="18"/>
                <w:szCs w:val="18"/>
              </w:rPr>
            </w:pPr>
          </w:p>
        </w:tc>
      </w:tr>
      <w:tr w:rsidR="007E37A8" w14:paraId="220F4FC4" w14:textId="77777777" w:rsidTr="00895815">
        <w:trPr>
          <w:jc w:val="center"/>
        </w:trPr>
        <w:tc>
          <w:tcPr>
            <w:tcW w:w="1111" w:type="dxa"/>
            <w:vMerge/>
            <w:tcBorders>
              <w:bottom w:val="single" w:sz="6" w:space="0" w:color="auto"/>
            </w:tcBorders>
            <w:shd w:val="clear" w:color="auto" w:fill="F2F2F2" w:themeFill="background1" w:themeFillShade="F2"/>
            <w:vAlign w:val="center"/>
          </w:tcPr>
          <w:p w14:paraId="11F7AB4C"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single" w:sz="4" w:space="0" w:color="auto"/>
              <w:right w:val="nil"/>
            </w:tcBorders>
            <w:shd w:val="clear" w:color="auto" w:fill="DEEAF6" w:themeFill="accent5" w:themeFillTint="33"/>
            <w:vAlign w:val="bottom"/>
          </w:tcPr>
          <w:p w14:paraId="65734359" w14:textId="77777777" w:rsidR="007E37A8" w:rsidRPr="00162662" w:rsidRDefault="007E37A8" w:rsidP="00895815">
            <w:pPr>
              <w:rPr>
                <w:rFonts w:ascii="Arial" w:hAnsi="Arial" w:cs="Arial"/>
                <w:sz w:val="18"/>
                <w:szCs w:val="18"/>
              </w:rPr>
            </w:pPr>
          </w:p>
        </w:tc>
        <w:tc>
          <w:tcPr>
            <w:tcW w:w="3217" w:type="dxa"/>
            <w:tcBorders>
              <w:top w:val="nil"/>
              <w:left w:val="nil"/>
              <w:bottom w:val="single" w:sz="4" w:space="0" w:color="auto"/>
            </w:tcBorders>
            <w:shd w:val="clear" w:color="auto" w:fill="DEEAF6" w:themeFill="accent5" w:themeFillTint="33"/>
            <w:vAlign w:val="bottom"/>
          </w:tcPr>
          <w:p w14:paraId="11EB9047" w14:textId="77777777" w:rsidR="007E37A8" w:rsidRPr="00162662" w:rsidRDefault="007E37A8" w:rsidP="00895815">
            <w:pPr>
              <w:rPr>
                <w:rFonts w:ascii="Arial" w:hAnsi="Arial" w:cs="Arial"/>
                <w:sz w:val="18"/>
                <w:szCs w:val="18"/>
              </w:rPr>
            </w:pPr>
          </w:p>
        </w:tc>
        <w:tc>
          <w:tcPr>
            <w:tcW w:w="1603" w:type="dxa"/>
            <w:tcBorders>
              <w:top w:val="nil"/>
              <w:bottom w:val="single" w:sz="4" w:space="0" w:color="auto"/>
              <w:right w:val="nil"/>
            </w:tcBorders>
            <w:shd w:val="clear" w:color="auto" w:fill="DEEAF6" w:themeFill="accent5" w:themeFillTint="33"/>
            <w:vAlign w:val="bottom"/>
          </w:tcPr>
          <w:p w14:paraId="150AB4FC" w14:textId="77777777" w:rsidR="007E37A8" w:rsidRPr="002B05C8" w:rsidRDefault="007E37A8" w:rsidP="00895815">
            <w:pPr>
              <w:rPr>
                <w:rFonts w:ascii="Arial" w:hAnsi="Arial" w:cs="Arial"/>
                <w:b/>
                <w:color w:val="C45911" w:themeColor="accent2" w:themeShade="BF"/>
                <w:sz w:val="18"/>
                <w:szCs w:val="18"/>
              </w:rPr>
            </w:pPr>
            <w:r w:rsidRPr="002B05C8">
              <w:rPr>
                <w:rFonts w:ascii="Arial" w:hAnsi="Arial" w:cs="Arial"/>
                <w:b/>
                <w:color w:val="C45911" w:themeColor="accent2" w:themeShade="BF"/>
                <w:sz w:val="18"/>
                <w:szCs w:val="18"/>
              </w:rPr>
              <w:t>BCL2</w:t>
            </w:r>
          </w:p>
        </w:tc>
        <w:tc>
          <w:tcPr>
            <w:tcW w:w="3358" w:type="dxa"/>
            <w:tcBorders>
              <w:top w:val="nil"/>
              <w:left w:val="nil"/>
              <w:bottom w:val="single" w:sz="4" w:space="0" w:color="auto"/>
            </w:tcBorders>
            <w:shd w:val="clear" w:color="auto" w:fill="DEEAF6" w:themeFill="accent5" w:themeFillTint="33"/>
            <w:vAlign w:val="bottom"/>
          </w:tcPr>
          <w:p w14:paraId="56CDDC12" w14:textId="77777777" w:rsidR="007E37A8" w:rsidRPr="002B05C8" w:rsidRDefault="007E37A8" w:rsidP="00895815">
            <w:pPr>
              <w:rPr>
                <w:rFonts w:ascii="Arial" w:hAnsi="Arial" w:cs="Arial"/>
                <w:b/>
                <w:color w:val="C45911" w:themeColor="accent2" w:themeShade="BF"/>
                <w:sz w:val="18"/>
                <w:szCs w:val="18"/>
              </w:rPr>
            </w:pPr>
            <w:r w:rsidRPr="002B05C8">
              <w:rPr>
                <w:rFonts w:ascii="Arial" w:hAnsi="Arial" w:cs="Arial"/>
                <w:b/>
                <w:color w:val="C45911" w:themeColor="accent2" w:themeShade="BF"/>
                <w:sz w:val="18"/>
                <w:szCs w:val="18"/>
              </w:rPr>
              <w:t>c.302G&gt;T, p.(Gly101Val)</w:t>
            </w:r>
            <w:r w:rsidRPr="001375B0">
              <w:rPr>
                <w:rFonts w:ascii="Arial" w:hAnsi="Arial" w:cs="Arial"/>
                <w:color w:val="C45911" w:themeColor="accent2" w:themeShade="BF"/>
                <w:sz w:val="18"/>
                <w:szCs w:val="18"/>
                <w:vertAlign w:val="superscript"/>
              </w:rPr>
              <w:t xml:space="preserve"> c</w:t>
            </w:r>
          </w:p>
        </w:tc>
        <w:tc>
          <w:tcPr>
            <w:tcW w:w="1461" w:type="dxa"/>
            <w:tcBorders>
              <w:top w:val="nil"/>
              <w:left w:val="nil"/>
              <w:bottom w:val="single" w:sz="4" w:space="0" w:color="auto"/>
              <w:right w:val="single" w:sz="4" w:space="0" w:color="auto"/>
            </w:tcBorders>
            <w:shd w:val="clear" w:color="auto" w:fill="DEEAF6" w:themeFill="accent5" w:themeFillTint="33"/>
          </w:tcPr>
          <w:p w14:paraId="3280850B" w14:textId="77777777" w:rsidR="007E37A8" w:rsidRPr="002B05C8" w:rsidRDefault="007E37A8" w:rsidP="00895815">
            <w:pPr>
              <w:jc w:val="center"/>
              <w:rPr>
                <w:rFonts w:ascii="Arial" w:hAnsi="Arial" w:cs="Arial"/>
                <w:b/>
                <w:color w:val="C45911" w:themeColor="accent2" w:themeShade="BF"/>
                <w:sz w:val="18"/>
                <w:szCs w:val="18"/>
              </w:rPr>
            </w:pPr>
            <w:r>
              <w:rPr>
                <w:rFonts w:ascii="Arial" w:hAnsi="Arial" w:cs="Arial"/>
                <w:b/>
                <w:color w:val="C45911" w:themeColor="accent2" w:themeShade="BF"/>
                <w:sz w:val="18"/>
                <w:szCs w:val="18"/>
              </w:rPr>
              <w:t>0.</w:t>
            </w:r>
            <w:r w:rsidRPr="002B05C8">
              <w:rPr>
                <w:rFonts w:ascii="Arial" w:hAnsi="Arial" w:cs="Arial"/>
                <w:b/>
                <w:color w:val="C45911" w:themeColor="accent2" w:themeShade="BF"/>
                <w:sz w:val="18"/>
                <w:szCs w:val="18"/>
              </w:rPr>
              <w:t>4%</w:t>
            </w:r>
          </w:p>
        </w:tc>
        <w:tc>
          <w:tcPr>
            <w:tcW w:w="1275" w:type="dxa"/>
            <w:tcBorders>
              <w:top w:val="nil"/>
              <w:left w:val="single" w:sz="4" w:space="0" w:color="auto"/>
              <w:bottom w:val="single" w:sz="4" w:space="0" w:color="auto"/>
              <w:right w:val="single" w:sz="4" w:space="0" w:color="auto"/>
            </w:tcBorders>
            <w:shd w:val="clear" w:color="auto" w:fill="DEEAF6" w:themeFill="accent5" w:themeFillTint="33"/>
          </w:tcPr>
          <w:p w14:paraId="077CBD0F" w14:textId="77777777" w:rsidR="007E37A8" w:rsidRPr="002E027B" w:rsidRDefault="007E37A8" w:rsidP="00895815">
            <w:pPr>
              <w:jc w:val="center"/>
              <w:rPr>
                <w:rFonts w:ascii="Arial" w:hAnsi="Arial" w:cs="Arial"/>
                <w:sz w:val="18"/>
                <w:szCs w:val="18"/>
              </w:rPr>
            </w:pPr>
            <w:r>
              <w:rPr>
                <w:rFonts w:ascii="Arial" w:hAnsi="Arial" w:cs="Arial"/>
                <w:b/>
                <w:color w:val="C45911" w:themeColor="accent2" w:themeShade="BF"/>
                <w:sz w:val="18"/>
                <w:szCs w:val="18"/>
              </w:rPr>
              <w:t>1.4</w:t>
            </w:r>
            <w:r w:rsidRPr="00254E66">
              <w:rPr>
                <w:rFonts w:ascii="Arial" w:hAnsi="Arial" w:cs="Arial"/>
                <w:b/>
                <w:color w:val="C45911" w:themeColor="accent2" w:themeShade="BF"/>
                <w:sz w:val="18"/>
                <w:szCs w:val="18"/>
              </w:rPr>
              <w:t>%</w:t>
            </w:r>
          </w:p>
        </w:tc>
        <w:tc>
          <w:tcPr>
            <w:tcW w:w="1275" w:type="dxa"/>
            <w:vMerge/>
            <w:tcBorders>
              <w:left w:val="single" w:sz="4" w:space="0" w:color="auto"/>
              <w:bottom w:val="single" w:sz="4" w:space="0" w:color="auto"/>
            </w:tcBorders>
            <w:vAlign w:val="center"/>
          </w:tcPr>
          <w:p w14:paraId="576D958E" w14:textId="77777777" w:rsidR="007E37A8" w:rsidRPr="002E027B" w:rsidRDefault="007E37A8" w:rsidP="00895815">
            <w:pPr>
              <w:rPr>
                <w:rFonts w:ascii="Arial" w:hAnsi="Arial" w:cs="Arial"/>
                <w:sz w:val="18"/>
                <w:szCs w:val="18"/>
              </w:rPr>
            </w:pPr>
          </w:p>
        </w:tc>
      </w:tr>
      <w:tr w:rsidR="007E37A8" w14:paraId="3F45A886" w14:textId="77777777" w:rsidTr="00895815">
        <w:trPr>
          <w:jc w:val="center"/>
        </w:trPr>
        <w:tc>
          <w:tcPr>
            <w:tcW w:w="1111" w:type="dxa"/>
            <w:vMerge w:val="restart"/>
            <w:tcBorders>
              <w:top w:val="single" w:sz="6" w:space="0" w:color="auto"/>
              <w:bottom w:val="single" w:sz="6" w:space="0" w:color="auto"/>
            </w:tcBorders>
            <w:shd w:val="clear" w:color="auto" w:fill="F2F2F2" w:themeFill="background1" w:themeFillShade="F2"/>
            <w:vAlign w:val="center"/>
          </w:tcPr>
          <w:p w14:paraId="4073CA40"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t>CLL7</w:t>
            </w:r>
          </w:p>
        </w:tc>
        <w:tc>
          <w:tcPr>
            <w:tcW w:w="1319" w:type="dxa"/>
            <w:tcBorders>
              <w:top w:val="single" w:sz="4" w:space="0" w:color="auto"/>
              <w:bottom w:val="nil"/>
              <w:right w:val="nil"/>
            </w:tcBorders>
            <w:vAlign w:val="bottom"/>
          </w:tcPr>
          <w:p w14:paraId="3522CDFF" w14:textId="77777777" w:rsidR="007E37A8" w:rsidRPr="00162662" w:rsidRDefault="007E37A8" w:rsidP="00895815">
            <w:pPr>
              <w:rPr>
                <w:rFonts w:ascii="Arial" w:hAnsi="Arial" w:cs="Arial"/>
                <w:sz w:val="18"/>
                <w:szCs w:val="18"/>
              </w:rPr>
            </w:pPr>
            <w:r w:rsidRPr="00162662">
              <w:rPr>
                <w:rFonts w:ascii="Arial" w:hAnsi="Arial" w:cs="Arial"/>
                <w:sz w:val="18"/>
                <w:szCs w:val="18"/>
              </w:rPr>
              <w:t>NOTCH1</w:t>
            </w:r>
          </w:p>
        </w:tc>
        <w:tc>
          <w:tcPr>
            <w:tcW w:w="3217" w:type="dxa"/>
            <w:tcBorders>
              <w:top w:val="single" w:sz="4" w:space="0" w:color="auto"/>
              <w:left w:val="nil"/>
              <w:bottom w:val="nil"/>
            </w:tcBorders>
            <w:vAlign w:val="bottom"/>
          </w:tcPr>
          <w:p w14:paraId="134573D3" w14:textId="77777777" w:rsidR="007E37A8" w:rsidRPr="00162662" w:rsidRDefault="007E37A8" w:rsidP="00895815">
            <w:pPr>
              <w:rPr>
                <w:rFonts w:ascii="Arial" w:hAnsi="Arial" w:cs="Arial"/>
                <w:sz w:val="18"/>
                <w:szCs w:val="18"/>
              </w:rPr>
            </w:pPr>
            <w:r w:rsidRPr="00162662">
              <w:rPr>
                <w:rFonts w:ascii="Arial" w:hAnsi="Arial" w:cs="Arial"/>
                <w:sz w:val="18"/>
                <w:szCs w:val="18"/>
              </w:rPr>
              <w:t>c.7541_7542del, p.(Pro2514Argfs*4)</w:t>
            </w:r>
          </w:p>
        </w:tc>
        <w:tc>
          <w:tcPr>
            <w:tcW w:w="1603" w:type="dxa"/>
            <w:tcBorders>
              <w:top w:val="single" w:sz="4" w:space="0" w:color="auto"/>
              <w:bottom w:val="nil"/>
              <w:right w:val="nil"/>
            </w:tcBorders>
            <w:vAlign w:val="bottom"/>
          </w:tcPr>
          <w:p w14:paraId="6A79245D" w14:textId="77777777" w:rsidR="007E37A8" w:rsidRPr="00A6679D" w:rsidRDefault="007E37A8" w:rsidP="00895815">
            <w:pPr>
              <w:rPr>
                <w:rFonts w:ascii="Arial" w:hAnsi="Arial" w:cs="Arial"/>
                <w:sz w:val="18"/>
                <w:szCs w:val="18"/>
              </w:rPr>
            </w:pPr>
          </w:p>
        </w:tc>
        <w:tc>
          <w:tcPr>
            <w:tcW w:w="3358" w:type="dxa"/>
            <w:tcBorders>
              <w:top w:val="single" w:sz="4" w:space="0" w:color="auto"/>
              <w:left w:val="nil"/>
              <w:bottom w:val="nil"/>
            </w:tcBorders>
            <w:vAlign w:val="bottom"/>
          </w:tcPr>
          <w:p w14:paraId="44750543" w14:textId="77777777" w:rsidR="007E37A8" w:rsidRPr="00A6679D" w:rsidRDefault="007E37A8" w:rsidP="00895815">
            <w:pPr>
              <w:rPr>
                <w:rFonts w:ascii="Arial" w:hAnsi="Arial" w:cs="Arial"/>
                <w:sz w:val="18"/>
                <w:szCs w:val="18"/>
              </w:rPr>
            </w:pPr>
          </w:p>
        </w:tc>
        <w:tc>
          <w:tcPr>
            <w:tcW w:w="1461" w:type="dxa"/>
            <w:tcBorders>
              <w:top w:val="single" w:sz="4" w:space="0" w:color="auto"/>
              <w:left w:val="nil"/>
              <w:bottom w:val="nil"/>
              <w:right w:val="single" w:sz="4" w:space="0" w:color="auto"/>
            </w:tcBorders>
          </w:tcPr>
          <w:p w14:paraId="5857B062" w14:textId="77777777" w:rsidR="007E37A8" w:rsidRPr="002E027B" w:rsidRDefault="007E37A8" w:rsidP="00895815">
            <w:pPr>
              <w:jc w:val="center"/>
              <w:rPr>
                <w:rFonts w:ascii="Arial" w:hAnsi="Arial" w:cs="Arial"/>
                <w:sz w:val="18"/>
                <w:szCs w:val="18"/>
              </w:rPr>
            </w:pPr>
          </w:p>
        </w:tc>
        <w:tc>
          <w:tcPr>
            <w:tcW w:w="1275" w:type="dxa"/>
            <w:tcBorders>
              <w:top w:val="single" w:sz="4" w:space="0" w:color="auto"/>
              <w:left w:val="single" w:sz="4" w:space="0" w:color="auto"/>
              <w:bottom w:val="single" w:sz="4" w:space="0" w:color="FFFFFF"/>
              <w:right w:val="single" w:sz="4" w:space="0" w:color="auto"/>
            </w:tcBorders>
          </w:tcPr>
          <w:p w14:paraId="37167FA9" w14:textId="77777777" w:rsidR="007E37A8" w:rsidRPr="002E027B" w:rsidRDefault="007E37A8" w:rsidP="00895815">
            <w:pPr>
              <w:jc w:val="center"/>
              <w:rPr>
                <w:rFonts w:ascii="Arial" w:hAnsi="Arial" w:cs="Arial"/>
                <w:sz w:val="18"/>
                <w:szCs w:val="18"/>
              </w:rPr>
            </w:pPr>
          </w:p>
        </w:tc>
        <w:tc>
          <w:tcPr>
            <w:tcW w:w="1275" w:type="dxa"/>
            <w:vMerge w:val="restart"/>
            <w:tcBorders>
              <w:top w:val="single" w:sz="4" w:space="0" w:color="auto"/>
              <w:left w:val="single" w:sz="4" w:space="0" w:color="auto"/>
            </w:tcBorders>
            <w:vAlign w:val="center"/>
          </w:tcPr>
          <w:p w14:paraId="752C4AFC" w14:textId="77777777" w:rsidR="007E37A8" w:rsidRPr="002E027B" w:rsidRDefault="007E37A8" w:rsidP="00895815">
            <w:pPr>
              <w:rPr>
                <w:rFonts w:ascii="Arial" w:hAnsi="Arial" w:cs="Arial"/>
                <w:sz w:val="18"/>
                <w:szCs w:val="18"/>
              </w:rPr>
            </w:pPr>
            <w:r w:rsidRPr="002E027B">
              <w:rPr>
                <w:rFonts w:ascii="Arial" w:hAnsi="Arial" w:cs="Arial"/>
                <w:sz w:val="18"/>
                <w:szCs w:val="18"/>
              </w:rPr>
              <w:t>Unmutated</w:t>
            </w:r>
          </w:p>
        </w:tc>
      </w:tr>
      <w:tr w:rsidR="007E37A8" w14:paraId="4B8ED105" w14:textId="77777777" w:rsidTr="00895815">
        <w:trPr>
          <w:jc w:val="center"/>
        </w:trPr>
        <w:tc>
          <w:tcPr>
            <w:tcW w:w="1111" w:type="dxa"/>
            <w:vMerge/>
            <w:tcBorders>
              <w:top w:val="single" w:sz="6" w:space="0" w:color="auto"/>
              <w:bottom w:val="single" w:sz="6" w:space="0" w:color="auto"/>
            </w:tcBorders>
            <w:shd w:val="clear" w:color="auto" w:fill="F2F2F2" w:themeFill="background1" w:themeFillShade="F2"/>
            <w:vAlign w:val="center"/>
          </w:tcPr>
          <w:p w14:paraId="6E5EE3A2"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single" w:sz="4" w:space="0" w:color="auto"/>
              <w:right w:val="nil"/>
            </w:tcBorders>
            <w:vAlign w:val="bottom"/>
          </w:tcPr>
          <w:p w14:paraId="494FBE94" w14:textId="77777777" w:rsidR="007E37A8" w:rsidRPr="00162662" w:rsidRDefault="007E37A8" w:rsidP="00895815">
            <w:pPr>
              <w:rPr>
                <w:rFonts w:ascii="Arial" w:hAnsi="Arial" w:cs="Arial"/>
                <w:sz w:val="18"/>
                <w:szCs w:val="18"/>
              </w:rPr>
            </w:pPr>
            <w:r w:rsidRPr="00162662">
              <w:rPr>
                <w:rFonts w:ascii="Arial" w:hAnsi="Arial" w:cs="Arial"/>
                <w:sz w:val="18"/>
                <w:szCs w:val="18"/>
              </w:rPr>
              <w:t>TP53</w:t>
            </w:r>
          </w:p>
        </w:tc>
        <w:tc>
          <w:tcPr>
            <w:tcW w:w="3217" w:type="dxa"/>
            <w:tcBorders>
              <w:top w:val="nil"/>
              <w:left w:val="nil"/>
              <w:bottom w:val="single" w:sz="4" w:space="0" w:color="auto"/>
            </w:tcBorders>
            <w:vAlign w:val="bottom"/>
          </w:tcPr>
          <w:p w14:paraId="134F0FDB" w14:textId="77777777" w:rsidR="007E37A8" w:rsidRPr="00162662" w:rsidRDefault="007E37A8" w:rsidP="00895815">
            <w:pPr>
              <w:rPr>
                <w:rFonts w:ascii="Arial" w:hAnsi="Arial" w:cs="Arial"/>
                <w:sz w:val="18"/>
                <w:szCs w:val="18"/>
              </w:rPr>
            </w:pPr>
            <w:r w:rsidRPr="00162662">
              <w:rPr>
                <w:rFonts w:ascii="Arial" w:hAnsi="Arial" w:cs="Arial"/>
                <w:sz w:val="18"/>
                <w:szCs w:val="18"/>
              </w:rPr>
              <w:t>c.706T&gt;A, p.(Tyr236Asn)</w:t>
            </w:r>
          </w:p>
        </w:tc>
        <w:tc>
          <w:tcPr>
            <w:tcW w:w="1603" w:type="dxa"/>
            <w:tcBorders>
              <w:top w:val="nil"/>
              <w:bottom w:val="single" w:sz="4" w:space="0" w:color="auto"/>
              <w:right w:val="nil"/>
            </w:tcBorders>
            <w:vAlign w:val="bottom"/>
          </w:tcPr>
          <w:p w14:paraId="5B200119" w14:textId="77777777" w:rsidR="007E37A8" w:rsidRPr="006A4F62" w:rsidRDefault="007E37A8" w:rsidP="00895815">
            <w:pPr>
              <w:rPr>
                <w:rFonts w:ascii="Arial" w:hAnsi="Arial" w:cs="Arial"/>
                <w:color w:val="000000"/>
                <w:sz w:val="18"/>
                <w:szCs w:val="18"/>
              </w:rPr>
            </w:pPr>
            <w:r w:rsidRPr="00A6679D">
              <w:rPr>
                <w:rFonts w:ascii="Arial" w:hAnsi="Arial" w:cs="Arial"/>
                <w:sz w:val="18"/>
                <w:szCs w:val="18"/>
              </w:rPr>
              <w:t>TP53</w:t>
            </w:r>
          </w:p>
        </w:tc>
        <w:tc>
          <w:tcPr>
            <w:tcW w:w="3358" w:type="dxa"/>
            <w:tcBorders>
              <w:top w:val="nil"/>
              <w:left w:val="nil"/>
              <w:bottom w:val="single" w:sz="4" w:space="0" w:color="auto"/>
            </w:tcBorders>
            <w:vAlign w:val="bottom"/>
          </w:tcPr>
          <w:p w14:paraId="75D7134A" w14:textId="77777777" w:rsidR="007E37A8" w:rsidRPr="006A4F62" w:rsidRDefault="007E37A8" w:rsidP="00895815">
            <w:pPr>
              <w:rPr>
                <w:rFonts w:ascii="Arial" w:hAnsi="Arial" w:cs="Arial"/>
                <w:color w:val="000000"/>
                <w:sz w:val="18"/>
                <w:szCs w:val="18"/>
              </w:rPr>
            </w:pPr>
            <w:r w:rsidRPr="00A6679D">
              <w:rPr>
                <w:rFonts w:ascii="Arial" w:hAnsi="Arial" w:cs="Arial"/>
                <w:sz w:val="18"/>
                <w:szCs w:val="18"/>
              </w:rPr>
              <w:t>c.706T&gt;A, p.(Tyr236Asn)</w:t>
            </w:r>
          </w:p>
        </w:tc>
        <w:tc>
          <w:tcPr>
            <w:tcW w:w="1461" w:type="dxa"/>
            <w:tcBorders>
              <w:top w:val="nil"/>
              <w:left w:val="nil"/>
              <w:bottom w:val="single" w:sz="4" w:space="0" w:color="auto"/>
              <w:right w:val="single" w:sz="4" w:space="0" w:color="auto"/>
            </w:tcBorders>
          </w:tcPr>
          <w:p w14:paraId="570BFDB6" w14:textId="77777777" w:rsidR="007E37A8" w:rsidRPr="002E027B" w:rsidRDefault="007E37A8" w:rsidP="00895815">
            <w:pPr>
              <w:jc w:val="center"/>
              <w:rPr>
                <w:rFonts w:ascii="Arial" w:hAnsi="Arial" w:cs="Arial"/>
                <w:sz w:val="18"/>
                <w:szCs w:val="18"/>
              </w:rPr>
            </w:pPr>
          </w:p>
        </w:tc>
        <w:tc>
          <w:tcPr>
            <w:tcW w:w="1275" w:type="dxa"/>
            <w:tcBorders>
              <w:top w:val="single" w:sz="4" w:space="0" w:color="FFFFFF"/>
              <w:left w:val="single" w:sz="4" w:space="0" w:color="auto"/>
              <w:bottom w:val="single" w:sz="4" w:space="0" w:color="auto"/>
              <w:right w:val="single" w:sz="4" w:space="0" w:color="auto"/>
            </w:tcBorders>
          </w:tcPr>
          <w:p w14:paraId="02110451"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bottom w:val="single" w:sz="4" w:space="0" w:color="auto"/>
            </w:tcBorders>
            <w:vAlign w:val="center"/>
          </w:tcPr>
          <w:p w14:paraId="61DF38B1" w14:textId="77777777" w:rsidR="007E37A8" w:rsidRPr="002E027B" w:rsidRDefault="007E37A8" w:rsidP="00895815">
            <w:pPr>
              <w:rPr>
                <w:rFonts w:ascii="Arial" w:hAnsi="Arial" w:cs="Arial"/>
                <w:sz w:val="18"/>
                <w:szCs w:val="18"/>
              </w:rPr>
            </w:pPr>
          </w:p>
        </w:tc>
      </w:tr>
      <w:tr w:rsidR="007E37A8" w14:paraId="11246007" w14:textId="77777777" w:rsidTr="00895815">
        <w:trPr>
          <w:jc w:val="center"/>
        </w:trPr>
        <w:tc>
          <w:tcPr>
            <w:tcW w:w="1111" w:type="dxa"/>
            <w:vMerge w:val="restart"/>
            <w:tcBorders>
              <w:top w:val="single" w:sz="6" w:space="0" w:color="auto"/>
              <w:bottom w:val="single" w:sz="6" w:space="0" w:color="auto"/>
            </w:tcBorders>
            <w:shd w:val="clear" w:color="auto" w:fill="DEEAF6" w:themeFill="accent5" w:themeFillTint="33"/>
            <w:vAlign w:val="center"/>
          </w:tcPr>
          <w:p w14:paraId="40F57AD1"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t>CLL8</w:t>
            </w:r>
          </w:p>
        </w:tc>
        <w:tc>
          <w:tcPr>
            <w:tcW w:w="1319" w:type="dxa"/>
            <w:tcBorders>
              <w:top w:val="single" w:sz="4" w:space="0" w:color="auto"/>
              <w:bottom w:val="nil"/>
              <w:right w:val="nil"/>
            </w:tcBorders>
            <w:shd w:val="clear" w:color="auto" w:fill="DEEAF6" w:themeFill="accent5" w:themeFillTint="33"/>
            <w:vAlign w:val="bottom"/>
          </w:tcPr>
          <w:p w14:paraId="24758123" w14:textId="77777777" w:rsidR="007E37A8" w:rsidRPr="00162662" w:rsidRDefault="007E37A8" w:rsidP="00895815">
            <w:pPr>
              <w:rPr>
                <w:rFonts w:ascii="Arial" w:hAnsi="Arial" w:cs="Arial"/>
                <w:sz w:val="18"/>
                <w:szCs w:val="18"/>
              </w:rPr>
            </w:pPr>
            <w:r w:rsidRPr="00162662">
              <w:rPr>
                <w:rFonts w:ascii="Arial" w:hAnsi="Arial" w:cs="Arial"/>
                <w:sz w:val="18"/>
                <w:szCs w:val="18"/>
              </w:rPr>
              <w:t>TP53</w:t>
            </w:r>
          </w:p>
        </w:tc>
        <w:tc>
          <w:tcPr>
            <w:tcW w:w="3217" w:type="dxa"/>
            <w:tcBorders>
              <w:top w:val="single" w:sz="4" w:space="0" w:color="auto"/>
              <w:left w:val="nil"/>
              <w:bottom w:val="nil"/>
            </w:tcBorders>
            <w:shd w:val="clear" w:color="auto" w:fill="DEEAF6" w:themeFill="accent5" w:themeFillTint="33"/>
            <w:vAlign w:val="bottom"/>
          </w:tcPr>
          <w:p w14:paraId="4AE7F40E" w14:textId="77777777" w:rsidR="007E37A8" w:rsidRPr="00162662" w:rsidRDefault="007E37A8" w:rsidP="00895815">
            <w:pPr>
              <w:rPr>
                <w:rFonts w:ascii="Arial" w:hAnsi="Arial" w:cs="Arial"/>
                <w:sz w:val="18"/>
                <w:szCs w:val="18"/>
              </w:rPr>
            </w:pPr>
            <w:r w:rsidRPr="00162662">
              <w:rPr>
                <w:rFonts w:ascii="Arial" w:hAnsi="Arial" w:cs="Arial"/>
                <w:sz w:val="18"/>
                <w:szCs w:val="18"/>
              </w:rPr>
              <w:t>c.919+1G&gt;A, p.?</w:t>
            </w:r>
          </w:p>
        </w:tc>
        <w:tc>
          <w:tcPr>
            <w:tcW w:w="1603" w:type="dxa"/>
            <w:tcBorders>
              <w:top w:val="single" w:sz="4" w:space="0" w:color="auto"/>
              <w:bottom w:val="nil"/>
              <w:right w:val="nil"/>
            </w:tcBorders>
            <w:shd w:val="clear" w:color="auto" w:fill="DEEAF6" w:themeFill="accent5" w:themeFillTint="33"/>
            <w:vAlign w:val="bottom"/>
          </w:tcPr>
          <w:p w14:paraId="3F8A9CD8" w14:textId="77777777" w:rsidR="007E37A8" w:rsidRPr="00A6679D" w:rsidRDefault="007E37A8" w:rsidP="00895815">
            <w:pPr>
              <w:rPr>
                <w:rFonts w:ascii="Arial" w:hAnsi="Arial" w:cs="Arial"/>
                <w:sz w:val="18"/>
                <w:szCs w:val="18"/>
              </w:rPr>
            </w:pPr>
          </w:p>
        </w:tc>
        <w:tc>
          <w:tcPr>
            <w:tcW w:w="3358" w:type="dxa"/>
            <w:tcBorders>
              <w:top w:val="single" w:sz="4" w:space="0" w:color="auto"/>
              <w:left w:val="nil"/>
              <w:bottom w:val="nil"/>
            </w:tcBorders>
            <w:shd w:val="clear" w:color="auto" w:fill="DEEAF6" w:themeFill="accent5" w:themeFillTint="33"/>
            <w:vAlign w:val="bottom"/>
          </w:tcPr>
          <w:p w14:paraId="43AFE98E" w14:textId="77777777" w:rsidR="007E37A8" w:rsidRPr="00A6679D" w:rsidRDefault="007E37A8" w:rsidP="00895815">
            <w:pPr>
              <w:rPr>
                <w:rFonts w:ascii="Arial" w:hAnsi="Arial" w:cs="Arial"/>
                <w:sz w:val="18"/>
                <w:szCs w:val="18"/>
              </w:rPr>
            </w:pPr>
          </w:p>
        </w:tc>
        <w:tc>
          <w:tcPr>
            <w:tcW w:w="1461" w:type="dxa"/>
            <w:tcBorders>
              <w:top w:val="single" w:sz="4" w:space="0" w:color="auto"/>
              <w:left w:val="nil"/>
              <w:bottom w:val="nil"/>
              <w:right w:val="single" w:sz="4" w:space="0" w:color="auto"/>
            </w:tcBorders>
            <w:shd w:val="clear" w:color="auto" w:fill="DEEAF6" w:themeFill="accent5" w:themeFillTint="33"/>
          </w:tcPr>
          <w:p w14:paraId="4E9FB351" w14:textId="77777777" w:rsidR="007E37A8" w:rsidRPr="002E027B" w:rsidRDefault="007E37A8" w:rsidP="00895815">
            <w:pPr>
              <w:jc w:val="center"/>
              <w:rPr>
                <w:rFonts w:ascii="Arial" w:hAnsi="Arial" w:cs="Arial"/>
                <w:sz w:val="18"/>
                <w:szCs w:val="18"/>
              </w:rPr>
            </w:pPr>
          </w:p>
        </w:tc>
        <w:tc>
          <w:tcPr>
            <w:tcW w:w="1275" w:type="dxa"/>
            <w:tcBorders>
              <w:top w:val="single" w:sz="4" w:space="0" w:color="auto"/>
              <w:left w:val="single" w:sz="4" w:space="0" w:color="auto"/>
              <w:bottom w:val="nil"/>
              <w:right w:val="single" w:sz="4" w:space="0" w:color="auto"/>
            </w:tcBorders>
            <w:shd w:val="clear" w:color="auto" w:fill="DEEAF6" w:themeFill="accent5" w:themeFillTint="33"/>
          </w:tcPr>
          <w:p w14:paraId="5FAF163F" w14:textId="77777777" w:rsidR="007E37A8" w:rsidRPr="002E027B" w:rsidRDefault="007E37A8" w:rsidP="00895815">
            <w:pPr>
              <w:jc w:val="center"/>
              <w:rPr>
                <w:rFonts w:ascii="Arial" w:hAnsi="Arial" w:cs="Arial"/>
                <w:sz w:val="18"/>
                <w:szCs w:val="18"/>
              </w:rPr>
            </w:pPr>
          </w:p>
        </w:tc>
        <w:tc>
          <w:tcPr>
            <w:tcW w:w="1275" w:type="dxa"/>
            <w:vMerge w:val="restart"/>
            <w:tcBorders>
              <w:top w:val="single" w:sz="4" w:space="0" w:color="auto"/>
              <w:left w:val="single" w:sz="4" w:space="0" w:color="auto"/>
            </w:tcBorders>
            <w:shd w:val="clear" w:color="auto" w:fill="DEEAF6" w:themeFill="accent5" w:themeFillTint="33"/>
            <w:vAlign w:val="center"/>
          </w:tcPr>
          <w:p w14:paraId="5AF55756" w14:textId="77777777" w:rsidR="007E37A8" w:rsidRPr="002E027B" w:rsidRDefault="007E37A8" w:rsidP="00895815">
            <w:pPr>
              <w:rPr>
                <w:rFonts w:ascii="Arial" w:hAnsi="Arial" w:cs="Arial"/>
                <w:sz w:val="18"/>
                <w:szCs w:val="18"/>
              </w:rPr>
            </w:pPr>
            <w:r w:rsidRPr="002E027B">
              <w:rPr>
                <w:rFonts w:ascii="Arial" w:hAnsi="Arial" w:cs="Arial"/>
                <w:sz w:val="18"/>
                <w:szCs w:val="18"/>
              </w:rPr>
              <w:t>Mutated</w:t>
            </w:r>
          </w:p>
        </w:tc>
      </w:tr>
      <w:tr w:rsidR="007E37A8" w14:paraId="3E4475C2" w14:textId="77777777" w:rsidTr="00895815">
        <w:trPr>
          <w:jc w:val="center"/>
        </w:trPr>
        <w:tc>
          <w:tcPr>
            <w:tcW w:w="1111" w:type="dxa"/>
            <w:vMerge/>
            <w:tcBorders>
              <w:top w:val="single" w:sz="6" w:space="0" w:color="auto"/>
              <w:bottom w:val="single" w:sz="6" w:space="0" w:color="auto"/>
            </w:tcBorders>
            <w:shd w:val="clear" w:color="auto" w:fill="DEEAF6" w:themeFill="accent5" w:themeFillTint="33"/>
            <w:vAlign w:val="center"/>
          </w:tcPr>
          <w:p w14:paraId="3B84A198"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nil"/>
              <w:right w:val="nil"/>
            </w:tcBorders>
            <w:shd w:val="clear" w:color="auto" w:fill="DEEAF6" w:themeFill="accent5" w:themeFillTint="33"/>
            <w:vAlign w:val="bottom"/>
          </w:tcPr>
          <w:p w14:paraId="6A380EC5" w14:textId="77777777" w:rsidR="007E37A8" w:rsidRPr="00162662" w:rsidRDefault="007E37A8" w:rsidP="00895815">
            <w:pPr>
              <w:rPr>
                <w:rFonts w:ascii="Arial" w:hAnsi="Arial" w:cs="Arial"/>
                <w:sz w:val="18"/>
                <w:szCs w:val="18"/>
              </w:rPr>
            </w:pPr>
            <w:r w:rsidRPr="00162662">
              <w:rPr>
                <w:rFonts w:ascii="Arial" w:hAnsi="Arial" w:cs="Arial"/>
                <w:sz w:val="18"/>
                <w:szCs w:val="18"/>
              </w:rPr>
              <w:t>TP53</w:t>
            </w:r>
          </w:p>
        </w:tc>
        <w:tc>
          <w:tcPr>
            <w:tcW w:w="3217" w:type="dxa"/>
            <w:tcBorders>
              <w:top w:val="nil"/>
              <w:left w:val="nil"/>
              <w:bottom w:val="nil"/>
            </w:tcBorders>
            <w:shd w:val="clear" w:color="auto" w:fill="DEEAF6" w:themeFill="accent5" w:themeFillTint="33"/>
            <w:vAlign w:val="bottom"/>
          </w:tcPr>
          <w:p w14:paraId="039B9182" w14:textId="77777777" w:rsidR="007E37A8" w:rsidRPr="00162662" w:rsidRDefault="007E37A8" w:rsidP="00895815">
            <w:pPr>
              <w:rPr>
                <w:rFonts w:ascii="Arial" w:hAnsi="Arial" w:cs="Arial"/>
                <w:sz w:val="18"/>
                <w:szCs w:val="18"/>
              </w:rPr>
            </w:pPr>
            <w:r w:rsidRPr="00162662">
              <w:rPr>
                <w:rFonts w:ascii="Arial" w:hAnsi="Arial" w:cs="Arial"/>
                <w:sz w:val="18"/>
                <w:szCs w:val="18"/>
              </w:rPr>
              <w:t>c.701A&gt;G, p.(Tyr234Cys)</w:t>
            </w:r>
          </w:p>
        </w:tc>
        <w:tc>
          <w:tcPr>
            <w:tcW w:w="1603" w:type="dxa"/>
            <w:tcBorders>
              <w:top w:val="nil"/>
              <w:bottom w:val="nil"/>
              <w:right w:val="nil"/>
            </w:tcBorders>
            <w:shd w:val="clear" w:color="auto" w:fill="DEEAF6" w:themeFill="accent5" w:themeFillTint="33"/>
            <w:vAlign w:val="bottom"/>
          </w:tcPr>
          <w:p w14:paraId="0229D7F6" w14:textId="77777777" w:rsidR="007E37A8" w:rsidRPr="002B05C8" w:rsidRDefault="007E37A8" w:rsidP="00895815">
            <w:pPr>
              <w:rPr>
                <w:rFonts w:ascii="Arial" w:hAnsi="Arial" w:cs="Arial"/>
                <w:b/>
                <w:color w:val="C45911" w:themeColor="accent2" w:themeShade="BF"/>
                <w:sz w:val="18"/>
                <w:szCs w:val="18"/>
              </w:rPr>
            </w:pPr>
          </w:p>
        </w:tc>
        <w:tc>
          <w:tcPr>
            <w:tcW w:w="3358" w:type="dxa"/>
            <w:tcBorders>
              <w:top w:val="nil"/>
              <w:left w:val="nil"/>
              <w:bottom w:val="nil"/>
            </w:tcBorders>
            <w:shd w:val="clear" w:color="auto" w:fill="DEEAF6" w:themeFill="accent5" w:themeFillTint="33"/>
            <w:vAlign w:val="bottom"/>
          </w:tcPr>
          <w:p w14:paraId="1A4EA088" w14:textId="77777777" w:rsidR="007E37A8" w:rsidRPr="002B05C8" w:rsidRDefault="007E37A8" w:rsidP="00895815">
            <w:pPr>
              <w:rPr>
                <w:rFonts w:ascii="Arial" w:hAnsi="Arial" w:cs="Arial"/>
                <w:b/>
                <w:color w:val="C45911" w:themeColor="accent2" w:themeShade="BF"/>
                <w:sz w:val="18"/>
                <w:szCs w:val="18"/>
              </w:rPr>
            </w:pPr>
          </w:p>
        </w:tc>
        <w:tc>
          <w:tcPr>
            <w:tcW w:w="1461" w:type="dxa"/>
            <w:tcBorders>
              <w:top w:val="nil"/>
              <w:left w:val="nil"/>
              <w:bottom w:val="nil"/>
              <w:right w:val="single" w:sz="4" w:space="0" w:color="auto"/>
            </w:tcBorders>
            <w:shd w:val="clear" w:color="auto" w:fill="DEEAF6" w:themeFill="accent5" w:themeFillTint="33"/>
          </w:tcPr>
          <w:p w14:paraId="557142AC" w14:textId="77777777" w:rsidR="007E37A8" w:rsidRPr="002B05C8" w:rsidRDefault="007E37A8" w:rsidP="00895815">
            <w:pPr>
              <w:jc w:val="center"/>
              <w:rPr>
                <w:rFonts w:ascii="Arial" w:hAnsi="Arial" w:cs="Arial"/>
                <w:b/>
                <w:color w:val="C45911" w:themeColor="accent2" w:themeShade="BF"/>
                <w:sz w:val="18"/>
                <w:szCs w:val="18"/>
              </w:rPr>
            </w:pPr>
          </w:p>
        </w:tc>
        <w:tc>
          <w:tcPr>
            <w:tcW w:w="1275" w:type="dxa"/>
            <w:tcBorders>
              <w:top w:val="nil"/>
              <w:left w:val="single" w:sz="4" w:space="0" w:color="auto"/>
              <w:bottom w:val="nil"/>
              <w:right w:val="single" w:sz="4" w:space="0" w:color="auto"/>
            </w:tcBorders>
            <w:shd w:val="clear" w:color="auto" w:fill="DEEAF6" w:themeFill="accent5" w:themeFillTint="33"/>
          </w:tcPr>
          <w:p w14:paraId="751792FA"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tcBorders>
            <w:shd w:val="clear" w:color="auto" w:fill="DEEAF6" w:themeFill="accent5" w:themeFillTint="33"/>
            <w:vAlign w:val="center"/>
          </w:tcPr>
          <w:p w14:paraId="246E8080" w14:textId="77777777" w:rsidR="007E37A8" w:rsidRPr="002E027B" w:rsidRDefault="007E37A8" w:rsidP="00895815">
            <w:pPr>
              <w:rPr>
                <w:rFonts w:ascii="Arial" w:hAnsi="Arial" w:cs="Arial"/>
                <w:sz w:val="18"/>
                <w:szCs w:val="18"/>
              </w:rPr>
            </w:pPr>
          </w:p>
        </w:tc>
      </w:tr>
      <w:tr w:rsidR="007E37A8" w14:paraId="73DDE324" w14:textId="77777777" w:rsidTr="00895815">
        <w:trPr>
          <w:jc w:val="center"/>
        </w:trPr>
        <w:tc>
          <w:tcPr>
            <w:tcW w:w="1111" w:type="dxa"/>
            <w:vMerge/>
            <w:tcBorders>
              <w:top w:val="single" w:sz="6" w:space="0" w:color="auto"/>
              <w:bottom w:val="single" w:sz="6" w:space="0" w:color="auto"/>
            </w:tcBorders>
            <w:shd w:val="clear" w:color="auto" w:fill="DEEAF6" w:themeFill="accent5" w:themeFillTint="33"/>
            <w:vAlign w:val="center"/>
          </w:tcPr>
          <w:p w14:paraId="63666359"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nil"/>
              <w:right w:val="nil"/>
            </w:tcBorders>
            <w:shd w:val="clear" w:color="auto" w:fill="DEEAF6" w:themeFill="accent5" w:themeFillTint="33"/>
            <w:vAlign w:val="bottom"/>
          </w:tcPr>
          <w:p w14:paraId="69FE3F4C" w14:textId="77777777" w:rsidR="007E37A8" w:rsidRPr="00162662" w:rsidRDefault="007E37A8" w:rsidP="00895815">
            <w:pPr>
              <w:rPr>
                <w:rFonts w:ascii="Arial" w:hAnsi="Arial" w:cs="Arial"/>
                <w:sz w:val="18"/>
                <w:szCs w:val="18"/>
              </w:rPr>
            </w:pPr>
            <w:r w:rsidRPr="00162662">
              <w:rPr>
                <w:rFonts w:ascii="Arial" w:hAnsi="Arial" w:cs="Arial"/>
                <w:sz w:val="18"/>
                <w:szCs w:val="18"/>
              </w:rPr>
              <w:t>TP53</w:t>
            </w:r>
          </w:p>
        </w:tc>
        <w:tc>
          <w:tcPr>
            <w:tcW w:w="3217" w:type="dxa"/>
            <w:tcBorders>
              <w:top w:val="nil"/>
              <w:left w:val="nil"/>
              <w:bottom w:val="nil"/>
            </w:tcBorders>
            <w:shd w:val="clear" w:color="auto" w:fill="DEEAF6" w:themeFill="accent5" w:themeFillTint="33"/>
            <w:vAlign w:val="bottom"/>
          </w:tcPr>
          <w:p w14:paraId="59CF2B03" w14:textId="77777777" w:rsidR="007E37A8" w:rsidRPr="00162662" w:rsidRDefault="007E37A8" w:rsidP="00895815">
            <w:pPr>
              <w:rPr>
                <w:rFonts w:ascii="Arial" w:hAnsi="Arial" w:cs="Arial"/>
                <w:sz w:val="18"/>
                <w:szCs w:val="18"/>
              </w:rPr>
            </w:pPr>
            <w:r w:rsidRPr="00162662">
              <w:rPr>
                <w:rFonts w:ascii="Arial" w:hAnsi="Arial" w:cs="Arial"/>
                <w:sz w:val="18"/>
                <w:szCs w:val="18"/>
              </w:rPr>
              <w:t>c.530C&gt;T, p.(Pro177Leu)</w:t>
            </w:r>
          </w:p>
        </w:tc>
        <w:tc>
          <w:tcPr>
            <w:tcW w:w="1603" w:type="dxa"/>
            <w:tcBorders>
              <w:top w:val="nil"/>
              <w:bottom w:val="nil"/>
              <w:right w:val="nil"/>
            </w:tcBorders>
            <w:shd w:val="clear" w:color="auto" w:fill="DEEAF6" w:themeFill="accent5" w:themeFillTint="33"/>
            <w:vAlign w:val="bottom"/>
          </w:tcPr>
          <w:p w14:paraId="7BB1FB36" w14:textId="77777777" w:rsidR="007E37A8" w:rsidRPr="006A4F62" w:rsidRDefault="007E37A8" w:rsidP="00895815">
            <w:pPr>
              <w:rPr>
                <w:rFonts w:ascii="Arial" w:hAnsi="Arial" w:cs="Arial"/>
                <w:color w:val="000000"/>
                <w:sz w:val="18"/>
                <w:szCs w:val="18"/>
              </w:rPr>
            </w:pPr>
            <w:r w:rsidRPr="00A6679D">
              <w:rPr>
                <w:rFonts w:ascii="Arial" w:hAnsi="Arial" w:cs="Arial"/>
                <w:sz w:val="18"/>
                <w:szCs w:val="18"/>
              </w:rPr>
              <w:t>TP53</w:t>
            </w:r>
          </w:p>
        </w:tc>
        <w:tc>
          <w:tcPr>
            <w:tcW w:w="3358" w:type="dxa"/>
            <w:tcBorders>
              <w:top w:val="nil"/>
              <w:left w:val="nil"/>
              <w:bottom w:val="nil"/>
            </w:tcBorders>
            <w:shd w:val="clear" w:color="auto" w:fill="DEEAF6" w:themeFill="accent5" w:themeFillTint="33"/>
            <w:vAlign w:val="bottom"/>
          </w:tcPr>
          <w:p w14:paraId="75FF40BF" w14:textId="77777777" w:rsidR="007E37A8" w:rsidRPr="006A4F62" w:rsidRDefault="007E37A8" w:rsidP="00895815">
            <w:pPr>
              <w:rPr>
                <w:rFonts w:ascii="Arial" w:hAnsi="Arial" w:cs="Arial"/>
                <w:color w:val="000000"/>
                <w:sz w:val="18"/>
                <w:szCs w:val="18"/>
              </w:rPr>
            </w:pPr>
            <w:r w:rsidRPr="00A6679D">
              <w:rPr>
                <w:rFonts w:ascii="Arial" w:hAnsi="Arial" w:cs="Arial"/>
                <w:sz w:val="18"/>
                <w:szCs w:val="18"/>
              </w:rPr>
              <w:t>c.530C&gt;T, p.(Pro177Leu)</w:t>
            </w:r>
          </w:p>
        </w:tc>
        <w:tc>
          <w:tcPr>
            <w:tcW w:w="1461" w:type="dxa"/>
            <w:tcBorders>
              <w:top w:val="nil"/>
              <w:left w:val="nil"/>
              <w:bottom w:val="nil"/>
              <w:right w:val="single" w:sz="4" w:space="0" w:color="auto"/>
            </w:tcBorders>
            <w:shd w:val="clear" w:color="auto" w:fill="DEEAF6" w:themeFill="accent5" w:themeFillTint="33"/>
          </w:tcPr>
          <w:p w14:paraId="5C63E26F" w14:textId="77777777" w:rsidR="007E37A8" w:rsidRPr="002E027B" w:rsidRDefault="007E37A8" w:rsidP="00895815">
            <w:pPr>
              <w:jc w:val="center"/>
              <w:rPr>
                <w:rFonts w:ascii="Arial" w:hAnsi="Arial" w:cs="Arial"/>
                <w:sz w:val="18"/>
                <w:szCs w:val="18"/>
              </w:rPr>
            </w:pPr>
          </w:p>
        </w:tc>
        <w:tc>
          <w:tcPr>
            <w:tcW w:w="1275" w:type="dxa"/>
            <w:tcBorders>
              <w:top w:val="nil"/>
              <w:left w:val="single" w:sz="4" w:space="0" w:color="auto"/>
              <w:bottom w:val="nil"/>
              <w:right w:val="single" w:sz="4" w:space="0" w:color="auto"/>
            </w:tcBorders>
            <w:shd w:val="clear" w:color="auto" w:fill="DEEAF6" w:themeFill="accent5" w:themeFillTint="33"/>
          </w:tcPr>
          <w:p w14:paraId="7EF2B0AF"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tcBorders>
            <w:shd w:val="clear" w:color="auto" w:fill="DEEAF6" w:themeFill="accent5" w:themeFillTint="33"/>
            <w:vAlign w:val="center"/>
          </w:tcPr>
          <w:p w14:paraId="3F712D26" w14:textId="77777777" w:rsidR="007E37A8" w:rsidRPr="002E027B" w:rsidRDefault="007E37A8" w:rsidP="00895815">
            <w:pPr>
              <w:rPr>
                <w:rFonts w:ascii="Arial" w:hAnsi="Arial" w:cs="Arial"/>
                <w:sz w:val="18"/>
                <w:szCs w:val="18"/>
              </w:rPr>
            </w:pPr>
          </w:p>
        </w:tc>
      </w:tr>
      <w:tr w:rsidR="007E37A8" w14:paraId="3FE3F7BC" w14:textId="77777777" w:rsidTr="00895815">
        <w:trPr>
          <w:jc w:val="center"/>
        </w:trPr>
        <w:tc>
          <w:tcPr>
            <w:tcW w:w="1111" w:type="dxa"/>
            <w:vMerge/>
            <w:tcBorders>
              <w:top w:val="single" w:sz="6" w:space="0" w:color="auto"/>
              <w:bottom w:val="single" w:sz="6" w:space="0" w:color="auto"/>
            </w:tcBorders>
            <w:shd w:val="clear" w:color="auto" w:fill="DEEAF6" w:themeFill="accent5" w:themeFillTint="33"/>
            <w:vAlign w:val="center"/>
          </w:tcPr>
          <w:p w14:paraId="225FE234"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nil"/>
              <w:right w:val="nil"/>
            </w:tcBorders>
            <w:shd w:val="clear" w:color="auto" w:fill="DEEAF6" w:themeFill="accent5" w:themeFillTint="33"/>
            <w:vAlign w:val="bottom"/>
          </w:tcPr>
          <w:p w14:paraId="53759D9C" w14:textId="77777777" w:rsidR="007E37A8" w:rsidRPr="00162662" w:rsidRDefault="007E37A8" w:rsidP="00895815">
            <w:pPr>
              <w:rPr>
                <w:rFonts w:ascii="Arial" w:hAnsi="Arial" w:cs="Arial"/>
                <w:sz w:val="18"/>
                <w:szCs w:val="18"/>
              </w:rPr>
            </w:pPr>
            <w:r w:rsidRPr="00162662">
              <w:rPr>
                <w:rFonts w:ascii="Arial" w:hAnsi="Arial" w:cs="Arial"/>
                <w:sz w:val="18"/>
                <w:szCs w:val="18"/>
              </w:rPr>
              <w:t>TP53</w:t>
            </w:r>
          </w:p>
        </w:tc>
        <w:tc>
          <w:tcPr>
            <w:tcW w:w="3217" w:type="dxa"/>
            <w:tcBorders>
              <w:top w:val="nil"/>
              <w:left w:val="nil"/>
              <w:bottom w:val="nil"/>
            </w:tcBorders>
            <w:shd w:val="clear" w:color="auto" w:fill="DEEAF6" w:themeFill="accent5" w:themeFillTint="33"/>
            <w:vAlign w:val="bottom"/>
          </w:tcPr>
          <w:p w14:paraId="622C56C4" w14:textId="77777777" w:rsidR="007E37A8" w:rsidRPr="00162662" w:rsidRDefault="007E37A8" w:rsidP="00895815">
            <w:pPr>
              <w:rPr>
                <w:rFonts w:ascii="Arial" w:hAnsi="Arial" w:cs="Arial"/>
                <w:sz w:val="18"/>
                <w:szCs w:val="18"/>
              </w:rPr>
            </w:pPr>
            <w:r w:rsidRPr="00162662">
              <w:rPr>
                <w:rFonts w:ascii="Arial" w:hAnsi="Arial" w:cs="Arial"/>
                <w:sz w:val="18"/>
                <w:szCs w:val="18"/>
              </w:rPr>
              <w:t>c.524G&gt;A, p.(Arg175His)</w:t>
            </w:r>
          </w:p>
        </w:tc>
        <w:tc>
          <w:tcPr>
            <w:tcW w:w="1603" w:type="dxa"/>
            <w:tcBorders>
              <w:top w:val="nil"/>
              <w:bottom w:val="nil"/>
              <w:right w:val="nil"/>
            </w:tcBorders>
            <w:shd w:val="clear" w:color="auto" w:fill="DEEAF6" w:themeFill="accent5" w:themeFillTint="33"/>
            <w:vAlign w:val="bottom"/>
          </w:tcPr>
          <w:p w14:paraId="5A098906" w14:textId="77777777" w:rsidR="007E37A8" w:rsidRPr="006A4F62" w:rsidRDefault="007E37A8" w:rsidP="00895815">
            <w:pPr>
              <w:rPr>
                <w:rFonts w:ascii="Arial" w:hAnsi="Arial" w:cs="Arial"/>
                <w:color w:val="000000"/>
                <w:sz w:val="18"/>
                <w:szCs w:val="18"/>
              </w:rPr>
            </w:pPr>
          </w:p>
        </w:tc>
        <w:tc>
          <w:tcPr>
            <w:tcW w:w="3358" w:type="dxa"/>
            <w:tcBorders>
              <w:top w:val="nil"/>
              <w:left w:val="nil"/>
              <w:bottom w:val="nil"/>
            </w:tcBorders>
            <w:shd w:val="clear" w:color="auto" w:fill="DEEAF6" w:themeFill="accent5" w:themeFillTint="33"/>
            <w:vAlign w:val="bottom"/>
          </w:tcPr>
          <w:p w14:paraId="3ADA93A1" w14:textId="77777777" w:rsidR="007E37A8" w:rsidRPr="006A4F62" w:rsidRDefault="007E37A8" w:rsidP="00895815">
            <w:pPr>
              <w:rPr>
                <w:rFonts w:ascii="Arial" w:hAnsi="Arial" w:cs="Arial"/>
                <w:color w:val="000000"/>
                <w:sz w:val="18"/>
                <w:szCs w:val="18"/>
              </w:rPr>
            </w:pPr>
          </w:p>
        </w:tc>
        <w:tc>
          <w:tcPr>
            <w:tcW w:w="1461" w:type="dxa"/>
            <w:tcBorders>
              <w:top w:val="nil"/>
              <w:left w:val="nil"/>
              <w:bottom w:val="nil"/>
              <w:right w:val="single" w:sz="4" w:space="0" w:color="auto"/>
            </w:tcBorders>
            <w:shd w:val="clear" w:color="auto" w:fill="DEEAF6" w:themeFill="accent5" w:themeFillTint="33"/>
          </w:tcPr>
          <w:p w14:paraId="6E5E6944" w14:textId="77777777" w:rsidR="007E37A8" w:rsidRPr="002E027B" w:rsidRDefault="007E37A8" w:rsidP="00895815">
            <w:pPr>
              <w:jc w:val="center"/>
              <w:rPr>
                <w:rFonts w:ascii="Arial" w:hAnsi="Arial" w:cs="Arial"/>
                <w:sz w:val="18"/>
                <w:szCs w:val="18"/>
              </w:rPr>
            </w:pPr>
          </w:p>
        </w:tc>
        <w:tc>
          <w:tcPr>
            <w:tcW w:w="1275" w:type="dxa"/>
            <w:tcBorders>
              <w:top w:val="nil"/>
              <w:left w:val="single" w:sz="4" w:space="0" w:color="auto"/>
              <w:bottom w:val="nil"/>
              <w:right w:val="single" w:sz="4" w:space="0" w:color="auto"/>
            </w:tcBorders>
            <w:shd w:val="clear" w:color="auto" w:fill="DEEAF6" w:themeFill="accent5" w:themeFillTint="33"/>
          </w:tcPr>
          <w:p w14:paraId="36F9577B"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tcBorders>
            <w:shd w:val="clear" w:color="auto" w:fill="DEEAF6" w:themeFill="accent5" w:themeFillTint="33"/>
            <w:vAlign w:val="center"/>
          </w:tcPr>
          <w:p w14:paraId="169DD43D" w14:textId="77777777" w:rsidR="007E37A8" w:rsidRPr="002E027B" w:rsidRDefault="007E37A8" w:rsidP="00895815">
            <w:pPr>
              <w:rPr>
                <w:rFonts w:ascii="Arial" w:hAnsi="Arial" w:cs="Arial"/>
                <w:sz w:val="18"/>
                <w:szCs w:val="18"/>
              </w:rPr>
            </w:pPr>
          </w:p>
        </w:tc>
      </w:tr>
      <w:tr w:rsidR="007E37A8" w14:paraId="2702E18C" w14:textId="77777777" w:rsidTr="00895815">
        <w:trPr>
          <w:jc w:val="center"/>
        </w:trPr>
        <w:tc>
          <w:tcPr>
            <w:tcW w:w="1111" w:type="dxa"/>
            <w:vMerge/>
            <w:tcBorders>
              <w:top w:val="single" w:sz="6" w:space="0" w:color="auto"/>
              <w:bottom w:val="single" w:sz="6" w:space="0" w:color="auto"/>
            </w:tcBorders>
            <w:shd w:val="clear" w:color="auto" w:fill="DEEAF6" w:themeFill="accent5" w:themeFillTint="33"/>
            <w:vAlign w:val="center"/>
          </w:tcPr>
          <w:p w14:paraId="27A3BD64"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single" w:sz="4" w:space="0" w:color="auto"/>
              <w:right w:val="nil"/>
            </w:tcBorders>
            <w:shd w:val="clear" w:color="auto" w:fill="DEEAF6" w:themeFill="accent5" w:themeFillTint="33"/>
            <w:vAlign w:val="bottom"/>
          </w:tcPr>
          <w:p w14:paraId="4FA573DA" w14:textId="77777777" w:rsidR="007E37A8" w:rsidRPr="00162662" w:rsidRDefault="007E37A8" w:rsidP="00895815">
            <w:pPr>
              <w:rPr>
                <w:rFonts w:ascii="Arial" w:hAnsi="Arial" w:cs="Arial"/>
                <w:sz w:val="18"/>
                <w:szCs w:val="18"/>
              </w:rPr>
            </w:pPr>
          </w:p>
        </w:tc>
        <w:tc>
          <w:tcPr>
            <w:tcW w:w="3217" w:type="dxa"/>
            <w:tcBorders>
              <w:top w:val="nil"/>
              <w:left w:val="nil"/>
              <w:bottom w:val="single" w:sz="4" w:space="0" w:color="auto"/>
            </w:tcBorders>
            <w:shd w:val="clear" w:color="auto" w:fill="DEEAF6" w:themeFill="accent5" w:themeFillTint="33"/>
            <w:vAlign w:val="bottom"/>
          </w:tcPr>
          <w:p w14:paraId="195A59D3" w14:textId="77777777" w:rsidR="007E37A8" w:rsidRPr="00162662" w:rsidRDefault="007E37A8" w:rsidP="00895815">
            <w:pPr>
              <w:rPr>
                <w:rFonts w:ascii="Arial" w:hAnsi="Arial" w:cs="Arial"/>
                <w:sz w:val="18"/>
                <w:szCs w:val="18"/>
              </w:rPr>
            </w:pPr>
          </w:p>
        </w:tc>
        <w:tc>
          <w:tcPr>
            <w:tcW w:w="1603" w:type="dxa"/>
            <w:tcBorders>
              <w:top w:val="nil"/>
              <w:bottom w:val="single" w:sz="4" w:space="0" w:color="auto"/>
              <w:right w:val="nil"/>
            </w:tcBorders>
            <w:shd w:val="clear" w:color="auto" w:fill="DEEAF6" w:themeFill="accent5" w:themeFillTint="33"/>
            <w:vAlign w:val="bottom"/>
          </w:tcPr>
          <w:p w14:paraId="3A34AF25" w14:textId="77777777" w:rsidR="007E37A8" w:rsidRPr="006A4F62" w:rsidRDefault="007E37A8" w:rsidP="00895815">
            <w:pPr>
              <w:rPr>
                <w:rFonts w:ascii="Arial" w:hAnsi="Arial" w:cs="Arial"/>
                <w:sz w:val="18"/>
                <w:szCs w:val="18"/>
              </w:rPr>
            </w:pPr>
            <w:r w:rsidRPr="002B05C8">
              <w:rPr>
                <w:rFonts w:ascii="Arial" w:hAnsi="Arial" w:cs="Arial"/>
                <w:b/>
                <w:color w:val="C45911" w:themeColor="accent2" w:themeShade="BF"/>
                <w:sz w:val="18"/>
                <w:szCs w:val="18"/>
              </w:rPr>
              <w:t>BCL2</w:t>
            </w:r>
          </w:p>
        </w:tc>
        <w:tc>
          <w:tcPr>
            <w:tcW w:w="3358" w:type="dxa"/>
            <w:tcBorders>
              <w:top w:val="nil"/>
              <w:left w:val="nil"/>
              <w:bottom w:val="single" w:sz="4" w:space="0" w:color="auto"/>
            </w:tcBorders>
            <w:shd w:val="clear" w:color="auto" w:fill="DEEAF6" w:themeFill="accent5" w:themeFillTint="33"/>
            <w:vAlign w:val="bottom"/>
          </w:tcPr>
          <w:p w14:paraId="123000D3" w14:textId="77777777" w:rsidR="007E37A8" w:rsidRPr="006A4F62" w:rsidRDefault="007E37A8" w:rsidP="00895815">
            <w:pPr>
              <w:rPr>
                <w:rFonts w:ascii="Arial" w:hAnsi="Arial" w:cs="Arial"/>
                <w:sz w:val="18"/>
                <w:szCs w:val="18"/>
              </w:rPr>
            </w:pPr>
            <w:r w:rsidRPr="002B05C8">
              <w:rPr>
                <w:rFonts w:ascii="Arial" w:hAnsi="Arial" w:cs="Arial"/>
                <w:b/>
                <w:color w:val="C45911" w:themeColor="accent2" w:themeShade="BF"/>
                <w:sz w:val="18"/>
                <w:szCs w:val="18"/>
              </w:rPr>
              <w:t>c.302G&gt;T, p.(Gly101Val)</w:t>
            </w:r>
            <w:r w:rsidRPr="001375B0">
              <w:rPr>
                <w:rFonts w:ascii="Arial" w:hAnsi="Arial" w:cs="Arial"/>
                <w:color w:val="C45911" w:themeColor="accent2" w:themeShade="BF"/>
                <w:sz w:val="18"/>
                <w:szCs w:val="18"/>
                <w:vertAlign w:val="superscript"/>
              </w:rPr>
              <w:t xml:space="preserve"> c</w:t>
            </w:r>
          </w:p>
        </w:tc>
        <w:tc>
          <w:tcPr>
            <w:tcW w:w="1461" w:type="dxa"/>
            <w:tcBorders>
              <w:top w:val="nil"/>
              <w:left w:val="nil"/>
              <w:bottom w:val="single" w:sz="4" w:space="0" w:color="auto"/>
              <w:right w:val="single" w:sz="4" w:space="0" w:color="auto"/>
            </w:tcBorders>
            <w:shd w:val="clear" w:color="auto" w:fill="DEEAF6" w:themeFill="accent5" w:themeFillTint="33"/>
          </w:tcPr>
          <w:p w14:paraId="569C6515" w14:textId="22696C4B" w:rsidR="007E37A8" w:rsidRPr="002E027B" w:rsidRDefault="007E37A8" w:rsidP="00895815">
            <w:pPr>
              <w:jc w:val="center"/>
              <w:rPr>
                <w:rFonts w:ascii="Arial" w:hAnsi="Arial" w:cs="Arial"/>
                <w:sz w:val="18"/>
                <w:szCs w:val="18"/>
              </w:rPr>
            </w:pPr>
            <w:r w:rsidRPr="002B05C8">
              <w:rPr>
                <w:rFonts w:ascii="Arial" w:hAnsi="Arial" w:cs="Arial"/>
                <w:b/>
                <w:color w:val="C45911" w:themeColor="accent2" w:themeShade="BF"/>
                <w:sz w:val="18"/>
                <w:szCs w:val="18"/>
              </w:rPr>
              <w:t>0.</w:t>
            </w:r>
            <w:r w:rsidR="00935602">
              <w:rPr>
                <w:rFonts w:ascii="Arial" w:hAnsi="Arial" w:cs="Arial"/>
                <w:b/>
                <w:color w:val="C45911" w:themeColor="accent2" w:themeShade="BF"/>
                <w:sz w:val="18"/>
                <w:szCs w:val="18"/>
              </w:rPr>
              <w:t>53</w:t>
            </w:r>
            <w:r w:rsidRPr="002B05C8">
              <w:rPr>
                <w:rFonts w:ascii="Arial" w:hAnsi="Arial" w:cs="Arial"/>
                <w:b/>
                <w:color w:val="C45911" w:themeColor="accent2" w:themeShade="BF"/>
                <w:sz w:val="18"/>
                <w:szCs w:val="18"/>
              </w:rPr>
              <w:t>%</w:t>
            </w:r>
          </w:p>
        </w:tc>
        <w:tc>
          <w:tcPr>
            <w:tcW w:w="1275" w:type="dxa"/>
            <w:tcBorders>
              <w:top w:val="nil"/>
              <w:left w:val="single" w:sz="4" w:space="0" w:color="auto"/>
              <w:bottom w:val="single" w:sz="4" w:space="0" w:color="auto"/>
              <w:right w:val="single" w:sz="4" w:space="0" w:color="auto"/>
            </w:tcBorders>
            <w:shd w:val="clear" w:color="auto" w:fill="DEEAF6" w:themeFill="accent5" w:themeFillTint="33"/>
          </w:tcPr>
          <w:p w14:paraId="48DECCF1" w14:textId="5137FBE2" w:rsidR="007E37A8" w:rsidRPr="002E027B" w:rsidRDefault="002443D5" w:rsidP="00895815">
            <w:pPr>
              <w:jc w:val="center"/>
              <w:rPr>
                <w:rFonts w:ascii="Arial" w:hAnsi="Arial" w:cs="Arial"/>
                <w:sz w:val="18"/>
                <w:szCs w:val="18"/>
              </w:rPr>
            </w:pPr>
            <w:r>
              <w:rPr>
                <w:rFonts w:ascii="Arial" w:hAnsi="Arial" w:cs="Arial"/>
                <w:b/>
                <w:color w:val="C45911" w:themeColor="accent2" w:themeShade="BF"/>
                <w:sz w:val="18"/>
                <w:szCs w:val="18"/>
              </w:rPr>
              <w:t>1.</w:t>
            </w:r>
            <w:r w:rsidR="00935602">
              <w:rPr>
                <w:rFonts w:ascii="Arial" w:hAnsi="Arial" w:cs="Arial"/>
                <w:b/>
                <w:color w:val="C45911" w:themeColor="accent2" w:themeShade="BF"/>
                <w:sz w:val="18"/>
                <w:szCs w:val="18"/>
              </w:rPr>
              <w:t>4</w:t>
            </w:r>
            <w:r w:rsidR="007E37A8" w:rsidRPr="00254E66">
              <w:rPr>
                <w:rFonts w:ascii="Arial" w:hAnsi="Arial" w:cs="Arial"/>
                <w:b/>
                <w:color w:val="C45911" w:themeColor="accent2" w:themeShade="BF"/>
                <w:sz w:val="18"/>
                <w:szCs w:val="18"/>
              </w:rPr>
              <w:t>%</w:t>
            </w:r>
            <w:r w:rsidRPr="00D54F06">
              <w:rPr>
                <w:rFonts w:ascii="Arial" w:hAnsi="Arial" w:cs="Arial"/>
                <w:color w:val="C45911" w:themeColor="accent2" w:themeShade="BF"/>
                <w:sz w:val="18"/>
                <w:szCs w:val="18"/>
                <w:vertAlign w:val="superscript"/>
              </w:rPr>
              <w:t xml:space="preserve"> </w:t>
            </w:r>
            <w:r w:rsidRPr="00A00E0B">
              <w:rPr>
                <w:rFonts w:ascii="Arial" w:hAnsi="Arial" w:cs="Arial"/>
                <w:strike/>
                <w:color w:val="C45911" w:themeColor="accent2" w:themeShade="BF"/>
                <w:sz w:val="18"/>
                <w:szCs w:val="18"/>
                <w:vertAlign w:val="superscript"/>
              </w:rPr>
              <w:t>e</w:t>
            </w:r>
          </w:p>
        </w:tc>
        <w:tc>
          <w:tcPr>
            <w:tcW w:w="1275" w:type="dxa"/>
            <w:vMerge/>
            <w:tcBorders>
              <w:left w:val="single" w:sz="4" w:space="0" w:color="auto"/>
              <w:bottom w:val="single" w:sz="4" w:space="0" w:color="auto"/>
            </w:tcBorders>
            <w:shd w:val="clear" w:color="auto" w:fill="DEEAF6" w:themeFill="accent5" w:themeFillTint="33"/>
            <w:vAlign w:val="center"/>
          </w:tcPr>
          <w:p w14:paraId="26690C20" w14:textId="77777777" w:rsidR="007E37A8" w:rsidRPr="002E027B" w:rsidRDefault="007E37A8" w:rsidP="00895815">
            <w:pPr>
              <w:rPr>
                <w:rFonts w:ascii="Arial" w:hAnsi="Arial" w:cs="Arial"/>
                <w:sz w:val="18"/>
                <w:szCs w:val="18"/>
              </w:rPr>
            </w:pPr>
          </w:p>
        </w:tc>
      </w:tr>
      <w:tr w:rsidR="007E37A8" w14:paraId="6E55DB25" w14:textId="77777777" w:rsidTr="00895815">
        <w:trPr>
          <w:jc w:val="center"/>
        </w:trPr>
        <w:tc>
          <w:tcPr>
            <w:tcW w:w="1111" w:type="dxa"/>
            <w:tcBorders>
              <w:top w:val="single" w:sz="6" w:space="0" w:color="auto"/>
              <w:bottom w:val="single" w:sz="6" w:space="0" w:color="auto"/>
            </w:tcBorders>
            <w:shd w:val="clear" w:color="auto" w:fill="F2F2F2" w:themeFill="background1" w:themeFillShade="F2"/>
            <w:vAlign w:val="center"/>
          </w:tcPr>
          <w:p w14:paraId="34937AFF"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t>CLL9</w:t>
            </w:r>
          </w:p>
        </w:tc>
        <w:tc>
          <w:tcPr>
            <w:tcW w:w="1319" w:type="dxa"/>
            <w:tcBorders>
              <w:bottom w:val="single" w:sz="4" w:space="0" w:color="auto"/>
              <w:right w:val="nil"/>
            </w:tcBorders>
            <w:vAlign w:val="bottom"/>
          </w:tcPr>
          <w:p w14:paraId="18E258E3" w14:textId="77777777" w:rsidR="007E37A8" w:rsidRPr="00162662" w:rsidRDefault="007E37A8" w:rsidP="00895815">
            <w:pPr>
              <w:rPr>
                <w:rFonts w:ascii="Arial" w:hAnsi="Arial" w:cs="Arial"/>
                <w:sz w:val="18"/>
                <w:szCs w:val="18"/>
              </w:rPr>
            </w:pPr>
            <w:r>
              <w:rPr>
                <w:rFonts w:ascii="Arial" w:hAnsi="Arial" w:cs="Arial"/>
                <w:sz w:val="18"/>
                <w:szCs w:val="18"/>
              </w:rPr>
              <w:t>Nil</w:t>
            </w:r>
          </w:p>
        </w:tc>
        <w:tc>
          <w:tcPr>
            <w:tcW w:w="3217" w:type="dxa"/>
            <w:tcBorders>
              <w:left w:val="nil"/>
              <w:bottom w:val="single" w:sz="4" w:space="0" w:color="auto"/>
            </w:tcBorders>
            <w:vAlign w:val="bottom"/>
          </w:tcPr>
          <w:p w14:paraId="3E78C48C" w14:textId="77777777" w:rsidR="007E37A8" w:rsidRPr="00162662" w:rsidRDefault="007E37A8" w:rsidP="00895815">
            <w:pPr>
              <w:rPr>
                <w:rFonts w:ascii="Arial" w:hAnsi="Arial" w:cs="Arial"/>
                <w:sz w:val="18"/>
                <w:szCs w:val="18"/>
              </w:rPr>
            </w:pPr>
          </w:p>
        </w:tc>
        <w:tc>
          <w:tcPr>
            <w:tcW w:w="1603" w:type="dxa"/>
            <w:tcBorders>
              <w:bottom w:val="single" w:sz="4" w:space="0" w:color="auto"/>
              <w:right w:val="nil"/>
            </w:tcBorders>
          </w:tcPr>
          <w:p w14:paraId="3A18FEA9" w14:textId="77777777" w:rsidR="007E37A8" w:rsidRPr="006A4F62" w:rsidRDefault="007E37A8" w:rsidP="00895815">
            <w:pPr>
              <w:rPr>
                <w:rFonts w:ascii="Arial" w:hAnsi="Arial" w:cs="Arial"/>
                <w:sz w:val="18"/>
                <w:szCs w:val="18"/>
              </w:rPr>
            </w:pPr>
            <w:r w:rsidRPr="006A4F62">
              <w:rPr>
                <w:rFonts w:ascii="Arial" w:hAnsi="Arial" w:cs="Arial"/>
                <w:sz w:val="18"/>
                <w:szCs w:val="18"/>
              </w:rPr>
              <w:t>Nil</w:t>
            </w:r>
          </w:p>
        </w:tc>
        <w:tc>
          <w:tcPr>
            <w:tcW w:w="3358" w:type="dxa"/>
            <w:tcBorders>
              <w:left w:val="nil"/>
              <w:bottom w:val="single" w:sz="4" w:space="0" w:color="auto"/>
            </w:tcBorders>
          </w:tcPr>
          <w:p w14:paraId="6BEE5E07" w14:textId="77777777" w:rsidR="007E37A8" w:rsidRPr="006A4F62" w:rsidRDefault="007E37A8" w:rsidP="00895815">
            <w:pPr>
              <w:rPr>
                <w:rFonts w:ascii="Arial" w:hAnsi="Arial" w:cs="Arial"/>
                <w:sz w:val="18"/>
                <w:szCs w:val="18"/>
              </w:rPr>
            </w:pPr>
          </w:p>
        </w:tc>
        <w:tc>
          <w:tcPr>
            <w:tcW w:w="1461" w:type="dxa"/>
            <w:tcBorders>
              <w:left w:val="nil"/>
              <w:bottom w:val="single" w:sz="4" w:space="0" w:color="auto"/>
              <w:right w:val="single" w:sz="4" w:space="0" w:color="auto"/>
            </w:tcBorders>
          </w:tcPr>
          <w:p w14:paraId="329A1B12" w14:textId="77777777" w:rsidR="007E37A8" w:rsidRPr="002E027B" w:rsidRDefault="007E37A8" w:rsidP="00895815">
            <w:pPr>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D0D4400" w14:textId="77777777" w:rsidR="007E37A8" w:rsidRPr="002E027B" w:rsidRDefault="007E37A8" w:rsidP="00895815">
            <w:pPr>
              <w:jc w:val="center"/>
              <w:rPr>
                <w:rFonts w:ascii="Arial" w:hAnsi="Arial" w:cs="Arial"/>
                <w:sz w:val="18"/>
                <w:szCs w:val="18"/>
              </w:rPr>
            </w:pPr>
          </w:p>
        </w:tc>
        <w:tc>
          <w:tcPr>
            <w:tcW w:w="1275" w:type="dxa"/>
            <w:tcBorders>
              <w:left w:val="single" w:sz="4" w:space="0" w:color="auto"/>
              <w:bottom w:val="single" w:sz="4" w:space="0" w:color="auto"/>
            </w:tcBorders>
            <w:vAlign w:val="center"/>
          </w:tcPr>
          <w:p w14:paraId="60F69242" w14:textId="77777777" w:rsidR="007E37A8" w:rsidRPr="002E027B" w:rsidRDefault="007E37A8" w:rsidP="00895815">
            <w:pPr>
              <w:rPr>
                <w:rFonts w:ascii="Arial" w:hAnsi="Arial" w:cs="Arial"/>
                <w:sz w:val="18"/>
                <w:szCs w:val="18"/>
              </w:rPr>
            </w:pPr>
            <w:r w:rsidRPr="002E027B">
              <w:rPr>
                <w:rFonts w:ascii="Arial" w:hAnsi="Arial" w:cs="Arial"/>
                <w:sz w:val="18"/>
                <w:szCs w:val="18"/>
              </w:rPr>
              <w:t>Unmutated</w:t>
            </w:r>
          </w:p>
        </w:tc>
      </w:tr>
      <w:tr w:rsidR="007E37A8" w14:paraId="16F8D08A" w14:textId="77777777" w:rsidTr="00895815">
        <w:trPr>
          <w:jc w:val="center"/>
        </w:trPr>
        <w:tc>
          <w:tcPr>
            <w:tcW w:w="1111" w:type="dxa"/>
            <w:vMerge w:val="restart"/>
            <w:tcBorders>
              <w:top w:val="single" w:sz="6" w:space="0" w:color="auto"/>
              <w:bottom w:val="single" w:sz="6" w:space="0" w:color="auto"/>
            </w:tcBorders>
            <w:shd w:val="clear" w:color="auto" w:fill="F2F2F2" w:themeFill="background1" w:themeFillShade="F2"/>
            <w:vAlign w:val="center"/>
          </w:tcPr>
          <w:p w14:paraId="6EC50D3B"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t>CLL10</w:t>
            </w:r>
          </w:p>
        </w:tc>
        <w:tc>
          <w:tcPr>
            <w:tcW w:w="1319" w:type="dxa"/>
            <w:tcBorders>
              <w:bottom w:val="nil"/>
              <w:right w:val="nil"/>
            </w:tcBorders>
            <w:vAlign w:val="bottom"/>
          </w:tcPr>
          <w:p w14:paraId="189974C4" w14:textId="77777777" w:rsidR="007E37A8" w:rsidRPr="00162662" w:rsidRDefault="007E37A8" w:rsidP="00895815">
            <w:pPr>
              <w:rPr>
                <w:rFonts w:ascii="Arial" w:hAnsi="Arial" w:cs="Arial"/>
                <w:sz w:val="18"/>
                <w:szCs w:val="18"/>
              </w:rPr>
            </w:pPr>
            <w:r w:rsidRPr="00162662">
              <w:rPr>
                <w:rFonts w:ascii="Arial" w:hAnsi="Arial" w:cs="Arial"/>
                <w:sz w:val="18"/>
                <w:szCs w:val="18"/>
              </w:rPr>
              <w:t>TP53</w:t>
            </w:r>
          </w:p>
        </w:tc>
        <w:tc>
          <w:tcPr>
            <w:tcW w:w="3217" w:type="dxa"/>
            <w:tcBorders>
              <w:left w:val="nil"/>
              <w:bottom w:val="nil"/>
            </w:tcBorders>
            <w:vAlign w:val="bottom"/>
          </w:tcPr>
          <w:p w14:paraId="52213F12" w14:textId="77777777" w:rsidR="007E37A8" w:rsidRPr="00162662" w:rsidRDefault="007E37A8" w:rsidP="00895815">
            <w:pPr>
              <w:rPr>
                <w:rFonts w:ascii="Arial" w:hAnsi="Arial" w:cs="Arial"/>
                <w:sz w:val="18"/>
                <w:szCs w:val="18"/>
              </w:rPr>
            </w:pPr>
            <w:r w:rsidRPr="00162662">
              <w:rPr>
                <w:rFonts w:ascii="Arial" w:hAnsi="Arial" w:cs="Arial"/>
                <w:sz w:val="18"/>
                <w:szCs w:val="18"/>
              </w:rPr>
              <w:t>c.532dup, p.(His178Profs*3)</w:t>
            </w:r>
          </w:p>
        </w:tc>
        <w:tc>
          <w:tcPr>
            <w:tcW w:w="1603" w:type="dxa"/>
            <w:tcBorders>
              <w:bottom w:val="nil"/>
              <w:right w:val="nil"/>
            </w:tcBorders>
            <w:vAlign w:val="bottom"/>
          </w:tcPr>
          <w:p w14:paraId="607D7466" w14:textId="77777777" w:rsidR="007E37A8" w:rsidRPr="00A6679D" w:rsidRDefault="007E37A8" w:rsidP="00895815">
            <w:pPr>
              <w:rPr>
                <w:rFonts w:ascii="Arial" w:hAnsi="Arial" w:cs="Arial"/>
                <w:sz w:val="18"/>
                <w:szCs w:val="18"/>
              </w:rPr>
            </w:pPr>
            <w:r w:rsidRPr="00A6679D">
              <w:rPr>
                <w:rFonts w:ascii="Arial" w:hAnsi="Arial" w:cs="Arial"/>
                <w:sz w:val="18"/>
                <w:szCs w:val="18"/>
              </w:rPr>
              <w:t>TP53</w:t>
            </w:r>
          </w:p>
        </w:tc>
        <w:tc>
          <w:tcPr>
            <w:tcW w:w="3358" w:type="dxa"/>
            <w:tcBorders>
              <w:left w:val="nil"/>
              <w:bottom w:val="nil"/>
            </w:tcBorders>
            <w:vAlign w:val="bottom"/>
          </w:tcPr>
          <w:p w14:paraId="47E7453F" w14:textId="77777777" w:rsidR="007E37A8" w:rsidRPr="00A6679D" w:rsidRDefault="007E37A8" w:rsidP="00895815">
            <w:pPr>
              <w:rPr>
                <w:rFonts w:ascii="Arial" w:hAnsi="Arial" w:cs="Arial"/>
                <w:sz w:val="18"/>
                <w:szCs w:val="18"/>
              </w:rPr>
            </w:pPr>
            <w:r w:rsidRPr="00A6679D">
              <w:rPr>
                <w:rFonts w:ascii="Arial" w:hAnsi="Arial" w:cs="Arial"/>
                <w:sz w:val="18"/>
                <w:szCs w:val="18"/>
              </w:rPr>
              <w:t>c.532dup, p.(His178Profs*3)</w:t>
            </w:r>
          </w:p>
        </w:tc>
        <w:tc>
          <w:tcPr>
            <w:tcW w:w="1461" w:type="dxa"/>
            <w:tcBorders>
              <w:left w:val="nil"/>
              <w:bottom w:val="nil"/>
              <w:right w:val="single" w:sz="4" w:space="0" w:color="auto"/>
            </w:tcBorders>
          </w:tcPr>
          <w:p w14:paraId="0E5853B6" w14:textId="77777777" w:rsidR="007E37A8" w:rsidRPr="002E027B" w:rsidRDefault="007E37A8" w:rsidP="00895815">
            <w:pPr>
              <w:jc w:val="center"/>
              <w:rPr>
                <w:rFonts w:ascii="Arial" w:hAnsi="Arial" w:cs="Arial"/>
                <w:sz w:val="18"/>
                <w:szCs w:val="18"/>
              </w:rPr>
            </w:pPr>
          </w:p>
        </w:tc>
        <w:tc>
          <w:tcPr>
            <w:tcW w:w="1275" w:type="dxa"/>
            <w:tcBorders>
              <w:left w:val="single" w:sz="4" w:space="0" w:color="auto"/>
              <w:bottom w:val="single" w:sz="4" w:space="0" w:color="FFFFFF"/>
              <w:right w:val="single" w:sz="4" w:space="0" w:color="auto"/>
            </w:tcBorders>
          </w:tcPr>
          <w:p w14:paraId="6D902E14" w14:textId="77777777" w:rsidR="007E37A8" w:rsidRPr="002E027B" w:rsidRDefault="007E37A8" w:rsidP="00895815">
            <w:pPr>
              <w:jc w:val="center"/>
              <w:rPr>
                <w:rFonts w:ascii="Arial" w:hAnsi="Arial" w:cs="Arial"/>
                <w:sz w:val="18"/>
                <w:szCs w:val="18"/>
              </w:rPr>
            </w:pPr>
          </w:p>
        </w:tc>
        <w:tc>
          <w:tcPr>
            <w:tcW w:w="1275" w:type="dxa"/>
            <w:vMerge w:val="restart"/>
            <w:tcBorders>
              <w:left w:val="single" w:sz="4" w:space="0" w:color="auto"/>
            </w:tcBorders>
            <w:vAlign w:val="center"/>
          </w:tcPr>
          <w:p w14:paraId="4F44A19C" w14:textId="77777777" w:rsidR="007E37A8" w:rsidRPr="002E027B" w:rsidRDefault="007E37A8" w:rsidP="00895815">
            <w:pPr>
              <w:rPr>
                <w:rFonts w:ascii="Arial" w:hAnsi="Arial" w:cs="Arial"/>
                <w:sz w:val="18"/>
                <w:szCs w:val="18"/>
              </w:rPr>
            </w:pPr>
            <w:r w:rsidRPr="002E027B">
              <w:rPr>
                <w:rFonts w:ascii="Arial" w:hAnsi="Arial" w:cs="Arial"/>
                <w:sz w:val="18"/>
                <w:szCs w:val="18"/>
              </w:rPr>
              <w:t>Mutated</w:t>
            </w:r>
          </w:p>
        </w:tc>
      </w:tr>
      <w:tr w:rsidR="007E37A8" w14:paraId="0B2B7E6E" w14:textId="77777777" w:rsidTr="008B5D70">
        <w:trPr>
          <w:jc w:val="center"/>
        </w:trPr>
        <w:tc>
          <w:tcPr>
            <w:tcW w:w="1111" w:type="dxa"/>
            <w:vMerge/>
            <w:tcBorders>
              <w:top w:val="single" w:sz="6" w:space="0" w:color="auto"/>
              <w:bottom w:val="single" w:sz="6" w:space="0" w:color="auto"/>
            </w:tcBorders>
            <w:shd w:val="clear" w:color="auto" w:fill="F2F2F2" w:themeFill="background1" w:themeFillShade="F2"/>
            <w:vAlign w:val="center"/>
          </w:tcPr>
          <w:p w14:paraId="62650311"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single" w:sz="4" w:space="0" w:color="auto"/>
              <w:right w:val="nil"/>
            </w:tcBorders>
            <w:vAlign w:val="bottom"/>
          </w:tcPr>
          <w:p w14:paraId="58338136" w14:textId="77777777" w:rsidR="007E37A8" w:rsidRPr="00162662" w:rsidRDefault="007E37A8" w:rsidP="00895815">
            <w:pPr>
              <w:rPr>
                <w:rFonts w:ascii="Arial" w:hAnsi="Arial" w:cs="Arial"/>
                <w:sz w:val="18"/>
                <w:szCs w:val="18"/>
              </w:rPr>
            </w:pPr>
            <w:r w:rsidRPr="00162662">
              <w:rPr>
                <w:rFonts w:ascii="Arial" w:hAnsi="Arial" w:cs="Arial"/>
                <w:sz w:val="18"/>
                <w:szCs w:val="18"/>
              </w:rPr>
              <w:t>SF3B1</w:t>
            </w:r>
          </w:p>
        </w:tc>
        <w:tc>
          <w:tcPr>
            <w:tcW w:w="3217" w:type="dxa"/>
            <w:tcBorders>
              <w:top w:val="nil"/>
              <w:left w:val="nil"/>
              <w:bottom w:val="single" w:sz="4" w:space="0" w:color="auto"/>
            </w:tcBorders>
            <w:vAlign w:val="bottom"/>
          </w:tcPr>
          <w:p w14:paraId="4AF0CCE2" w14:textId="77777777" w:rsidR="007E37A8" w:rsidRPr="00162662" w:rsidRDefault="007E37A8" w:rsidP="00895815">
            <w:pPr>
              <w:rPr>
                <w:rFonts w:ascii="Arial" w:hAnsi="Arial" w:cs="Arial"/>
                <w:sz w:val="18"/>
                <w:szCs w:val="18"/>
              </w:rPr>
            </w:pPr>
            <w:r w:rsidRPr="00162662">
              <w:rPr>
                <w:rFonts w:ascii="Arial" w:hAnsi="Arial" w:cs="Arial"/>
                <w:sz w:val="18"/>
                <w:szCs w:val="18"/>
              </w:rPr>
              <w:t>c.2098A&gt;G, p.(Lys700Glu)</w:t>
            </w:r>
          </w:p>
        </w:tc>
        <w:tc>
          <w:tcPr>
            <w:tcW w:w="1603" w:type="dxa"/>
            <w:tcBorders>
              <w:top w:val="nil"/>
              <w:bottom w:val="single" w:sz="4" w:space="0" w:color="auto"/>
              <w:right w:val="nil"/>
            </w:tcBorders>
            <w:vAlign w:val="bottom"/>
          </w:tcPr>
          <w:p w14:paraId="12F0D2E5" w14:textId="77777777" w:rsidR="007E37A8" w:rsidRPr="00A6679D" w:rsidRDefault="007E37A8" w:rsidP="00895815">
            <w:pPr>
              <w:rPr>
                <w:rFonts w:ascii="Arial" w:hAnsi="Arial" w:cs="Arial"/>
                <w:sz w:val="18"/>
                <w:szCs w:val="18"/>
              </w:rPr>
            </w:pPr>
            <w:r w:rsidRPr="00A6679D">
              <w:rPr>
                <w:rFonts w:ascii="Arial" w:hAnsi="Arial" w:cs="Arial"/>
                <w:sz w:val="18"/>
                <w:szCs w:val="18"/>
              </w:rPr>
              <w:t>SF3B1</w:t>
            </w:r>
          </w:p>
        </w:tc>
        <w:tc>
          <w:tcPr>
            <w:tcW w:w="3358" w:type="dxa"/>
            <w:tcBorders>
              <w:top w:val="nil"/>
              <w:left w:val="nil"/>
              <w:bottom w:val="single" w:sz="4" w:space="0" w:color="auto"/>
            </w:tcBorders>
            <w:vAlign w:val="bottom"/>
          </w:tcPr>
          <w:p w14:paraId="3BD75809" w14:textId="77777777" w:rsidR="007E37A8" w:rsidRPr="00A6679D" w:rsidRDefault="007E37A8" w:rsidP="00895815">
            <w:pPr>
              <w:rPr>
                <w:rFonts w:ascii="Arial" w:hAnsi="Arial" w:cs="Arial"/>
                <w:sz w:val="18"/>
                <w:szCs w:val="18"/>
              </w:rPr>
            </w:pPr>
            <w:r w:rsidRPr="00A6679D">
              <w:rPr>
                <w:rFonts w:ascii="Arial" w:hAnsi="Arial" w:cs="Arial"/>
                <w:sz w:val="18"/>
                <w:szCs w:val="18"/>
              </w:rPr>
              <w:t>c.2098A&gt;G, p.(Lys700Glu)</w:t>
            </w:r>
          </w:p>
        </w:tc>
        <w:tc>
          <w:tcPr>
            <w:tcW w:w="1461" w:type="dxa"/>
            <w:tcBorders>
              <w:top w:val="nil"/>
              <w:left w:val="nil"/>
              <w:bottom w:val="single" w:sz="4" w:space="0" w:color="auto"/>
              <w:right w:val="single" w:sz="4" w:space="0" w:color="auto"/>
            </w:tcBorders>
          </w:tcPr>
          <w:p w14:paraId="4F5917A0" w14:textId="77777777" w:rsidR="007E37A8" w:rsidRPr="002E027B" w:rsidRDefault="007E37A8" w:rsidP="00895815">
            <w:pPr>
              <w:jc w:val="center"/>
              <w:rPr>
                <w:rFonts w:ascii="Arial" w:hAnsi="Arial" w:cs="Arial"/>
                <w:sz w:val="18"/>
                <w:szCs w:val="18"/>
              </w:rPr>
            </w:pPr>
          </w:p>
        </w:tc>
        <w:tc>
          <w:tcPr>
            <w:tcW w:w="1275" w:type="dxa"/>
            <w:tcBorders>
              <w:top w:val="single" w:sz="4" w:space="0" w:color="FFFFFF"/>
              <w:left w:val="single" w:sz="4" w:space="0" w:color="auto"/>
              <w:bottom w:val="single" w:sz="4" w:space="0" w:color="auto"/>
              <w:right w:val="single" w:sz="4" w:space="0" w:color="auto"/>
            </w:tcBorders>
          </w:tcPr>
          <w:p w14:paraId="27EC4478"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bottom w:val="single" w:sz="4" w:space="0" w:color="auto"/>
            </w:tcBorders>
            <w:vAlign w:val="center"/>
          </w:tcPr>
          <w:p w14:paraId="2E0B864A" w14:textId="77777777" w:rsidR="007E37A8" w:rsidRPr="002E027B" w:rsidRDefault="007E37A8" w:rsidP="00895815">
            <w:pPr>
              <w:rPr>
                <w:rFonts w:ascii="Arial" w:hAnsi="Arial" w:cs="Arial"/>
                <w:sz w:val="18"/>
                <w:szCs w:val="18"/>
              </w:rPr>
            </w:pPr>
          </w:p>
        </w:tc>
      </w:tr>
      <w:tr w:rsidR="007E37A8" w14:paraId="374E6C1B" w14:textId="77777777" w:rsidTr="00895815">
        <w:trPr>
          <w:jc w:val="center"/>
        </w:trPr>
        <w:tc>
          <w:tcPr>
            <w:tcW w:w="1111" w:type="dxa"/>
            <w:tcBorders>
              <w:top w:val="single" w:sz="6" w:space="0" w:color="auto"/>
              <w:bottom w:val="single" w:sz="4" w:space="0" w:color="FFFFFF" w:themeColor="background1"/>
            </w:tcBorders>
            <w:shd w:val="clear" w:color="auto" w:fill="F2F2F2" w:themeFill="background1" w:themeFillShade="F2"/>
            <w:vAlign w:val="center"/>
          </w:tcPr>
          <w:p w14:paraId="1E9E089F"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t>CLL11</w:t>
            </w:r>
          </w:p>
        </w:tc>
        <w:tc>
          <w:tcPr>
            <w:tcW w:w="1319" w:type="dxa"/>
            <w:tcBorders>
              <w:bottom w:val="nil"/>
              <w:right w:val="nil"/>
            </w:tcBorders>
            <w:vAlign w:val="bottom"/>
          </w:tcPr>
          <w:p w14:paraId="2FBD7A41" w14:textId="77777777" w:rsidR="007E37A8" w:rsidRPr="002E2AE3" w:rsidRDefault="007E37A8" w:rsidP="00895815">
            <w:pPr>
              <w:rPr>
                <w:rFonts w:ascii="Arial" w:hAnsi="Arial" w:cs="Arial"/>
                <w:sz w:val="18"/>
                <w:szCs w:val="18"/>
              </w:rPr>
            </w:pPr>
            <w:r w:rsidRPr="002E2AE3">
              <w:rPr>
                <w:rFonts w:ascii="Arial" w:hAnsi="Arial" w:cs="Arial"/>
                <w:sz w:val="18"/>
                <w:szCs w:val="18"/>
              </w:rPr>
              <w:t>TP53</w:t>
            </w:r>
          </w:p>
        </w:tc>
        <w:tc>
          <w:tcPr>
            <w:tcW w:w="3217" w:type="dxa"/>
            <w:tcBorders>
              <w:left w:val="nil"/>
              <w:bottom w:val="nil"/>
              <w:right w:val="single" w:sz="4" w:space="0" w:color="auto"/>
            </w:tcBorders>
            <w:vAlign w:val="bottom"/>
          </w:tcPr>
          <w:p w14:paraId="1307D5D3" w14:textId="77777777" w:rsidR="007E37A8" w:rsidRPr="00952127" w:rsidRDefault="007E37A8" w:rsidP="00895815">
            <w:pPr>
              <w:rPr>
                <w:rFonts w:ascii="Arial" w:hAnsi="Arial" w:cs="Arial"/>
                <w:sz w:val="18"/>
                <w:szCs w:val="18"/>
              </w:rPr>
            </w:pPr>
            <w:r w:rsidRPr="00952127">
              <w:rPr>
                <w:rFonts w:ascii="Arial" w:hAnsi="Arial" w:cs="Arial"/>
                <w:sz w:val="18"/>
                <w:szCs w:val="18"/>
              </w:rPr>
              <w:t>c.808T&gt;C, p.(Phe270Leu)</w:t>
            </w:r>
          </w:p>
        </w:tc>
        <w:tc>
          <w:tcPr>
            <w:tcW w:w="1603" w:type="dxa"/>
            <w:tcBorders>
              <w:top w:val="single" w:sz="4" w:space="0" w:color="auto"/>
              <w:left w:val="single" w:sz="4" w:space="0" w:color="auto"/>
              <w:bottom w:val="nil"/>
              <w:right w:val="nil"/>
            </w:tcBorders>
          </w:tcPr>
          <w:p w14:paraId="2EA2BAB2" w14:textId="77777777" w:rsidR="007E37A8" w:rsidRPr="00162662" w:rsidRDefault="007E37A8" w:rsidP="00895815">
            <w:pPr>
              <w:rPr>
                <w:rFonts w:ascii="Arial" w:hAnsi="Arial" w:cs="Arial"/>
                <w:sz w:val="18"/>
                <w:szCs w:val="18"/>
              </w:rPr>
            </w:pPr>
          </w:p>
        </w:tc>
        <w:tc>
          <w:tcPr>
            <w:tcW w:w="3358" w:type="dxa"/>
            <w:tcBorders>
              <w:top w:val="single" w:sz="4" w:space="0" w:color="auto"/>
              <w:left w:val="nil"/>
              <w:bottom w:val="nil"/>
              <w:right w:val="single" w:sz="4" w:space="0" w:color="auto"/>
            </w:tcBorders>
          </w:tcPr>
          <w:p w14:paraId="33E11D99" w14:textId="77777777" w:rsidR="007E37A8" w:rsidRPr="00162662" w:rsidRDefault="007E37A8" w:rsidP="00895815">
            <w:pPr>
              <w:rPr>
                <w:rFonts w:ascii="Arial" w:hAnsi="Arial" w:cs="Arial"/>
                <w:sz w:val="18"/>
                <w:szCs w:val="18"/>
              </w:rPr>
            </w:pPr>
          </w:p>
        </w:tc>
        <w:tc>
          <w:tcPr>
            <w:tcW w:w="1461" w:type="dxa"/>
            <w:tcBorders>
              <w:left w:val="single" w:sz="4" w:space="0" w:color="auto"/>
              <w:bottom w:val="nil"/>
              <w:right w:val="single" w:sz="4" w:space="0" w:color="auto"/>
            </w:tcBorders>
          </w:tcPr>
          <w:p w14:paraId="5E3955BD" w14:textId="77777777" w:rsidR="007E37A8" w:rsidRPr="002E027B" w:rsidRDefault="007E37A8" w:rsidP="00895815">
            <w:pPr>
              <w:jc w:val="center"/>
              <w:rPr>
                <w:rFonts w:ascii="Arial" w:hAnsi="Arial" w:cs="Arial"/>
                <w:sz w:val="18"/>
                <w:szCs w:val="18"/>
              </w:rPr>
            </w:pPr>
          </w:p>
        </w:tc>
        <w:tc>
          <w:tcPr>
            <w:tcW w:w="1275" w:type="dxa"/>
            <w:tcBorders>
              <w:left w:val="single" w:sz="4" w:space="0" w:color="auto"/>
              <w:bottom w:val="nil"/>
              <w:right w:val="single" w:sz="4" w:space="0" w:color="auto"/>
            </w:tcBorders>
          </w:tcPr>
          <w:p w14:paraId="589B27B9" w14:textId="77777777" w:rsidR="007E37A8" w:rsidRPr="002E027B" w:rsidRDefault="007E37A8" w:rsidP="00895815">
            <w:pPr>
              <w:jc w:val="center"/>
              <w:rPr>
                <w:rFonts w:ascii="Arial" w:hAnsi="Arial" w:cs="Arial"/>
                <w:sz w:val="18"/>
                <w:szCs w:val="18"/>
              </w:rPr>
            </w:pPr>
          </w:p>
        </w:tc>
        <w:tc>
          <w:tcPr>
            <w:tcW w:w="1275" w:type="dxa"/>
            <w:vMerge w:val="restart"/>
            <w:tcBorders>
              <w:left w:val="single" w:sz="4" w:space="0" w:color="auto"/>
            </w:tcBorders>
            <w:vAlign w:val="center"/>
          </w:tcPr>
          <w:p w14:paraId="534FCBE8" w14:textId="77777777" w:rsidR="007E37A8" w:rsidRPr="002E027B" w:rsidRDefault="007E37A8" w:rsidP="00895815">
            <w:pPr>
              <w:rPr>
                <w:rFonts w:ascii="Arial" w:hAnsi="Arial" w:cs="Arial"/>
                <w:sz w:val="18"/>
                <w:szCs w:val="18"/>
              </w:rPr>
            </w:pPr>
            <w:r w:rsidRPr="002E027B">
              <w:rPr>
                <w:rFonts w:ascii="Arial" w:hAnsi="Arial" w:cs="Arial"/>
                <w:sz w:val="18"/>
                <w:szCs w:val="18"/>
              </w:rPr>
              <w:t>Unmutated</w:t>
            </w:r>
          </w:p>
        </w:tc>
      </w:tr>
      <w:tr w:rsidR="007E37A8" w14:paraId="7F9CAB21" w14:textId="77777777" w:rsidTr="00895815">
        <w:trPr>
          <w:jc w:val="center"/>
        </w:trPr>
        <w:tc>
          <w:tcPr>
            <w:tcW w:w="1111" w:type="dxa"/>
            <w:vMerge w:val="restart"/>
            <w:tcBorders>
              <w:top w:val="single" w:sz="4" w:space="0" w:color="FFFFFF" w:themeColor="background1"/>
            </w:tcBorders>
            <w:shd w:val="clear" w:color="auto" w:fill="F2F2F2" w:themeFill="background1" w:themeFillShade="F2"/>
            <w:vAlign w:val="center"/>
          </w:tcPr>
          <w:p w14:paraId="56962611"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nil"/>
              <w:right w:val="nil"/>
            </w:tcBorders>
            <w:vAlign w:val="bottom"/>
          </w:tcPr>
          <w:p w14:paraId="593F4758" w14:textId="77777777" w:rsidR="007E37A8" w:rsidRPr="002E2AE3" w:rsidRDefault="007E37A8" w:rsidP="00895815">
            <w:pPr>
              <w:rPr>
                <w:rFonts w:ascii="Arial" w:hAnsi="Arial" w:cs="Arial"/>
                <w:sz w:val="18"/>
                <w:szCs w:val="18"/>
              </w:rPr>
            </w:pPr>
            <w:r w:rsidRPr="002E2AE3">
              <w:rPr>
                <w:rFonts w:ascii="Arial" w:hAnsi="Arial" w:cs="Arial"/>
                <w:sz w:val="18"/>
                <w:szCs w:val="18"/>
              </w:rPr>
              <w:t>KRAS</w:t>
            </w:r>
          </w:p>
        </w:tc>
        <w:tc>
          <w:tcPr>
            <w:tcW w:w="3217" w:type="dxa"/>
            <w:tcBorders>
              <w:top w:val="nil"/>
              <w:left w:val="nil"/>
              <w:bottom w:val="nil"/>
              <w:right w:val="single" w:sz="4" w:space="0" w:color="auto"/>
            </w:tcBorders>
            <w:vAlign w:val="bottom"/>
          </w:tcPr>
          <w:p w14:paraId="6BA0EDC2" w14:textId="77777777" w:rsidR="007E37A8" w:rsidRPr="00952127" w:rsidRDefault="007E37A8" w:rsidP="00895815">
            <w:pPr>
              <w:rPr>
                <w:rFonts w:ascii="Arial" w:hAnsi="Arial" w:cs="Arial"/>
                <w:sz w:val="18"/>
                <w:szCs w:val="18"/>
              </w:rPr>
            </w:pPr>
            <w:r w:rsidRPr="002E2AE3">
              <w:rPr>
                <w:rFonts w:ascii="Arial" w:hAnsi="Arial" w:cs="Arial"/>
                <w:sz w:val="18"/>
                <w:szCs w:val="18"/>
              </w:rPr>
              <w:t>c.38G&gt;A, p.(Gly13Asp)</w:t>
            </w:r>
          </w:p>
        </w:tc>
        <w:tc>
          <w:tcPr>
            <w:tcW w:w="1603" w:type="dxa"/>
            <w:tcBorders>
              <w:top w:val="nil"/>
              <w:left w:val="single" w:sz="4" w:space="0" w:color="auto"/>
              <w:bottom w:val="nil"/>
              <w:right w:val="nil"/>
            </w:tcBorders>
          </w:tcPr>
          <w:p w14:paraId="17CE0FCF" w14:textId="77777777" w:rsidR="007E37A8" w:rsidRPr="00162662" w:rsidRDefault="007E37A8" w:rsidP="00895815">
            <w:pPr>
              <w:rPr>
                <w:rFonts w:ascii="Arial" w:hAnsi="Arial" w:cs="Arial"/>
                <w:sz w:val="18"/>
                <w:szCs w:val="18"/>
              </w:rPr>
            </w:pPr>
          </w:p>
        </w:tc>
        <w:tc>
          <w:tcPr>
            <w:tcW w:w="3358" w:type="dxa"/>
            <w:tcBorders>
              <w:top w:val="nil"/>
              <w:left w:val="nil"/>
              <w:bottom w:val="nil"/>
              <w:right w:val="single" w:sz="4" w:space="0" w:color="auto"/>
            </w:tcBorders>
          </w:tcPr>
          <w:p w14:paraId="57413411" w14:textId="77777777" w:rsidR="007E37A8" w:rsidRPr="00162662" w:rsidRDefault="007E37A8" w:rsidP="00895815">
            <w:pPr>
              <w:rPr>
                <w:rFonts w:ascii="Arial" w:hAnsi="Arial" w:cs="Arial"/>
                <w:sz w:val="18"/>
                <w:szCs w:val="18"/>
              </w:rPr>
            </w:pPr>
          </w:p>
        </w:tc>
        <w:tc>
          <w:tcPr>
            <w:tcW w:w="1461" w:type="dxa"/>
            <w:tcBorders>
              <w:top w:val="nil"/>
              <w:left w:val="single" w:sz="4" w:space="0" w:color="auto"/>
              <w:bottom w:val="nil"/>
              <w:right w:val="single" w:sz="4" w:space="0" w:color="auto"/>
            </w:tcBorders>
          </w:tcPr>
          <w:p w14:paraId="7B774F08" w14:textId="77777777" w:rsidR="007E37A8" w:rsidRPr="002E027B" w:rsidRDefault="007E37A8" w:rsidP="00895815">
            <w:pPr>
              <w:jc w:val="center"/>
              <w:rPr>
                <w:rFonts w:ascii="Arial" w:hAnsi="Arial" w:cs="Arial"/>
                <w:sz w:val="18"/>
                <w:szCs w:val="18"/>
              </w:rPr>
            </w:pPr>
          </w:p>
        </w:tc>
        <w:tc>
          <w:tcPr>
            <w:tcW w:w="1275" w:type="dxa"/>
            <w:tcBorders>
              <w:top w:val="nil"/>
              <w:left w:val="single" w:sz="4" w:space="0" w:color="auto"/>
              <w:bottom w:val="nil"/>
              <w:right w:val="single" w:sz="4" w:space="0" w:color="auto"/>
            </w:tcBorders>
          </w:tcPr>
          <w:p w14:paraId="2B1FE476"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tcBorders>
            <w:vAlign w:val="center"/>
          </w:tcPr>
          <w:p w14:paraId="018C54C5" w14:textId="77777777" w:rsidR="007E37A8" w:rsidRPr="002E027B" w:rsidRDefault="007E37A8" w:rsidP="00895815">
            <w:pPr>
              <w:rPr>
                <w:rFonts w:ascii="Arial" w:hAnsi="Arial" w:cs="Arial"/>
                <w:sz w:val="18"/>
                <w:szCs w:val="18"/>
              </w:rPr>
            </w:pPr>
          </w:p>
        </w:tc>
      </w:tr>
      <w:tr w:rsidR="007E37A8" w14:paraId="4AC89EA9" w14:textId="77777777" w:rsidTr="00895815">
        <w:trPr>
          <w:jc w:val="center"/>
        </w:trPr>
        <w:tc>
          <w:tcPr>
            <w:tcW w:w="1111" w:type="dxa"/>
            <w:vMerge/>
            <w:shd w:val="clear" w:color="auto" w:fill="F2F2F2" w:themeFill="background1" w:themeFillShade="F2"/>
            <w:vAlign w:val="center"/>
          </w:tcPr>
          <w:p w14:paraId="385E1F94"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nil"/>
              <w:right w:val="nil"/>
            </w:tcBorders>
            <w:shd w:val="clear" w:color="auto" w:fill="auto"/>
            <w:vAlign w:val="bottom"/>
          </w:tcPr>
          <w:p w14:paraId="0DEE491C" w14:textId="77777777" w:rsidR="007E37A8" w:rsidRPr="002E2AE3" w:rsidRDefault="007E37A8" w:rsidP="00895815">
            <w:pPr>
              <w:rPr>
                <w:rFonts w:ascii="Arial" w:hAnsi="Arial" w:cs="Arial"/>
                <w:sz w:val="18"/>
                <w:szCs w:val="18"/>
              </w:rPr>
            </w:pPr>
          </w:p>
        </w:tc>
        <w:tc>
          <w:tcPr>
            <w:tcW w:w="3217" w:type="dxa"/>
            <w:tcBorders>
              <w:top w:val="nil"/>
              <w:left w:val="nil"/>
              <w:bottom w:val="nil"/>
              <w:right w:val="single" w:sz="4" w:space="0" w:color="auto"/>
            </w:tcBorders>
            <w:shd w:val="clear" w:color="auto" w:fill="auto"/>
            <w:vAlign w:val="bottom"/>
          </w:tcPr>
          <w:p w14:paraId="09777092" w14:textId="77777777" w:rsidR="007E37A8" w:rsidRPr="002E2AE3" w:rsidRDefault="007E37A8" w:rsidP="00895815">
            <w:pPr>
              <w:rPr>
                <w:rFonts w:ascii="Arial" w:hAnsi="Arial" w:cs="Arial"/>
                <w:sz w:val="18"/>
                <w:szCs w:val="18"/>
              </w:rPr>
            </w:pPr>
          </w:p>
        </w:tc>
        <w:tc>
          <w:tcPr>
            <w:tcW w:w="1603" w:type="dxa"/>
            <w:tcBorders>
              <w:top w:val="nil"/>
              <w:left w:val="single" w:sz="4" w:space="0" w:color="auto"/>
              <w:bottom w:val="nil"/>
              <w:right w:val="nil"/>
            </w:tcBorders>
          </w:tcPr>
          <w:p w14:paraId="462649C2" w14:textId="77777777" w:rsidR="007E37A8" w:rsidRPr="00162662" w:rsidRDefault="007E37A8" w:rsidP="00895815">
            <w:pPr>
              <w:rPr>
                <w:rFonts w:ascii="Arial" w:hAnsi="Arial" w:cs="Arial"/>
                <w:sz w:val="18"/>
                <w:szCs w:val="18"/>
              </w:rPr>
            </w:pPr>
            <w:r w:rsidRPr="00162662">
              <w:rPr>
                <w:rFonts w:ascii="Arial" w:hAnsi="Arial" w:cs="Arial"/>
                <w:sz w:val="18"/>
                <w:szCs w:val="18"/>
              </w:rPr>
              <w:t>TP53</w:t>
            </w:r>
          </w:p>
        </w:tc>
        <w:tc>
          <w:tcPr>
            <w:tcW w:w="3358" w:type="dxa"/>
            <w:tcBorders>
              <w:top w:val="nil"/>
              <w:left w:val="nil"/>
              <w:bottom w:val="nil"/>
              <w:right w:val="single" w:sz="4" w:space="0" w:color="auto"/>
            </w:tcBorders>
          </w:tcPr>
          <w:p w14:paraId="45E88492" w14:textId="77777777" w:rsidR="007E37A8" w:rsidRPr="00162662" w:rsidRDefault="007E37A8" w:rsidP="00895815">
            <w:pPr>
              <w:rPr>
                <w:rFonts w:ascii="Arial" w:hAnsi="Arial" w:cs="Arial"/>
                <w:sz w:val="18"/>
                <w:szCs w:val="18"/>
              </w:rPr>
            </w:pPr>
            <w:r w:rsidRPr="00162662">
              <w:rPr>
                <w:rFonts w:ascii="Arial" w:hAnsi="Arial" w:cs="Arial"/>
                <w:sz w:val="18"/>
                <w:szCs w:val="18"/>
              </w:rPr>
              <w:t>c.536A&gt;G, p.(His179Arg)</w:t>
            </w:r>
          </w:p>
        </w:tc>
        <w:tc>
          <w:tcPr>
            <w:tcW w:w="1461" w:type="dxa"/>
            <w:tcBorders>
              <w:top w:val="nil"/>
              <w:left w:val="single" w:sz="4" w:space="0" w:color="auto"/>
              <w:bottom w:val="nil"/>
              <w:right w:val="single" w:sz="4" w:space="0" w:color="auto"/>
            </w:tcBorders>
          </w:tcPr>
          <w:p w14:paraId="0432C0DD" w14:textId="77777777" w:rsidR="007E37A8" w:rsidRPr="002E027B" w:rsidRDefault="007E37A8" w:rsidP="00895815">
            <w:pPr>
              <w:jc w:val="center"/>
              <w:rPr>
                <w:rFonts w:ascii="Arial" w:hAnsi="Arial" w:cs="Arial"/>
                <w:sz w:val="18"/>
                <w:szCs w:val="18"/>
              </w:rPr>
            </w:pPr>
          </w:p>
        </w:tc>
        <w:tc>
          <w:tcPr>
            <w:tcW w:w="1275" w:type="dxa"/>
            <w:tcBorders>
              <w:top w:val="nil"/>
              <w:left w:val="single" w:sz="4" w:space="0" w:color="auto"/>
              <w:bottom w:val="nil"/>
              <w:right w:val="single" w:sz="4" w:space="0" w:color="auto"/>
            </w:tcBorders>
          </w:tcPr>
          <w:p w14:paraId="2A1DA060"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tcBorders>
            <w:vAlign w:val="center"/>
          </w:tcPr>
          <w:p w14:paraId="4D9E3E4B" w14:textId="77777777" w:rsidR="007E37A8" w:rsidRPr="002E027B" w:rsidRDefault="007E37A8" w:rsidP="00895815">
            <w:pPr>
              <w:rPr>
                <w:rFonts w:ascii="Arial" w:hAnsi="Arial" w:cs="Arial"/>
                <w:sz w:val="18"/>
                <w:szCs w:val="18"/>
              </w:rPr>
            </w:pPr>
          </w:p>
        </w:tc>
      </w:tr>
      <w:tr w:rsidR="007E37A8" w14:paraId="36D1DE67" w14:textId="77777777" w:rsidTr="008B5D70">
        <w:trPr>
          <w:jc w:val="center"/>
        </w:trPr>
        <w:tc>
          <w:tcPr>
            <w:tcW w:w="1111" w:type="dxa"/>
            <w:vMerge/>
            <w:tcBorders>
              <w:bottom w:val="single" w:sz="6" w:space="0" w:color="auto"/>
            </w:tcBorders>
            <w:shd w:val="clear" w:color="auto" w:fill="F2F2F2" w:themeFill="background1" w:themeFillShade="F2"/>
            <w:vAlign w:val="center"/>
          </w:tcPr>
          <w:p w14:paraId="0D7B83F4"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single" w:sz="4" w:space="0" w:color="auto"/>
              <w:right w:val="nil"/>
            </w:tcBorders>
            <w:shd w:val="clear" w:color="auto" w:fill="auto"/>
            <w:vAlign w:val="bottom"/>
          </w:tcPr>
          <w:p w14:paraId="5681D0DA" w14:textId="77777777" w:rsidR="007E37A8" w:rsidRPr="002E2AE3" w:rsidRDefault="007E37A8" w:rsidP="00895815">
            <w:pPr>
              <w:rPr>
                <w:rFonts w:ascii="Arial" w:hAnsi="Arial" w:cs="Arial"/>
                <w:sz w:val="18"/>
                <w:szCs w:val="18"/>
              </w:rPr>
            </w:pPr>
          </w:p>
        </w:tc>
        <w:tc>
          <w:tcPr>
            <w:tcW w:w="3217" w:type="dxa"/>
            <w:tcBorders>
              <w:top w:val="nil"/>
              <w:left w:val="nil"/>
              <w:bottom w:val="single" w:sz="4" w:space="0" w:color="auto"/>
              <w:right w:val="single" w:sz="4" w:space="0" w:color="auto"/>
            </w:tcBorders>
            <w:shd w:val="clear" w:color="auto" w:fill="auto"/>
            <w:vAlign w:val="bottom"/>
          </w:tcPr>
          <w:p w14:paraId="4D36114A" w14:textId="77777777" w:rsidR="007E37A8" w:rsidRPr="002E2AE3" w:rsidRDefault="007E37A8" w:rsidP="00895815">
            <w:pPr>
              <w:rPr>
                <w:rFonts w:ascii="Arial" w:hAnsi="Arial" w:cs="Arial"/>
                <w:sz w:val="18"/>
                <w:szCs w:val="18"/>
              </w:rPr>
            </w:pPr>
          </w:p>
        </w:tc>
        <w:tc>
          <w:tcPr>
            <w:tcW w:w="1603" w:type="dxa"/>
            <w:tcBorders>
              <w:top w:val="nil"/>
              <w:left w:val="single" w:sz="4" w:space="0" w:color="auto"/>
              <w:bottom w:val="single" w:sz="4" w:space="0" w:color="auto"/>
              <w:right w:val="nil"/>
            </w:tcBorders>
          </w:tcPr>
          <w:p w14:paraId="2E421269" w14:textId="77777777" w:rsidR="007E37A8" w:rsidRPr="00162662" w:rsidRDefault="007E37A8" w:rsidP="00895815">
            <w:pPr>
              <w:rPr>
                <w:rFonts w:ascii="Arial" w:hAnsi="Arial" w:cs="Arial"/>
                <w:sz w:val="18"/>
                <w:szCs w:val="18"/>
              </w:rPr>
            </w:pPr>
            <w:r>
              <w:rPr>
                <w:rFonts w:ascii="Arial" w:hAnsi="Arial" w:cs="Arial"/>
                <w:sz w:val="18"/>
                <w:szCs w:val="18"/>
              </w:rPr>
              <w:t>KRAS</w:t>
            </w:r>
          </w:p>
        </w:tc>
        <w:tc>
          <w:tcPr>
            <w:tcW w:w="3358" w:type="dxa"/>
            <w:tcBorders>
              <w:top w:val="nil"/>
              <w:left w:val="nil"/>
              <w:bottom w:val="single" w:sz="4" w:space="0" w:color="auto"/>
              <w:right w:val="single" w:sz="4" w:space="0" w:color="auto"/>
            </w:tcBorders>
          </w:tcPr>
          <w:p w14:paraId="37C90768" w14:textId="77777777" w:rsidR="007E37A8" w:rsidRPr="00162662" w:rsidRDefault="007E37A8" w:rsidP="00895815">
            <w:pPr>
              <w:rPr>
                <w:rFonts w:ascii="Arial" w:hAnsi="Arial" w:cs="Arial"/>
                <w:sz w:val="18"/>
                <w:szCs w:val="18"/>
              </w:rPr>
            </w:pPr>
            <w:r w:rsidRPr="002E2AE3">
              <w:rPr>
                <w:rFonts w:ascii="Arial" w:hAnsi="Arial" w:cs="Arial"/>
                <w:sz w:val="18"/>
                <w:szCs w:val="18"/>
              </w:rPr>
              <w:t>c.68T&gt;G</w:t>
            </w:r>
            <w:r>
              <w:rPr>
                <w:rFonts w:ascii="Arial" w:hAnsi="Arial" w:cs="Arial"/>
                <w:sz w:val="18"/>
                <w:szCs w:val="18"/>
              </w:rPr>
              <w:t xml:space="preserve">, </w:t>
            </w:r>
            <w:r w:rsidRPr="002E2AE3">
              <w:rPr>
                <w:rFonts w:ascii="Arial" w:hAnsi="Arial" w:cs="Arial"/>
                <w:sz w:val="18"/>
                <w:szCs w:val="18"/>
              </w:rPr>
              <w:t>p.(Leu23Arg)</w:t>
            </w:r>
          </w:p>
        </w:tc>
        <w:tc>
          <w:tcPr>
            <w:tcW w:w="1461" w:type="dxa"/>
            <w:tcBorders>
              <w:top w:val="nil"/>
              <w:left w:val="single" w:sz="4" w:space="0" w:color="auto"/>
              <w:bottom w:val="single" w:sz="4" w:space="0" w:color="auto"/>
              <w:right w:val="single" w:sz="4" w:space="0" w:color="auto"/>
            </w:tcBorders>
          </w:tcPr>
          <w:p w14:paraId="362E02A3" w14:textId="77777777" w:rsidR="007E37A8" w:rsidRPr="002E027B" w:rsidRDefault="007E37A8" w:rsidP="00895815">
            <w:pPr>
              <w:jc w:val="center"/>
              <w:rPr>
                <w:rFonts w:ascii="Arial" w:hAnsi="Arial" w:cs="Arial"/>
                <w:sz w:val="18"/>
                <w:szCs w:val="18"/>
              </w:rPr>
            </w:pPr>
          </w:p>
        </w:tc>
        <w:tc>
          <w:tcPr>
            <w:tcW w:w="1275" w:type="dxa"/>
            <w:tcBorders>
              <w:top w:val="nil"/>
              <w:left w:val="single" w:sz="4" w:space="0" w:color="auto"/>
              <w:bottom w:val="single" w:sz="4" w:space="0" w:color="auto"/>
              <w:right w:val="single" w:sz="4" w:space="0" w:color="auto"/>
            </w:tcBorders>
          </w:tcPr>
          <w:p w14:paraId="1E280999"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bottom w:val="single" w:sz="4" w:space="0" w:color="auto"/>
            </w:tcBorders>
            <w:vAlign w:val="center"/>
          </w:tcPr>
          <w:p w14:paraId="0104F905" w14:textId="77777777" w:rsidR="007E37A8" w:rsidRPr="002E027B" w:rsidRDefault="007E37A8" w:rsidP="00895815">
            <w:pPr>
              <w:rPr>
                <w:rFonts w:ascii="Arial" w:hAnsi="Arial" w:cs="Arial"/>
                <w:sz w:val="18"/>
                <w:szCs w:val="18"/>
              </w:rPr>
            </w:pPr>
          </w:p>
        </w:tc>
      </w:tr>
      <w:tr w:rsidR="007E37A8" w14:paraId="5A0B33C7" w14:textId="77777777" w:rsidTr="00895815">
        <w:trPr>
          <w:jc w:val="center"/>
        </w:trPr>
        <w:tc>
          <w:tcPr>
            <w:tcW w:w="1111" w:type="dxa"/>
            <w:vMerge w:val="restart"/>
            <w:tcBorders>
              <w:top w:val="single" w:sz="6" w:space="0" w:color="auto"/>
              <w:bottom w:val="single" w:sz="6" w:space="0" w:color="auto"/>
            </w:tcBorders>
            <w:shd w:val="clear" w:color="auto" w:fill="DEEAF6" w:themeFill="accent5" w:themeFillTint="33"/>
            <w:vAlign w:val="center"/>
          </w:tcPr>
          <w:p w14:paraId="2C4DE7FE"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t>CLL12</w:t>
            </w:r>
          </w:p>
        </w:tc>
        <w:tc>
          <w:tcPr>
            <w:tcW w:w="1319" w:type="dxa"/>
            <w:tcBorders>
              <w:bottom w:val="nil"/>
              <w:right w:val="nil"/>
            </w:tcBorders>
            <w:shd w:val="clear" w:color="auto" w:fill="DEEAF6" w:themeFill="accent5" w:themeFillTint="33"/>
            <w:vAlign w:val="bottom"/>
          </w:tcPr>
          <w:p w14:paraId="43C9C0A8" w14:textId="77777777" w:rsidR="007E37A8" w:rsidRPr="00162662" w:rsidRDefault="007E37A8" w:rsidP="00895815">
            <w:pPr>
              <w:rPr>
                <w:rFonts w:ascii="Arial" w:hAnsi="Arial" w:cs="Arial"/>
                <w:sz w:val="18"/>
                <w:szCs w:val="18"/>
              </w:rPr>
            </w:pPr>
            <w:r w:rsidRPr="00162662">
              <w:rPr>
                <w:rFonts w:ascii="Arial" w:hAnsi="Arial" w:cs="Arial"/>
                <w:sz w:val="18"/>
                <w:szCs w:val="18"/>
              </w:rPr>
              <w:t>XPO1</w:t>
            </w:r>
          </w:p>
        </w:tc>
        <w:tc>
          <w:tcPr>
            <w:tcW w:w="3217" w:type="dxa"/>
            <w:tcBorders>
              <w:left w:val="nil"/>
              <w:bottom w:val="nil"/>
            </w:tcBorders>
            <w:shd w:val="clear" w:color="auto" w:fill="DEEAF6" w:themeFill="accent5" w:themeFillTint="33"/>
            <w:vAlign w:val="bottom"/>
          </w:tcPr>
          <w:p w14:paraId="2DF0CE84" w14:textId="77777777" w:rsidR="007E37A8" w:rsidRPr="00162662" w:rsidRDefault="007E37A8" w:rsidP="00895815">
            <w:pPr>
              <w:rPr>
                <w:rFonts w:ascii="Arial" w:hAnsi="Arial" w:cs="Arial"/>
                <w:sz w:val="18"/>
                <w:szCs w:val="18"/>
              </w:rPr>
            </w:pPr>
            <w:r w:rsidRPr="00162662">
              <w:rPr>
                <w:rFonts w:ascii="Arial" w:hAnsi="Arial" w:cs="Arial"/>
                <w:sz w:val="18"/>
                <w:szCs w:val="18"/>
              </w:rPr>
              <w:t>c.1711G&gt;A, p.(Glu571Lys)</w:t>
            </w:r>
          </w:p>
        </w:tc>
        <w:tc>
          <w:tcPr>
            <w:tcW w:w="1603" w:type="dxa"/>
            <w:tcBorders>
              <w:top w:val="single" w:sz="4" w:space="0" w:color="auto"/>
              <w:bottom w:val="nil"/>
              <w:right w:val="nil"/>
            </w:tcBorders>
            <w:shd w:val="clear" w:color="auto" w:fill="DEEAF6" w:themeFill="accent5" w:themeFillTint="33"/>
            <w:vAlign w:val="bottom"/>
          </w:tcPr>
          <w:p w14:paraId="0A2F5D7F" w14:textId="77777777" w:rsidR="007E37A8" w:rsidRPr="00A6679D" w:rsidRDefault="007E37A8" w:rsidP="00895815">
            <w:pPr>
              <w:rPr>
                <w:rFonts w:ascii="Arial" w:hAnsi="Arial" w:cs="Arial"/>
                <w:sz w:val="18"/>
                <w:szCs w:val="18"/>
              </w:rPr>
            </w:pPr>
            <w:r w:rsidRPr="00A6679D">
              <w:rPr>
                <w:rFonts w:ascii="Arial" w:hAnsi="Arial" w:cs="Arial"/>
                <w:sz w:val="18"/>
                <w:szCs w:val="18"/>
              </w:rPr>
              <w:t>XPO1</w:t>
            </w:r>
          </w:p>
        </w:tc>
        <w:tc>
          <w:tcPr>
            <w:tcW w:w="3358" w:type="dxa"/>
            <w:tcBorders>
              <w:top w:val="single" w:sz="4" w:space="0" w:color="auto"/>
              <w:left w:val="nil"/>
              <w:bottom w:val="nil"/>
            </w:tcBorders>
            <w:shd w:val="clear" w:color="auto" w:fill="DEEAF6" w:themeFill="accent5" w:themeFillTint="33"/>
            <w:vAlign w:val="bottom"/>
          </w:tcPr>
          <w:p w14:paraId="562285CF" w14:textId="77777777" w:rsidR="007E37A8" w:rsidRPr="00A6679D" w:rsidRDefault="007E37A8" w:rsidP="00895815">
            <w:pPr>
              <w:rPr>
                <w:rFonts w:ascii="Arial" w:hAnsi="Arial" w:cs="Arial"/>
                <w:sz w:val="18"/>
                <w:szCs w:val="18"/>
              </w:rPr>
            </w:pPr>
            <w:r w:rsidRPr="00A6679D">
              <w:rPr>
                <w:rFonts w:ascii="Arial" w:hAnsi="Arial" w:cs="Arial"/>
                <w:sz w:val="18"/>
                <w:szCs w:val="18"/>
              </w:rPr>
              <w:t>c.1711G&gt;A, p.(Glu571Lys)</w:t>
            </w:r>
          </w:p>
        </w:tc>
        <w:tc>
          <w:tcPr>
            <w:tcW w:w="1461" w:type="dxa"/>
            <w:tcBorders>
              <w:left w:val="nil"/>
              <w:bottom w:val="nil"/>
              <w:right w:val="single" w:sz="4" w:space="0" w:color="auto"/>
            </w:tcBorders>
            <w:shd w:val="clear" w:color="auto" w:fill="DEEAF6" w:themeFill="accent5" w:themeFillTint="33"/>
          </w:tcPr>
          <w:p w14:paraId="05744AA4" w14:textId="77777777" w:rsidR="007E37A8" w:rsidRPr="002E027B" w:rsidRDefault="007E37A8" w:rsidP="00895815">
            <w:pPr>
              <w:jc w:val="center"/>
              <w:rPr>
                <w:rFonts w:ascii="Arial" w:hAnsi="Arial" w:cs="Arial"/>
                <w:sz w:val="18"/>
                <w:szCs w:val="18"/>
              </w:rPr>
            </w:pPr>
          </w:p>
        </w:tc>
        <w:tc>
          <w:tcPr>
            <w:tcW w:w="1275" w:type="dxa"/>
            <w:tcBorders>
              <w:top w:val="single" w:sz="4" w:space="0" w:color="auto"/>
              <w:left w:val="single" w:sz="4" w:space="0" w:color="auto"/>
              <w:bottom w:val="nil"/>
              <w:right w:val="single" w:sz="4" w:space="0" w:color="auto"/>
            </w:tcBorders>
            <w:shd w:val="clear" w:color="auto" w:fill="DEEAF6" w:themeFill="accent5" w:themeFillTint="33"/>
          </w:tcPr>
          <w:p w14:paraId="59603365" w14:textId="77777777" w:rsidR="007E37A8" w:rsidRPr="002E027B" w:rsidRDefault="007E37A8" w:rsidP="00895815">
            <w:pPr>
              <w:jc w:val="center"/>
              <w:rPr>
                <w:rFonts w:ascii="Arial" w:hAnsi="Arial" w:cs="Arial"/>
                <w:sz w:val="18"/>
                <w:szCs w:val="18"/>
              </w:rPr>
            </w:pPr>
          </w:p>
        </w:tc>
        <w:tc>
          <w:tcPr>
            <w:tcW w:w="1275" w:type="dxa"/>
            <w:vMerge w:val="restart"/>
            <w:tcBorders>
              <w:left w:val="single" w:sz="4" w:space="0" w:color="auto"/>
            </w:tcBorders>
            <w:shd w:val="clear" w:color="auto" w:fill="DEEAF6" w:themeFill="accent5" w:themeFillTint="33"/>
            <w:vAlign w:val="center"/>
          </w:tcPr>
          <w:p w14:paraId="5AA07DE9" w14:textId="77777777" w:rsidR="007E37A8" w:rsidRPr="002E027B" w:rsidRDefault="007E37A8" w:rsidP="00895815">
            <w:pPr>
              <w:rPr>
                <w:rFonts w:ascii="Arial" w:hAnsi="Arial" w:cs="Arial"/>
                <w:sz w:val="18"/>
                <w:szCs w:val="18"/>
              </w:rPr>
            </w:pPr>
            <w:r w:rsidRPr="002E027B">
              <w:rPr>
                <w:rFonts w:ascii="Arial" w:hAnsi="Arial" w:cs="Arial"/>
                <w:sz w:val="18"/>
                <w:szCs w:val="18"/>
              </w:rPr>
              <w:t>Unmutated</w:t>
            </w:r>
          </w:p>
        </w:tc>
      </w:tr>
      <w:tr w:rsidR="007E37A8" w14:paraId="351D0250" w14:textId="77777777" w:rsidTr="00895815">
        <w:trPr>
          <w:jc w:val="center"/>
        </w:trPr>
        <w:tc>
          <w:tcPr>
            <w:tcW w:w="1111" w:type="dxa"/>
            <w:vMerge/>
            <w:tcBorders>
              <w:top w:val="single" w:sz="6" w:space="0" w:color="auto"/>
              <w:bottom w:val="single" w:sz="6" w:space="0" w:color="auto"/>
            </w:tcBorders>
            <w:shd w:val="clear" w:color="auto" w:fill="DEEAF6" w:themeFill="accent5" w:themeFillTint="33"/>
            <w:vAlign w:val="center"/>
          </w:tcPr>
          <w:p w14:paraId="7ACE34DA"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nil"/>
              <w:right w:val="nil"/>
            </w:tcBorders>
            <w:shd w:val="clear" w:color="auto" w:fill="DEEAF6" w:themeFill="accent5" w:themeFillTint="33"/>
            <w:vAlign w:val="bottom"/>
          </w:tcPr>
          <w:p w14:paraId="53CE8E0C" w14:textId="77777777" w:rsidR="007E37A8" w:rsidRPr="00162662" w:rsidRDefault="007E37A8" w:rsidP="00895815">
            <w:pPr>
              <w:rPr>
                <w:rFonts w:ascii="Arial" w:hAnsi="Arial" w:cs="Arial"/>
                <w:sz w:val="18"/>
                <w:szCs w:val="18"/>
              </w:rPr>
            </w:pPr>
            <w:r w:rsidRPr="00162662">
              <w:rPr>
                <w:rFonts w:ascii="Arial" w:hAnsi="Arial" w:cs="Arial"/>
                <w:sz w:val="18"/>
                <w:szCs w:val="18"/>
              </w:rPr>
              <w:t>TP53</w:t>
            </w:r>
          </w:p>
        </w:tc>
        <w:tc>
          <w:tcPr>
            <w:tcW w:w="3217" w:type="dxa"/>
            <w:tcBorders>
              <w:top w:val="nil"/>
              <w:left w:val="nil"/>
              <w:bottom w:val="nil"/>
            </w:tcBorders>
            <w:shd w:val="clear" w:color="auto" w:fill="DEEAF6" w:themeFill="accent5" w:themeFillTint="33"/>
            <w:vAlign w:val="bottom"/>
          </w:tcPr>
          <w:p w14:paraId="362C5021" w14:textId="77777777" w:rsidR="007E37A8" w:rsidRPr="00162662" w:rsidRDefault="007E37A8" w:rsidP="00895815">
            <w:pPr>
              <w:rPr>
                <w:rFonts w:ascii="Arial" w:hAnsi="Arial" w:cs="Arial"/>
                <w:sz w:val="18"/>
                <w:szCs w:val="18"/>
              </w:rPr>
            </w:pPr>
            <w:r w:rsidRPr="00162662">
              <w:rPr>
                <w:rFonts w:ascii="Arial" w:hAnsi="Arial" w:cs="Arial"/>
                <w:sz w:val="18"/>
                <w:szCs w:val="18"/>
              </w:rPr>
              <w:t>c.742C&gt;G, p.(Arg248Gly)</w:t>
            </w:r>
          </w:p>
        </w:tc>
        <w:tc>
          <w:tcPr>
            <w:tcW w:w="1603" w:type="dxa"/>
            <w:tcBorders>
              <w:top w:val="nil"/>
              <w:bottom w:val="nil"/>
              <w:right w:val="nil"/>
            </w:tcBorders>
            <w:shd w:val="clear" w:color="auto" w:fill="DEEAF6" w:themeFill="accent5" w:themeFillTint="33"/>
          </w:tcPr>
          <w:p w14:paraId="5D0ADFCC" w14:textId="77777777" w:rsidR="007E37A8" w:rsidRPr="00162662" w:rsidRDefault="007E37A8" w:rsidP="00895815">
            <w:pPr>
              <w:rPr>
                <w:rFonts w:ascii="Arial" w:hAnsi="Arial" w:cs="Arial"/>
                <w:sz w:val="18"/>
                <w:szCs w:val="18"/>
              </w:rPr>
            </w:pPr>
          </w:p>
        </w:tc>
        <w:tc>
          <w:tcPr>
            <w:tcW w:w="3358" w:type="dxa"/>
            <w:tcBorders>
              <w:top w:val="nil"/>
              <w:left w:val="nil"/>
              <w:bottom w:val="nil"/>
            </w:tcBorders>
            <w:shd w:val="clear" w:color="auto" w:fill="DEEAF6" w:themeFill="accent5" w:themeFillTint="33"/>
          </w:tcPr>
          <w:p w14:paraId="05387ED6" w14:textId="77777777" w:rsidR="007E37A8" w:rsidRPr="00162662" w:rsidRDefault="007E37A8" w:rsidP="00895815">
            <w:pPr>
              <w:rPr>
                <w:rFonts w:ascii="Arial" w:hAnsi="Arial" w:cs="Arial"/>
                <w:sz w:val="18"/>
                <w:szCs w:val="18"/>
              </w:rPr>
            </w:pPr>
          </w:p>
        </w:tc>
        <w:tc>
          <w:tcPr>
            <w:tcW w:w="1461" w:type="dxa"/>
            <w:tcBorders>
              <w:top w:val="nil"/>
              <w:left w:val="nil"/>
              <w:bottom w:val="nil"/>
              <w:right w:val="single" w:sz="4" w:space="0" w:color="auto"/>
            </w:tcBorders>
            <w:shd w:val="clear" w:color="auto" w:fill="DEEAF6" w:themeFill="accent5" w:themeFillTint="33"/>
          </w:tcPr>
          <w:p w14:paraId="63669688" w14:textId="77777777" w:rsidR="007E37A8" w:rsidRPr="002E027B" w:rsidRDefault="007E37A8" w:rsidP="00895815">
            <w:pPr>
              <w:jc w:val="center"/>
              <w:rPr>
                <w:rFonts w:ascii="Arial" w:hAnsi="Arial" w:cs="Arial"/>
                <w:sz w:val="18"/>
                <w:szCs w:val="18"/>
              </w:rPr>
            </w:pPr>
          </w:p>
        </w:tc>
        <w:tc>
          <w:tcPr>
            <w:tcW w:w="1275" w:type="dxa"/>
            <w:tcBorders>
              <w:top w:val="nil"/>
              <w:left w:val="single" w:sz="4" w:space="0" w:color="auto"/>
              <w:bottom w:val="nil"/>
              <w:right w:val="single" w:sz="4" w:space="0" w:color="auto"/>
            </w:tcBorders>
            <w:shd w:val="clear" w:color="auto" w:fill="DEEAF6" w:themeFill="accent5" w:themeFillTint="33"/>
          </w:tcPr>
          <w:p w14:paraId="71A9C17C"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tcBorders>
            <w:shd w:val="clear" w:color="auto" w:fill="DEEAF6" w:themeFill="accent5" w:themeFillTint="33"/>
            <w:vAlign w:val="center"/>
          </w:tcPr>
          <w:p w14:paraId="1870A956" w14:textId="77777777" w:rsidR="007E37A8" w:rsidRPr="002E027B" w:rsidRDefault="007E37A8" w:rsidP="00895815">
            <w:pPr>
              <w:rPr>
                <w:rFonts w:ascii="Arial" w:hAnsi="Arial" w:cs="Arial"/>
                <w:sz w:val="18"/>
                <w:szCs w:val="18"/>
              </w:rPr>
            </w:pPr>
          </w:p>
        </w:tc>
      </w:tr>
      <w:tr w:rsidR="007E37A8" w14:paraId="5869459C" w14:textId="77777777" w:rsidTr="00895815">
        <w:trPr>
          <w:jc w:val="center"/>
        </w:trPr>
        <w:tc>
          <w:tcPr>
            <w:tcW w:w="1111" w:type="dxa"/>
            <w:vMerge/>
            <w:tcBorders>
              <w:top w:val="single" w:sz="6" w:space="0" w:color="auto"/>
              <w:bottom w:val="single" w:sz="6" w:space="0" w:color="auto"/>
            </w:tcBorders>
            <w:shd w:val="clear" w:color="auto" w:fill="DEEAF6" w:themeFill="accent5" w:themeFillTint="33"/>
            <w:vAlign w:val="center"/>
          </w:tcPr>
          <w:p w14:paraId="34EE8823"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nil"/>
              <w:right w:val="nil"/>
            </w:tcBorders>
            <w:shd w:val="clear" w:color="auto" w:fill="DEEAF6" w:themeFill="accent5" w:themeFillTint="33"/>
            <w:vAlign w:val="bottom"/>
          </w:tcPr>
          <w:p w14:paraId="3DE96EB9" w14:textId="77777777" w:rsidR="007E37A8" w:rsidRPr="00162662" w:rsidRDefault="007E37A8" w:rsidP="00895815">
            <w:pPr>
              <w:rPr>
                <w:rFonts w:ascii="Arial" w:hAnsi="Arial" w:cs="Arial"/>
                <w:sz w:val="18"/>
                <w:szCs w:val="18"/>
              </w:rPr>
            </w:pPr>
            <w:r w:rsidRPr="00162662">
              <w:rPr>
                <w:rFonts w:ascii="Arial" w:hAnsi="Arial" w:cs="Arial"/>
                <w:sz w:val="18"/>
                <w:szCs w:val="18"/>
              </w:rPr>
              <w:t>TP53</w:t>
            </w:r>
          </w:p>
        </w:tc>
        <w:tc>
          <w:tcPr>
            <w:tcW w:w="3217" w:type="dxa"/>
            <w:tcBorders>
              <w:top w:val="nil"/>
              <w:left w:val="nil"/>
              <w:bottom w:val="nil"/>
            </w:tcBorders>
            <w:shd w:val="clear" w:color="auto" w:fill="DEEAF6" w:themeFill="accent5" w:themeFillTint="33"/>
            <w:vAlign w:val="bottom"/>
          </w:tcPr>
          <w:p w14:paraId="3F49780A" w14:textId="77777777" w:rsidR="007E37A8" w:rsidRPr="00162662" w:rsidRDefault="007E37A8" w:rsidP="00895815">
            <w:pPr>
              <w:rPr>
                <w:rFonts w:ascii="Arial" w:hAnsi="Arial" w:cs="Arial"/>
                <w:sz w:val="18"/>
                <w:szCs w:val="18"/>
              </w:rPr>
            </w:pPr>
            <w:r w:rsidRPr="00162662">
              <w:rPr>
                <w:rFonts w:ascii="Arial" w:hAnsi="Arial" w:cs="Arial"/>
                <w:sz w:val="18"/>
                <w:szCs w:val="18"/>
              </w:rPr>
              <w:t>c.742C&gt;T, p.(Arg248Trp)</w:t>
            </w:r>
          </w:p>
        </w:tc>
        <w:tc>
          <w:tcPr>
            <w:tcW w:w="1603" w:type="dxa"/>
            <w:tcBorders>
              <w:top w:val="nil"/>
              <w:bottom w:val="nil"/>
              <w:right w:val="nil"/>
            </w:tcBorders>
            <w:shd w:val="clear" w:color="auto" w:fill="DEEAF6" w:themeFill="accent5" w:themeFillTint="33"/>
          </w:tcPr>
          <w:p w14:paraId="008EE064" w14:textId="77777777" w:rsidR="007E37A8" w:rsidRPr="00162662" w:rsidRDefault="007E37A8" w:rsidP="00895815">
            <w:pPr>
              <w:rPr>
                <w:rFonts w:ascii="Arial" w:hAnsi="Arial" w:cs="Arial"/>
                <w:sz w:val="18"/>
                <w:szCs w:val="18"/>
              </w:rPr>
            </w:pPr>
          </w:p>
        </w:tc>
        <w:tc>
          <w:tcPr>
            <w:tcW w:w="3358" w:type="dxa"/>
            <w:tcBorders>
              <w:top w:val="nil"/>
              <w:left w:val="nil"/>
              <w:bottom w:val="nil"/>
            </w:tcBorders>
            <w:shd w:val="clear" w:color="auto" w:fill="DEEAF6" w:themeFill="accent5" w:themeFillTint="33"/>
          </w:tcPr>
          <w:p w14:paraId="04431E1E" w14:textId="77777777" w:rsidR="007E37A8" w:rsidRPr="00162662" w:rsidRDefault="007E37A8" w:rsidP="00895815">
            <w:pPr>
              <w:rPr>
                <w:rFonts w:ascii="Arial" w:hAnsi="Arial" w:cs="Arial"/>
                <w:sz w:val="18"/>
                <w:szCs w:val="18"/>
              </w:rPr>
            </w:pPr>
          </w:p>
        </w:tc>
        <w:tc>
          <w:tcPr>
            <w:tcW w:w="1461" w:type="dxa"/>
            <w:tcBorders>
              <w:top w:val="nil"/>
              <w:left w:val="nil"/>
              <w:bottom w:val="nil"/>
              <w:right w:val="single" w:sz="4" w:space="0" w:color="auto"/>
            </w:tcBorders>
            <w:shd w:val="clear" w:color="auto" w:fill="DEEAF6" w:themeFill="accent5" w:themeFillTint="33"/>
          </w:tcPr>
          <w:p w14:paraId="1DE72ACF" w14:textId="77777777" w:rsidR="007E37A8" w:rsidRPr="002E027B" w:rsidRDefault="007E37A8" w:rsidP="00895815">
            <w:pPr>
              <w:jc w:val="center"/>
              <w:rPr>
                <w:rFonts w:ascii="Arial" w:hAnsi="Arial" w:cs="Arial"/>
                <w:sz w:val="18"/>
                <w:szCs w:val="18"/>
              </w:rPr>
            </w:pPr>
          </w:p>
        </w:tc>
        <w:tc>
          <w:tcPr>
            <w:tcW w:w="1275" w:type="dxa"/>
            <w:tcBorders>
              <w:top w:val="nil"/>
              <w:left w:val="single" w:sz="4" w:space="0" w:color="auto"/>
              <w:bottom w:val="nil"/>
              <w:right w:val="single" w:sz="4" w:space="0" w:color="auto"/>
            </w:tcBorders>
            <w:shd w:val="clear" w:color="auto" w:fill="DEEAF6" w:themeFill="accent5" w:themeFillTint="33"/>
          </w:tcPr>
          <w:p w14:paraId="4862183C"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tcBorders>
            <w:shd w:val="clear" w:color="auto" w:fill="DEEAF6" w:themeFill="accent5" w:themeFillTint="33"/>
            <w:vAlign w:val="center"/>
          </w:tcPr>
          <w:p w14:paraId="76488D7F" w14:textId="77777777" w:rsidR="007E37A8" w:rsidRPr="002E027B" w:rsidRDefault="007E37A8" w:rsidP="00895815">
            <w:pPr>
              <w:rPr>
                <w:rFonts w:ascii="Arial" w:hAnsi="Arial" w:cs="Arial"/>
                <w:sz w:val="18"/>
                <w:szCs w:val="18"/>
              </w:rPr>
            </w:pPr>
          </w:p>
        </w:tc>
      </w:tr>
      <w:tr w:rsidR="007E37A8" w14:paraId="52466566" w14:textId="77777777" w:rsidTr="00895815">
        <w:trPr>
          <w:jc w:val="center"/>
        </w:trPr>
        <w:tc>
          <w:tcPr>
            <w:tcW w:w="1111" w:type="dxa"/>
            <w:vMerge/>
            <w:tcBorders>
              <w:top w:val="single" w:sz="6" w:space="0" w:color="auto"/>
              <w:bottom w:val="single" w:sz="6" w:space="0" w:color="auto"/>
            </w:tcBorders>
            <w:shd w:val="clear" w:color="auto" w:fill="DEEAF6" w:themeFill="accent5" w:themeFillTint="33"/>
            <w:vAlign w:val="center"/>
          </w:tcPr>
          <w:p w14:paraId="59A050E8"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nil"/>
              <w:right w:val="nil"/>
            </w:tcBorders>
            <w:shd w:val="clear" w:color="auto" w:fill="DEEAF6" w:themeFill="accent5" w:themeFillTint="33"/>
            <w:vAlign w:val="bottom"/>
          </w:tcPr>
          <w:p w14:paraId="764CA8F2" w14:textId="77777777" w:rsidR="007E37A8" w:rsidRPr="00162662" w:rsidRDefault="007E37A8" w:rsidP="00895815">
            <w:pPr>
              <w:rPr>
                <w:rFonts w:ascii="Arial" w:hAnsi="Arial" w:cs="Arial"/>
                <w:sz w:val="18"/>
                <w:szCs w:val="18"/>
              </w:rPr>
            </w:pPr>
          </w:p>
        </w:tc>
        <w:tc>
          <w:tcPr>
            <w:tcW w:w="3217" w:type="dxa"/>
            <w:tcBorders>
              <w:top w:val="nil"/>
              <w:left w:val="nil"/>
              <w:bottom w:val="nil"/>
            </w:tcBorders>
            <w:shd w:val="clear" w:color="auto" w:fill="DEEAF6" w:themeFill="accent5" w:themeFillTint="33"/>
            <w:vAlign w:val="bottom"/>
          </w:tcPr>
          <w:p w14:paraId="75FA55DB" w14:textId="77777777" w:rsidR="007E37A8" w:rsidRPr="00162662" w:rsidRDefault="007E37A8" w:rsidP="00895815">
            <w:pPr>
              <w:rPr>
                <w:rFonts w:ascii="Arial" w:hAnsi="Arial" w:cs="Arial"/>
                <w:sz w:val="18"/>
                <w:szCs w:val="18"/>
              </w:rPr>
            </w:pPr>
          </w:p>
        </w:tc>
        <w:tc>
          <w:tcPr>
            <w:tcW w:w="1603" w:type="dxa"/>
            <w:tcBorders>
              <w:top w:val="nil"/>
              <w:bottom w:val="nil"/>
              <w:right w:val="nil"/>
            </w:tcBorders>
            <w:shd w:val="clear" w:color="auto" w:fill="DEEAF6" w:themeFill="accent5" w:themeFillTint="33"/>
          </w:tcPr>
          <w:p w14:paraId="1FBC9BD6" w14:textId="77777777" w:rsidR="007E37A8" w:rsidRPr="00162662" w:rsidRDefault="007E37A8" w:rsidP="00895815">
            <w:pPr>
              <w:rPr>
                <w:rFonts w:ascii="Arial" w:hAnsi="Arial" w:cs="Arial"/>
                <w:sz w:val="18"/>
                <w:szCs w:val="18"/>
              </w:rPr>
            </w:pPr>
            <w:r w:rsidRPr="00162662">
              <w:rPr>
                <w:rFonts w:ascii="Arial" w:hAnsi="Arial" w:cs="Arial"/>
                <w:sz w:val="18"/>
                <w:szCs w:val="18"/>
              </w:rPr>
              <w:t>SF3B1</w:t>
            </w:r>
          </w:p>
        </w:tc>
        <w:tc>
          <w:tcPr>
            <w:tcW w:w="3358" w:type="dxa"/>
            <w:tcBorders>
              <w:top w:val="nil"/>
              <w:left w:val="nil"/>
              <w:bottom w:val="nil"/>
            </w:tcBorders>
            <w:shd w:val="clear" w:color="auto" w:fill="DEEAF6" w:themeFill="accent5" w:themeFillTint="33"/>
          </w:tcPr>
          <w:p w14:paraId="21B31C2A" w14:textId="77777777" w:rsidR="007E37A8" w:rsidRPr="00162662" w:rsidRDefault="007E37A8" w:rsidP="00895815">
            <w:pPr>
              <w:rPr>
                <w:rFonts w:ascii="Arial" w:hAnsi="Arial" w:cs="Arial"/>
                <w:sz w:val="18"/>
                <w:szCs w:val="18"/>
              </w:rPr>
            </w:pPr>
            <w:r w:rsidRPr="00162662">
              <w:rPr>
                <w:rFonts w:ascii="Arial" w:hAnsi="Arial" w:cs="Arial"/>
                <w:sz w:val="18"/>
                <w:szCs w:val="18"/>
              </w:rPr>
              <w:t>c.1998G&gt;T, p.(Lys666Asn)</w:t>
            </w:r>
          </w:p>
        </w:tc>
        <w:tc>
          <w:tcPr>
            <w:tcW w:w="1461" w:type="dxa"/>
            <w:tcBorders>
              <w:top w:val="nil"/>
              <w:left w:val="nil"/>
              <w:bottom w:val="nil"/>
              <w:right w:val="single" w:sz="4" w:space="0" w:color="auto"/>
            </w:tcBorders>
            <w:shd w:val="clear" w:color="auto" w:fill="DEEAF6" w:themeFill="accent5" w:themeFillTint="33"/>
          </w:tcPr>
          <w:p w14:paraId="6F4C2C4E" w14:textId="77777777" w:rsidR="007E37A8" w:rsidRPr="002E027B" w:rsidRDefault="007E37A8" w:rsidP="00895815">
            <w:pPr>
              <w:jc w:val="center"/>
              <w:rPr>
                <w:rFonts w:ascii="Arial" w:hAnsi="Arial" w:cs="Arial"/>
                <w:sz w:val="18"/>
                <w:szCs w:val="18"/>
              </w:rPr>
            </w:pPr>
          </w:p>
        </w:tc>
        <w:tc>
          <w:tcPr>
            <w:tcW w:w="1275" w:type="dxa"/>
            <w:tcBorders>
              <w:top w:val="nil"/>
              <w:left w:val="single" w:sz="4" w:space="0" w:color="auto"/>
              <w:bottom w:val="nil"/>
              <w:right w:val="single" w:sz="4" w:space="0" w:color="auto"/>
            </w:tcBorders>
            <w:shd w:val="clear" w:color="auto" w:fill="DEEAF6" w:themeFill="accent5" w:themeFillTint="33"/>
          </w:tcPr>
          <w:p w14:paraId="584C9D40" w14:textId="77777777" w:rsidR="007E37A8" w:rsidRPr="002E027B" w:rsidRDefault="007E37A8" w:rsidP="00895815">
            <w:pPr>
              <w:jc w:val="center"/>
              <w:rPr>
                <w:rFonts w:ascii="Arial" w:hAnsi="Arial" w:cs="Arial"/>
                <w:sz w:val="18"/>
                <w:szCs w:val="18"/>
              </w:rPr>
            </w:pPr>
          </w:p>
        </w:tc>
        <w:tc>
          <w:tcPr>
            <w:tcW w:w="1275" w:type="dxa"/>
            <w:vMerge/>
            <w:tcBorders>
              <w:left w:val="single" w:sz="4" w:space="0" w:color="auto"/>
            </w:tcBorders>
            <w:shd w:val="clear" w:color="auto" w:fill="DEEAF6" w:themeFill="accent5" w:themeFillTint="33"/>
            <w:vAlign w:val="center"/>
          </w:tcPr>
          <w:p w14:paraId="0E399644" w14:textId="77777777" w:rsidR="007E37A8" w:rsidRPr="002E027B" w:rsidRDefault="007E37A8" w:rsidP="00895815">
            <w:pPr>
              <w:rPr>
                <w:rFonts w:ascii="Arial" w:hAnsi="Arial" w:cs="Arial"/>
                <w:sz w:val="18"/>
                <w:szCs w:val="18"/>
              </w:rPr>
            </w:pPr>
          </w:p>
        </w:tc>
      </w:tr>
      <w:tr w:rsidR="007E37A8" w14:paraId="432CED94" w14:textId="77777777" w:rsidTr="00895815">
        <w:trPr>
          <w:jc w:val="center"/>
        </w:trPr>
        <w:tc>
          <w:tcPr>
            <w:tcW w:w="1111" w:type="dxa"/>
            <w:vMerge/>
            <w:tcBorders>
              <w:top w:val="single" w:sz="6" w:space="0" w:color="auto"/>
              <w:bottom w:val="single" w:sz="6" w:space="0" w:color="auto"/>
            </w:tcBorders>
            <w:shd w:val="clear" w:color="auto" w:fill="DEEAF6" w:themeFill="accent5" w:themeFillTint="33"/>
            <w:vAlign w:val="center"/>
          </w:tcPr>
          <w:p w14:paraId="71ACEAD2" w14:textId="77777777" w:rsidR="007E37A8" w:rsidRPr="006A4F62" w:rsidRDefault="007E37A8" w:rsidP="00895815">
            <w:pPr>
              <w:jc w:val="center"/>
              <w:rPr>
                <w:rFonts w:ascii="Arial" w:hAnsi="Arial" w:cs="Arial"/>
                <w:b/>
                <w:bCs/>
                <w:color w:val="000000"/>
                <w:sz w:val="18"/>
                <w:szCs w:val="18"/>
              </w:rPr>
            </w:pPr>
          </w:p>
        </w:tc>
        <w:tc>
          <w:tcPr>
            <w:tcW w:w="1319" w:type="dxa"/>
            <w:tcBorders>
              <w:top w:val="nil"/>
              <w:bottom w:val="single" w:sz="4" w:space="0" w:color="auto"/>
              <w:right w:val="nil"/>
            </w:tcBorders>
            <w:shd w:val="clear" w:color="auto" w:fill="DEEAF6" w:themeFill="accent5" w:themeFillTint="33"/>
            <w:vAlign w:val="bottom"/>
          </w:tcPr>
          <w:p w14:paraId="11B9624B" w14:textId="77777777" w:rsidR="007E37A8" w:rsidRPr="00162662" w:rsidRDefault="007E37A8" w:rsidP="00895815">
            <w:pPr>
              <w:rPr>
                <w:rFonts w:ascii="Arial" w:hAnsi="Arial" w:cs="Arial"/>
                <w:sz w:val="18"/>
                <w:szCs w:val="18"/>
              </w:rPr>
            </w:pPr>
          </w:p>
        </w:tc>
        <w:tc>
          <w:tcPr>
            <w:tcW w:w="3217" w:type="dxa"/>
            <w:tcBorders>
              <w:top w:val="nil"/>
              <w:left w:val="nil"/>
              <w:bottom w:val="single" w:sz="4" w:space="0" w:color="auto"/>
            </w:tcBorders>
            <w:shd w:val="clear" w:color="auto" w:fill="DEEAF6" w:themeFill="accent5" w:themeFillTint="33"/>
            <w:vAlign w:val="bottom"/>
          </w:tcPr>
          <w:p w14:paraId="0FFC8F39" w14:textId="77777777" w:rsidR="007E37A8" w:rsidRPr="00162662" w:rsidRDefault="007E37A8" w:rsidP="00895815">
            <w:pPr>
              <w:rPr>
                <w:rFonts w:ascii="Arial" w:hAnsi="Arial" w:cs="Arial"/>
                <w:sz w:val="18"/>
                <w:szCs w:val="18"/>
              </w:rPr>
            </w:pPr>
          </w:p>
        </w:tc>
        <w:tc>
          <w:tcPr>
            <w:tcW w:w="1603" w:type="dxa"/>
            <w:tcBorders>
              <w:top w:val="nil"/>
              <w:bottom w:val="single" w:sz="4" w:space="0" w:color="auto"/>
              <w:right w:val="nil"/>
            </w:tcBorders>
            <w:shd w:val="clear" w:color="auto" w:fill="DEEAF6" w:themeFill="accent5" w:themeFillTint="33"/>
            <w:vAlign w:val="bottom"/>
          </w:tcPr>
          <w:p w14:paraId="670F251E" w14:textId="77777777" w:rsidR="007E37A8" w:rsidRPr="002B05C8" w:rsidRDefault="007E37A8" w:rsidP="00895815">
            <w:pPr>
              <w:rPr>
                <w:rFonts w:ascii="Arial" w:hAnsi="Arial" w:cs="Arial"/>
                <w:b/>
                <w:color w:val="C45911" w:themeColor="accent2" w:themeShade="BF"/>
                <w:sz w:val="18"/>
                <w:szCs w:val="18"/>
              </w:rPr>
            </w:pPr>
            <w:r w:rsidRPr="002B05C8">
              <w:rPr>
                <w:rFonts w:ascii="Arial" w:hAnsi="Arial" w:cs="Arial"/>
                <w:b/>
                <w:color w:val="C45911" w:themeColor="accent2" w:themeShade="BF"/>
                <w:sz w:val="18"/>
                <w:szCs w:val="18"/>
              </w:rPr>
              <w:t>BCL2</w:t>
            </w:r>
          </w:p>
        </w:tc>
        <w:tc>
          <w:tcPr>
            <w:tcW w:w="3358" w:type="dxa"/>
            <w:tcBorders>
              <w:top w:val="nil"/>
              <w:left w:val="nil"/>
              <w:bottom w:val="single" w:sz="4" w:space="0" w:color="auto"/>
            </w:tcBorders>
            <w:shd w:val="clear" w:color="auto" w:fill="DEEAF6" w:themeFill="accent5" w:themeFillTint="33"/>
            <w:vAlign w:val="bottom"/>
          </w:tcPr>
          <w:p w14:paraId="4B0FDE91" w14:textId="77777777" w:rsidR="007E37A8" w:rsidRPr="002B05C8" w:rsidRDefault="007E37A8" w:rsidP="00895815">
            <w:pPr>
              <w:rPr>
                <w:rFonts w:ascii="Arial" w:hAnsi="Arial" w:cs="Arial"/>
                <w:b/>
                <w:color w:val="C45911" w:themeColor="accent2" w:themeShade="BF"/>
                <w:sz w:val="18"/>
                <w:szCs w:val="18"/>
              </w:rPr>
            </w:pPr>
            <w:r w:rsidRPr="002B05C8">
              <w:rPr>
                <w:rFonts w:ascii="Arial" w:hAnsi="Arial" w:cs="Arial"/>
                <w:b/>
                <w:color w:val="C45911" w:themeColor="accent2" w:themeShade="BF"/>
                <w:sz w:val="18"/>
                <w:szCs w:val="18"/>
              </w:rPr>
              <w:t>c.302G&gt;T, p.(Gly101Val)</w:t>
            </w:r>
            <w:r w:rsidRPr="001375B0">
              <w:rPr>
                <w:rFonts w:ascii="Arial" w:hAnsi="Arial" w:cs="Arial"/>
                <w:color w:val="C45911" w:themeColor="accent2" w:themeShade="BF"/>
                <w:sz w:val="18"/>
                <w:szCs w:val="18"/>
                <w:vertAlign w:val="superscript"/>
              </w:rPr>
              <w:t xml:space="preserve"> b</w:t>
            </w:r>
          </w:p>
        </w:tc>
        <w:tc>
          <w:tcPr>
            <w:tcW w:w="1461" w:type="dxa"/>
            <w:tcBorders>
              <w:top w:val="nil"/>
              <w:left w:val="nil"/>
              <w:bottom w:val="single" w:sz="4" w:space="0" w:color="auto"/>
              <w:right w:val="single" w:sz="4" w:space="0" w:color="auto"/>
            </w:tcBorders>
            <w:shd w:val="clear" w:color="auto" w:fill="DEEAF6" w:themeFill="accent5" w:themeFillTint="33"/>
          </w:tcPr>
          <w:p w14:paraId="3ADA4561" w14:textId="77777777" w:rsidR="007E37A8" w:rsidRPr="002B05C8" w:rsidRDefault="007E37A8" w:rsidP="00895815">
            <w:pPr>
              <w:jc w:val="center"/>
              <w:rPr>
                <w:rFonts w:ascii="Arial" w:hAnsi="Arial" w:cs="Arial"/>
                <w:b/>
                <w:color w:val="C45911" w:themeColor="accent2" w:themeShade="BF"/>
                <w:sz w:val="18"/>
                <w:szCs w:val="18"/>
              </w:rPr>
            </w:pPr>
            <w:r w:rsidRPr="002B05C8">
              <w:rPr>
                <w:rFonts w:ascii="Arial" w:hAnsi="Arial" w:cs="Arial"/>
                <w:b/>
                <w:color w:val="C45911" w:themeColor="accent2" w:themeShade="BF"/>
                <w:sz w:val="18"/>
                <w:szCs w:val="18"/>
              </w:rPr>
              <w:t>0.</w:t>
            </w:r>
            <w:r>
              <w:rPr>
                <w:rFonts w:ascii="Arial" w:hAnsi="Arial" w:cs="Arial"/>
                <w:b/>
                <w:color w:val="C45911" w:themeColor="accent2" w:themeShade="BF"/>
                <w:sz w:val="18"/>
                <w:szCs w:val="18"/>
              </w:rPr>
              <w:t>9</w:t>
            </w:r>
            <w:r w:rsidRPr="002B05C8">
              <w:rPr>
                <w:rFonts w:ascii="Arial" w:hAnsi="Arial" w:cs="Arial"/>
                <w:b/>
                <w:color w:val="C45911" w:themeColor="accent2" w:themeShade="BF"/>
                <w:sz w:val="18"/>
                <w:szCs w:val="18"/>
              </w:rPr>
              <w:t>%</w:t>
            </w:r>
          </w:p>
        </w:tc>
        <w:tc>
          <w:tcPr>
            <w:tcW w:w="1275" w:type="dxa"/>
            <w:tcBorders>
              <w:top w:val="nil"/>
              <w:left w:val="single" w:sz="4" w:space="0" w:color="auto"/>
              <w:bottom w:val="single" w:sz="4" w:space="0" w:color="auto"/>
              <w:right w:val="single" w:sz="4" w:space="0" w:color="auto"/>
            </w:tcBorders>
            <w:shd w:val="clear" w:color="auto" w:fill="DEEAF6" w:themeFill="accent5" w:themeFillTint="33"/>
          </w:tcPr>
          <w:p w14:paraId="62A478DF" w14:textId="77777777" w:rsidR="007E37A8" w:rsidRPr="002E027B" w:rsidRDefault="007E37A8" w:rsidP="00895815">
            <w:pPr>
              <w:jc w:val="center"/>
              <w:rPr>
                <w:rFonts w:ascii="Arial" w:hAnsi="Arial" w:cs="Arial"/>
                <w:sz w:val="18"/>
                <w:szCs w:val="18"/>
              </w:rPr>
            </w:pPr>
            <w:r>
              <w:rPr>
                <w:rFonts w:ascii="Arial" w:hAnsi="Arial" w:cs="Arial"/>
                <w:b/>
                <w:color w:val="C45911" w:themeColor="accent2" w:themeShade="BF"/>
                <w:sz w:val="18"/>
                <w:szCs w:val="18"/>
              </w:rPr>
              <w:t>60</w:t>
            </w:r>
            <w:r w:rsidRPr="00254E66">
              <w:rPr>
                <w:rFonts w:ascii="Arial" w:hAnsi="Arial" w:cs="Arial"/>
                <w:b/>
                <w:color w:val="C45911" w:themeColor="accent2" w:themeShade="BF"/>
                <w:sz w:val="18"/>
                <w:szCs w:val="18"/>
              </w:rPr>
              <w:t>%</w:t>
            </w:r>
            <w:r w:rsidRPr="00D54F06">
              <w:rPr>
                <w:rFonts w:ascii="Arial" w:hAnsi="Arial" w:cs="Arial"/>
                <w:color w:val="C45911" w:themeColor="accent2" w:themeShade="BF"/>
                <w:sz w:val="18"/>
                <w:szCs w:val="18"/>
                <w:vertAlign w:val="superscript"/>
              </w:rPr>
              <w:t>e</w:t>
            </w:r>
          </w:p>
        </w:tc>
        <w:tc>
          <w:tcPr>
            <w:tcW w:w="1275" w:type="dxa"/>
            <w:vMerge/>
            <w:tcBorders>
              <w:left w:val="single" w:sz="4" w:space="0" w:color="auto"/>
              <w:bottom w:val="single" w:sz="4" w:space="0" w:color="auto"/>
            </w:tcBorders>
            <w:shd w:val="clear" w:color="auto" w:fill="DEEAF6" w:themeFill="accent5" w:themeFillTint="33"/>
            <w:vAlign w:val="center"/>
          </w:tcPr>
          <w:p w14:paraId="5ABDECA9" w14:textId="77777777" w:rsidR="007E37A8" w:rsidRPr="002E027B" w:rsidRDefault="007E37A8" w:rsidP="00895815">
            <w:pPr>
              <w:rPr>
                <w:rFonts w:ascii="Arial" w:hAnsi="Arial" w:cs="Arial"/>
                <w:sz w:val="18"/>
                <w:szCs w:val="18"/>
              </w:rPr>
            </w:pPr>
          </w:p>
        </w:tc>
      </w:tr>
      <w:tr w:rsidR="007E37A8" w14:paraId="13E82AA0" w14:textId="77777777" w:rsidTr="00895815">
        <w:trPr>
          <w:jc w:val="center"/>
        </w:trPr>
        <w:tc>
          <w:tcPr>
            <w:tcW w:w="1111" w:type="dxa"/>
            <w:tcBorders>
              <w:top w:val="single" w:sz="6" w:space="0" w:color="auto"/>
              <w:bottom w:val="single" w:sz="6" w:space="0" w:color="auto"/>
            </w:tcBorders>
            <w:shd w:val="clear" w:color="auto" w:fill="F2F2F2" w:themeFill="background1" w:themeFillShade="F2"/>
            <w:vAlign w:val="center"/>
          </w:tcPr>
          <w:p w14:paraId="2DA32CF8"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lastRenderedPageBreak/>
              <w:t>CLL13</w:t>
            </w:r>
          </w:p>
        </w:tc>
        <w:tc>
          <w:tcPr>
            <w:tcW w:w="1319" w:type="dxa"/>
            <w:tcBorders>
              <w:bottom w:val="single" w:sz="4" w:space="0" w:color="auto"/>
              <w:right w:val="nil"/>
            </w:tcBorders>
            <w:vAlign w:val="bottom"/>
          </w:tcPr>
          <w:p w14:paraId="6800F6A4" w14:textId="77777777" w:rsidR="007E37A8" w:rsidRPr="00162662" w:rsidRDefault="007E37A8" w:rsidP="00895815">
            <w:pPr>
              <w:rPr>
                <w:rFonts w:ascii="Arial" w:hAnsi="Arial" w:cs="Arial"/>
                <w:sz w:val="18"/>
                <w:szCs w:val="18"/>
              </w:rPr>
            </w:pPr>
            <w:r w:rsidRPr="00162662">
              <w:rPr>
                <w:rFonts w:ascii="Arial" w:hAnsi="Arial" w:cs="Arial"/>
                <w:sz w:val="18"/>
                <w:szCs w:val="18"/>
              </w:rPr>
              <w:t>TP53</w:t>
            </w:r>
          </w:p>
        </w:tc>
        <w:tc>
          <w:tcPr>
            <w:tcW w:w="3217" w:type="dxa"/>
            <w:tcBorders>
              <w:left w:val="nil"/>
              <w:bottom w:val="single" w:sz="4" w:space="0" w:color="auto"/>
            </w:tcBorders>
            <w:vAlign w:val="bottom"/>
          </w:tcPr>
          <w:p w14:paraId="0802D589" w14:textId="77777777" w:rsidR="007E37A8" w:rsidRPr="00162662" w:rsidRDefault="007E37A8" w:rsidP="00895815">
            <w:pPr>
              <w:rPr>
                <w:rFonts w:ascii="Arial" w:hAnsi="Arial" w:cs="Arial"/>
                <w:sz w:val="18"/>
                <w:szCs w:val="18"/>
              </w:rPr>
            </w:pPr>
            <w:r w:rsidRPr="00162662">
              <w:rPr>
                <w:rFonts w:ascii="Arial" w:hAnsi="Arial" w:cs="Arial"/>
                <w:sz w:val="18"/>
                <w:szCs w:val="18"/>
              </w:rPr>
              <w:t>c.476C&gt;A, p.(Ala159Asp)</w:t>
            </w:r>
          </w:p>
        </w:tc>
        <w:tc>
          <w:tcPr>
            <w:tcW w:w="1603" w:type="dxa"/>
            <w:tcBorders>
              <w:bottom w:val="single" w:sz="4" w:space="0" w:color="auto"/>
              <w:right w:val="nil"/>
            </w:tcBorders>
            <w:vAlign w:val="bottom"/>
          </w:tcPr>
          <w:p w14:paraId="6FC6A815" w14:textId="77777777" w:rsidR="007E37A8" w:rsidRPr="00A6679D" w:rsidRDefault="007E37A8" w:rsidP="00895815">
            <w:pPr>
              <w:rPr>
                <w:rFonts w:ascii="Arial" w:hAnsi="Arial" w:cs="Arial"/>
                <w:sz w:val="18"/>
                <w:szCs w:val="18"/>
              </w:rPr>
            </w:pPr>
            <w:r w:rsidRPr="00A6679D">
              <w:rPr>
                <w:rFonts w:ascii="Arial" w:hAnsi="Arial" w:cs="Arial"/>
                <w:sz w:val="18"/>
                <w:szCs w:val="18"/>
              </w:rPr>
              <w:t>TP53</w:t>
            </w:r>
          </w:p>
        </w:tc>
        <w:tc>
          <w:tcPr>
            <w:tcW w:w="3358" w:type="dxa"/>
            <w:tcBorders>
              <w:left w:val="nil"/>
              <w:bottom w:val="single" w:sz="4" w:space="0" w:color="auto"/>
            </w:tcBorders>
            <w:vAlign w:val="bottom"/>
          </w:tcPr>
          <w:p w14:paraId="332B1A20" w14:textId="77777777" w:rsidR="007E37A8" w:rsidRPr="00A6679D" w:rsidRDefault="007E37A8" w:rsidP="00895815">
            <w:pPr>
              <w:rPr>
                <w:rFonts w:ascii="Arial" w:hAnsi="Arial" w:cs="Arial"/>
                <w:sz w:val="18"/>
                <w:szCs w:val="18"/>
              </w:rPr>
            </w:pPr>
            <w:r w:rsidRPr="00A6679D">
              <w:rPr>
                <w:rFonts w:ascii="Arial" w:hAnsi="Arial" w:cs="Arial"/>
                <w:sz w:val="18"/>
                <w:szCs w:val="18"/>
              </w:rPr>
              <w:t>c.476C&gt;A, p.(Ala159Asp)</w:t>
            </w:r>
          </w:p>
        </w:tc>
        <w:tc>
          <w:tcPr>
            <w:tcW w:w="1461" w:type="dxa"/>
            <w:tcBorders>
              <w:left w:val="nil"/>
              <w:bottom w:val="single" w:sz="4" w:space="0" w:color="auto"/>
              <w:right w:val="single" w:sz="4" w:space="0" w:color="auto"/>
            </w:tcBorders>
          </w:tcPr>
          <w:p w14:paraId="17961811" w14:textId="77777777" w:rsidR="007E37A8" w:rsidRPr="002E027B" w:rsidRDefault="007E37A8" w:rsidP="00895815">
            <w:pPr>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42600DD" w14:textId="77777777" w:rsidR="007E37A8" w:rsidRPr="002E027B" w:rsidRDefault="007E37A8" w:rsidP="00895815">
            <w:pPr>
              <w:jc w:val="center"/>
              <w:rPr>
                <w:rFonts w:ascii="Arial" w:hAnsi="Arial" w:cs="Arial"/>
                <w:sz w:val="18"/>
                <w:szCs w:val="18"/>
              </w:rPr>
            </w:pPr>
          </w:p>
        </w:tc>
        <w:tc>
          <w:tcPr>
            <w:tcW w:w="1275" w:type="dxa"/>
            <w:tcBorders>
              <w:left w:val="single" w:sz="4" w:space="0" w:color="auto"/>
              <w:bottom w:val="single" w:sz="4" w:space="0" w:color="auto"/>
            </w:tcBorders>
            <w:vAlign w:val="center"/>
          </w:tcPr>
          <w:p w14:paraId="70FC236E" w14:textId="77777777" w:rsidR="007E37A8" w:rsidRPr="002E027B" w:rsidRDefault="007E37A8" w:rsidP="00895815">
            <w:pPr>
              <w:rPr>
                <w:rFonts w:ascii="Arial" w:hAnsi="Arial" w:cs="Arial"/>
                <w:sz w:val="18"/>
                <w:szCs w:val="18"/>
              </w:rPr>
            </w:pPr>
            <w:r w:rsidRPr="002E027B">
              <w:rPr>
                <w:rFonts w:ascii="Arial" w:hAnsi="Arial" w:cs="Arial"/>
                <w:sz w:val="18"/>
                <w:szCs w:val="18"/>
              </w:rPr>
              <w:t>Unmutated</w:t>
            </w:r>
          </w:p>
        </w:tc>
      </w:tr>
      <w:tr w:rsidR="007E37A8" w14:paraId="0E870817" w14:textId="77777777" w:rsidTr="00895815">
        <w:trPr>
          <w:jc w:val="center"/>
        </w:trPr>
        <w:tc>
          <w:tcPr>
            <w:tcW w:w="1111" w:type="dxa"/>
            <w:tcBorders>
              <w:top w:val="single" w:sz="6" w:space="0" w:color="auto"/>
              <w:bottom w:val="single" w:sz="6" w:space="0" w:color="auto"/>
            </w:tcBorders>
            <w:shd w:val="clear" w:color="auto" w:fill="DEEAF6" w:themeFill="accent5" w:themeFillTint="33"/>
            <w:vAlign w:val="center"/>
          </w:tcPr>
          <w:p w14:paraId="4CB7F2BF"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t>CLL14</w:t>
            </w:r>
          </w:p>
        </w:tc>
        <w:tc>
          <w:tcPr>
            <w:tcW w:w="1319" w:type="dxa"/>
            <w:tcBorders>
              <w:bottom w:val="single" w:sz="4" w:space="0" w:color="auto"/>
              <w:right w:val="nil"/>
            </w:tcBorders>
            <w:shd w:val="clear" w:color="auto" w:fill="DEEAF6" w:themeFill="accent5" w:themeFillTint="33"/>
          </w:tcPr>
          <w:p w14:paraId="47E8732F" w14:textId="77777777" w:rsidR="007E37A8" w:rsidRPr="00162662" w:rsidRDefault="007E37A8" w:rsidP="00895815">
            <w:pPr>
              <w:rPr>
                <w:rFonts w:ascii="Arial" w:hAnsi="Arial" w:cs="Arial"/>
                <w:sz w:val="18"/>
                <w:szCs w:val="18"/>
              </w:rPr>
            </w:pPr>
            <w:r w:rsidRPr="00162662">
              <w:rPr>
                <w:rFonts w:ascii="Arial" w:hAnsi="Arial" w:cs="Arial"/>
                <w:sz w:val="18"/>
                <w:szCs w:val="18"/>
              </w:rPr>
              <w:t>Nil</w:t>
            </w:r>
          </w:p>
        </w:tc>
        <w:tc>
          <w:tcPr>
            <w:tcW w:w="3217" w:type="dxa"/>
            <w:tcBorders>
              <w:left w:val="nil"/>
              <w:bottom w:val="single" w:sz="4" w:space="0" w:color="auto"/>
            </w:tcBorders>
            <w:shd w:val="clear" w:color="auto" w:fill="DEEAF6" w:themeFill="accent5" w:themeFillTint="33"/>
          </w:tcPr>
          <w:p w14:paraId="3B97BE32" w14:textId="77777777" w:rsidR="007E37A8" w:rsidRPr="00162662" w:rsidRDefault="007E37A8" w:rsidP="00895815">
            <w:pPr>
              <w:rPr>
                <w:rFonts w:ascii="Arial" w:hAnsi="Arial" w:cs="Arial"/>
                <w:sz w:val="18"/>
                <w:szCs w:val="18"/>
              </w:rPr>
            </w:pPr>
          </w:p>
        </w:tc>
        <w:tc>
          <w:tcPr>
            <w:tcW w:w="1603" w:type="dxa"/>
            <w:tcBorders>
              <w:bottom w:val="single" w:sz="4" w:space="0" w:color="auto"/>
              <w:right w:val="nil"/>
            </w:tcBorders>
            <w:shd w:val="clear" w:color="auto" w:fill="DEEAF6" w:themeFill="accent5" w:themeFillTint="33"/>
            <w:vAlign w:val="bottom"/>
          </w:tcPr>
          <w:p w14:paraId="47686220" w14:textId="77777777" w:rsidR="007E37A8" w:rsidRDefault="007E37A8" w:rsidP="00895815">
            <w:pPr>
              <w:rPr>
                <w:rFonts w:ascii="Arial" w:hAnsi="Arial" w:cs="Arial"/>
                <w:b/>
                <w:color w:val="C45911" w:themeColor="accent2" w:themeShade="BF"/>
                <w:sz w:val="18"/>
                <w:szCs w:val="18"/>
              </w:rPr>
            </w:pPr>
          </w:p>
          <w:p w14:paraId="0A8936ED" w14:textId="77777777" w:rsidR="007E37A8" w:rsidRPr="002B05C8" w:rsidRDefault="007E37A8" w:rsidP="00895815">
            <w:pPr>
              <w:rPr>
                <w:rFonts w:ascii="Arial" w:hAnsi="Arial" w:cs="Arial"/>
                <w:b/>
                <w:color w:val="C45911" w:themeColor="accent2" w:themeShade="BF"/>
                <w:sz w:val="18"/>
                <w:szCs w:val="18"/>
              </w:rPr>
            </w:pPr>
            <w:r w:rsidRPr="002B05C8">
              <w:rPr>
                <w:rFonts w:ascii="Arial" w:hAnsi="Arial" w:cs="Arial"/>
                <w:b/>
                <w:color w:val="C45911" w:themeColor="accent2" w:themeShade="BF"/>
                <w:sz w:val="18"/>
                <w:szCs w:val="18"/>
              </w:rPr>
              <w:t>BCL2</w:t>
            </w:r>
          </w:p>
        </w:tc>
        <w:tc>
          <w:tcPr>
            <w:tcW w:w="3358" w:type="dxa"/>
            <w:tcBorders>
              <w:left w:val="nil"/>
              <w:bottom w:val="single" w:sz="4" w:space="0" w:color="auto"/>
            </w:tcBorders>
            <w:shd w:val="clear" w:color="auto" w:fill="DEEAF6" w:themeFill="accent5" w:themeFillTint="33"/>
            <w:vAlign w:val="bottom"/>
          </w:tcPr>
          <w:p w14:paraId="4D0CD8A5" w14:textId="77777777" w:rsidR="007E37A8" w:rsidRPr="002B05C8" w:rsidRDefault="007E37A8" w:rsidP="00895815">
            <w:pPr>
              <w:rPr>
                <w:rFonts w:ascii="Arial" w:hAnsi="Arial" w:cs="Arial"/>
                <w:b/>
                <w:color w:val="C45911" w:themeColor="accent2" w:themeShade="BF"/>
                <w:sz w:val="18"/>
                <w:szCs w:val="18"/>
              </w:rPr>
            </w:pPr>
            <w:r w:rsidRPr="002B05C8">
              <w:rPr>
                <w:rFonts w:ascii="Arial" w:hAnsi="Arial" w:cs="Arial"/>
                <w:b/>
                <w:color w:val="C45911" w:themeColor="accent2" w:themeShade="BF"/>
                <w:sz w:val="18"/>
                <w:szCs w:val="18"/>
              </w:rPr>
              <w:t>c.302G&gt;T, p.(Gly101Val)</w:t>
            </w:r>
            <w:r w:rsidRPr="00D54F06">
              <w:rPr>
                <w:rFonts w:ascii="Arial" w:hAnsi="Arial" w:cs="Arial"/>
                <w:color w:val="C45911" w:themeColor="accent2" w:themeShade="BF"/>
                <w:sz w:val="18"/>
                <w:szCs w:val="18"/>
                <w:vertAlign w:val="superscript"/>
              </w:rPr>
              <w:t>c</w:t>
            </w:r>
          </w:p>
        </w:tc>
        <w:tc>
          <w:tcPr>
            <w:tcW w:w="1461" w:type="dxa"/>
            <w:tcBorders>
              <w:left w:val="nil"/>
              <w:bottom w:val="single" w:sz="4" w:space="0" w:color="auto"/>
              <w:right w:val="single" w:sz="4" w:space="0" w:color="auto"/>
            </w:tcBorders>
            <w:shd w:val="clear" w:color="auto" w:fill="DEEAF6" w:themeFill="accent5" w:themeFillTint="33"/>
          </w:tcPr>
          <w:p w14:paraId="00E014C7" w14:textId="77777777" w:rsidR="007E37A8" w:rsidRDefault="007E37A8" w:rsidP="00895815">
            <w:pPr>
              <w:jc w:val="center"/>
              <w:rPr>
                <w:rFonts w:ascii="Arial" w:hAnsi="Arial" w:cs="Arial"/>
                <w:b/>
                <w:color w:val="C45911" w:themeColor="accent2" w:themeShade="BF"/>
                <w:sz w:val="18"/>
                <w:szCs w:val="18"/>
              </w:rPr>
            </w:pPr>
          </w:p>
          <w:p w14:paraId="2F89B9CF" w14:textId="77777777" w:rsidR="007E37A8" w:rsidRPr="002B05C8" w:rsidRDefault="007E37A8" w:rsidP="00895815">
            <w:pPr>
              <w:jc w:val="center"/>
              <w:rPr>
                <w:rFonts w:ascii="Arial" w:hAnsi="Arial" w:cs="Arial"/>
                <w:b/>
                <w:color w:val="C45911" w:themeColor="accent2" w:themeShade="BF"/>
                <w:sz w:val="18"/>
                <w:szCs w:val="18"/>
              </w:rPr>
            </w:pPr>
            <w:r w:rsidRPr="002B05C8">
              <w:rPr>
                <w:rFonts w:ascii="Arial" w:hAnsi="Arial" w:cs="Arial"/>
                <w:b/>
                <w:color w:val="C45911" w:themeColor="accent2" w:themeShade="BF"/>
                <w:sz w:val="18"/>
                <w:szCs w:val="18"/>
              </w:rPr>
              <w:t>0.07%</w:t>
            </w:r>
          </w:p>
        </w:tc>
        <w:tc>
          <w:tcPr>
            <w:tcW w:w="1275" w:type="dxa"/>
            <w:tcBorders>
              <w:left w:val="single" w:sz="4" w:space="0" w:color="auto"/>
              <w:bottom w:val="single" w:sz="4" w:space="0" w:color="auto"/>
              <w:right w:val="single" w:sz="4" w:space="0" w:color="auto"/>
            </w:tcBorders>
            <w:shd w:val="clear" w:color="auto" w:fill="DEEAF6" w:themeFill="accent5" w:themeFillTint="33"/>
          </w:tcPr>
          <w:p w14:paraId="51AA17C9" w14:textId="77777777" w:rsidR="007E37A8" w:rsidRDefault="007E37A8" w:rsidP="00895815">
            <w:pPr>
              <w:jc w:val="center"/>
              <w:rPr>
                <w:rFonts w:ascii="Arial" w:hAnsi="Arial" w:cs="Arial"/>
                <w:b/>
                <w:color w:val="C45911" w:themeColor="accent2" w:themeShade="BF"/>
                <w:sz w:val="18"/>
                <w:szCs w:val="18"/>
              </w:rPr>
            </w:pPr>
          </w:p>
          <w:p w14:paraId="055F5A58" w14:textId="77777777" w:rsidR="007E37A8" w:rsidRPr="007120FF" w:rsidRDefault="007E37A8" w:rsidP="00895815">
            <w:pPr>
              <w:jc w:val="center"/>
              <w:rPr>
                <w:rFonts w:ascii="Arial" w:hAnsi="Arial" w:cs="Arial"/>
                <w:sz w:val="18"/>
                <w:szCs w:val="18"/>
              </w:rPr>
            </w:pPr>
            <w:r>
              <w:rPr>
                <w:rFonts w:ascii="Arial" w:hAnsi="Arial" w:cs="Arial"/>
                <w:b/>
                <w:color w:val="C45911" w:themeColor="accent2" w:themeShade="BF"/>
                <w:sz w:val="18"/>
                <w:szCs w:val="18"/>
              </w:rPr>
              <w:t>4.3</w:t>
            </w:r>
            <w:r w:rsidRPr="00254E66">
              <w:rPr>
                <w:rFonts w:ascii="Arial" w:hAnsi="Arial" w:cs="Arial"/>
                <w:b/>
                <w:color w:val="C45911" w:themeColor="accent2" w:themeShade="BF"/>
                <w:sz w:val="18"/>
                <w:szCs w:val="18"/>
              </w:rPr>
              <w:t>%</w:t>
            </w:r>
          </w:p>
        </w:tc>
        <w:tc>
          <w:tcPr>
            <w:tcW w:w="1275" w:type="dxa"/>
            <w:tcBorders>
              <w:left w:val="single" w:sz="4" w:space="0" w:color="auto"/>
              <w:bottom w:val="single" w:sz="4" w:space="0" w:color="auto"/>
            </w:tcBorders>
            <w:shd w:val="clear" w:color="auto" w:fill="DEEAF6" w:themeFill="accent5" w:themeFillTint="33"/>
            <w:vAlign w:val="center"/>
          </w:tcPr>
          <w:p w14:paraId="36199572" w14:textId="77777777" w:rsidR="007E37A8" w:rsidRPr="007120FF" w:rsidRDefault="007E37A8" w:rsidP="00895815">
            <w:pPr>
              <w:rPr>
                <w:rFonts w:ascii="Arial" w:hAnsi="Arial" w:cs="Arial"/>
                <w:sz w:val="18"/>
                <w:szCs w:val="18"/>
              </w:rPr>
            </w:pPr>
            <w:r w:rsidRPr="007120FF">
              <w:rPr>
                <w:rFonts w:ascii="Arial" w:hAnsi="Arial" w:cs="Arial"/>
                <w:sz w:val="18"/>
                <w:szCs w:val="18"/>
              </w:rPr>
              <w:t>Mutated</w:t>
            </w:r>
          </w:p>
        </w:tc>
      </w:tr>
      <w:tr w:rsidR="007E37A8" w14:paraId="0FACCC99" w14:textId="77777777" w:rsidTr="00895815">
        <w:trPr>
          <w:jc w:val="center"/>
        </w:trPr>
        <w:tc>
          <w:tcPr>
            <w:tcW w:w="1111" w:type="dxa"/>
            <w:tcBorders>
              <w:top w:val="single" w:sz="6" w:space="0" w:color="auto"/>
              <w:bottom w:val="single" w:sz="6" w:space="0" w:color="auto"/>
            </w:tcBorders>
            <w:shd w:val="clear" w:color="auto" w:fill="F2F2F2" w:themeFill="background1" w:themeFillShade="F2"/>
            <w:vAlign w:val="center"/>
          </w:tcPr>
          <w:p w14:paraId="6D4E0D61" w14:textId="77777777" w:rsidR="007E37A8" w:rsidRPr="006A4F62" w:rsidRDefault="007E37A8" w:rsidP="00895815">
            <w:pPr>
              <w:jc w:val="center"/>
              <w:rPr>
                <w:rFonts w:ascii="Arial" w:hAnsi="Arial" w:cs="Arial"/>
                <w:b/>
                <w:bCs/>
                <w:color w:val="000000"/>
                <w:sz w:val="18"/>
                <w:szCs w:val="18"/>
              </w:rPr>
            </w:pPr>
            <w:r w:rsidRPr="006A4F62">
              <w:rPr>
                <w:rFonts w:ascii="Arial" w:hAnsi="Arial" w:cs="Arial"/>
                <w:b/>
                <w:bCs/>
                <w:color w:val="000000"/>
                <w:sz w:val="18"/>
                <w:szCs w:val="18"/>
              </w:rPr>
              <w:t>CLL15</w:t>
            </w:r>
            <w:r>
              <w:rPr>
                <w:rFonts w:ascii="Arial" w:hAnsi="Arial" w:cs="Arial"/>
                <w:b/>
                <w:bCs/>
                <w:color w:val="000000"/>
                <w:sz w:val="18"/>
                <w:szCs w:val="18"/>
              </w:rPr>
              <w:t xml:space="preserve"> </w:t>
            </w:r>
          </w:p>
        </w:tc>
        <w:tc>
          <w:tcPr>
            <w:tcW w:w="1319" w:type="dxa"/>
            <w:tcBorders>
              <w:right w:val="nil"/>
            </w:tcBorders>
            <w:vAlign w:val="bottom"/>
          </w:tcPr>
          <w:p w14:paraId="666436D3" w14:textId="77777777" w:rsidR="007E37A8" w:rsidRPr="00A6679D" w:rsidRDefault="007E37A8" w:rsidP="00895815">
            <w:pPr>
              <w:rPr>
                <w:rFonts w:ascii="Arial" w:hAnsi="Arial" w:cs="Arial"/>
                <w:sz w:val="18"/>
                <w:szCs w:val="18"/>
              </w:rPr>
            </w:pPr>
            <w:r w:rsidRPr="00A6679D">
              <w:rPr>
                <w:rFonts w:ascii="Arial" w:hAnsi="Arial" w:cs="Arial"/>
                <w:sz w:val="18"/>
                <w:szCs w:val="18"/>
              </w:rPr>
              <w:t>TP53</w:t>
            </w:r>
          </w:p>
        </w:tc>
        <w:tc>
          <w:tcPr>
            <w:tcW w:w="3217" w:type="dxa"/>
            <w:tcBorders>
              <w:left w:val="nil"/>
            </w:tcBorders>
            <w:vAlign w:val="bottom"/>
          </w:tcPr>
          <w:p w14:paraId="2D982EC5" w14:textId="77777777" w:rsidR="007E37A8" w:rsidRPr="00A6679D" w:rsidRDefault="007E37A8" w:rsidP="00895815">
            <w:pPr>
              <w:rPr>
                <w:rFonts w:ascii="Arial" w:hAnsi="Arial" w:cs="Arial"/>
                <w:sz w:val="18"/>
                <w:szCs w:val="18"/>
              </w:rPr>
            </w:pPr>
            <w:r w:rsidRPr="00A6679D">
              <w:rPr>
                <w:rFonts w:ascii="Arial" w:hAnsi="Arial" w:cs="Arial"/>
                <w:sz w:val="18"/>
                <w:szCs w:val="18"/>
              </w:rPr>
              <w:t>c.469G&gt;T, p.(Val157Phe)</w:t>
            </w:r>
          </w:p>
        </w:tc>
        <w:tc>
          <w:tcPr>
            <w:tcW w:w="1603" w:type="dxa"/>
            <w:tcBorders>
              <w:right w:val="nil"/>
            </w:tcBorders>
            <w:vAlign w:val="bottom"/>
          </w:tcPr>
          <w:p w14:paraId="4247078B" w14:textId="77777777" w:rsidR="007E37A8" w:rsidRPr="00A6679D" w:rsidRDefault="007E37A8" w:rsidP="00895815">
            <w:pPr>
              <w:rPr>
                <w:rFonts w:ascii="Arial" w:hAnsi="Arial" w:cs="Arial"/>
                <w:sz w:val="18"/>
                <w:szCs w:val="18"/>
              </w:rPr>
            </w:pPr>
            <w:r w:rsidRPr="00A6679D">
              <w:rPr>
                <w:rFonts w:ascii="Arial" w:hAnsi="Arial" w:cs="Arial"/>
                <w:sz w:val="18"/>
                <w:szCs w:val="18"/>
              </w:rPr>
              <w:t>TP53</w:t>
            </w:r>
          </w:p>
        </w:tc>
        <w:tc>
          <w:tcPr>
            <w:tcW w:w="3358" w:type="dxa"/>
            <w:tcBorders>
              <w:left w:val="nil"/>
            </w:tcBorders>
            <w:vAlign w:val="bottom"/>
          </w:tcPr>
          <w:p w14:paraId="39F94061" w14:textId="77777777" w:rsidR="007E37A8" w:rsidRPr="00A6679D" w:rsidRDefault="007E37A8" w:rsidP="00895815">
            <w:pPr>
              <w:rPr>
                <w:rFonts w:ascii="Arial" w:hAnsi="Arial" w:cs="Arial"/>
                <w:sz w:val="18"/>
                <w:szCs w:val="18"/>
              </w:rPr>
            </w:pPr>
            <w:r w:rsidRPr="00A6679D">
              <w:rPr>
                <w:rFonts w:ascii="Arial" w:hAnsi="Arial" w:cs="Arial"/>
                <w:sz w:val="18"/>
                <w:szCs w:val="18"/>
              </w:rPr>
              <w:t>c.469G&gt;T, p.(Val157Phe)</w:t>
            </w:r>
          </w:p>
        </w:tc>
        <w:tc>
          <w:tcPr>
            <w:tcW w:w="1461" w:type="dxa"/>
            <w:tcBorders>
              <w:left w:val="nil"/>
              <w:right w:val="single" w:sz="4" w:space="0" w:color="auto"/>
            </w:tcBorders>
          </w:tcPr>
          <w:p w14:paraId="2A279DC2" w14:textId="77777777" w:rsidR="007E37A8" w:rsidRPr="002E027B" w:rsidRDefault="007E37A8" w:rsidP="00895815">
            <w:pPr>
              <w:jc w:val="center"/>
              <w:rPr>
                <w:rFonts w:ascii="Arial" w:hAnsi="Arial" w:cs="Arial"/>
                <w:sz w:val="18"/>
                <w:szCs w:val="18"/>
              </w:rPr>
            </w:pPr>
          </w:p>
        </w:tc>
        <w:tc>
          <w:tcPr>
            <w:tcW w:w="1275" w:type="dxa"/>
            <w:tcBorders>
              <w:left w:val="single" w:sz="4" w:space="0" w:color="auto"/>
              <w:right w:val="single" w:sz="4" w:space="0" w:color="auto"/>
            </w:tcBorders>
          </w:tcPr>
          <w:p w14:paraId="4CDBF11F" w14:textId="77777777" w:rsidR="007E37A8" w:rsidRPr="002E027B" w:rsidRDefault="007E37A8" w:rsidP="00895815">
            <w:pPr>
              <w:jc w:val="center"/>
              <w:rPr>
                <w:rFonts w:ascii="Arial" w:hAnsi="Arial" w:cs="Arial"/>
                <w:sz w:val="18"/>
                <w:szCs w:val="18"/>
              </w:rPr>
            </w:pPr>
          </w:p>
        </w:tc>
        <w:tc>
          <w:tcPr>
            <w:tcW w:w="1275" w:type="dxa"/>
            <w:tcBorders>
              <w:left w:val="single" w:sz="4" w:space="0" w:color="auto"/>
            </w:tcBorders>
            <w:vAlign w:val="center"/>
          </w:tcPr>
          <w:p w14:paraId="2CBDFD57" w14:textId="77777777" w:rsidR="007E37A8" w:rsidRPr="002E027B" w:rsidRDefault="007E37A8" w:rsidP="00895815">
            <w:pPr>
              <w:rPr>
                <w:rFonts w:ascii="Arial" w:hAnsi="Arial" w:cs="Arial"/>
                <w:sz w:val="18"/>
                <w:szCs w:val="18"/>
              </w:rPr>
            </w:pPr>
            <w:r w:rsidRPr="002E027B">
              <w:rPr>
                <w:rFonts w:ascii="Arial" w:hAnsi="Arial" w:cs="Arial"/>
                <w:sz w:val="18"/>
                <w:szCs w:val="18"/>
              </w:rPr>
              <w:t>Unmutated</w:t>
            </w:r>
          </w:p>
        </w:tc>
      </w:tr>
    </w:tbl>
    <w:p w14:paraId="7331C2D3" w14:textId="77777777" w:rsidR="007E37A8" w:rsidRDefault="007E37A8" w:rsidP="007E37A8"/>
    <w:p w14:paraId="570C1029" w14:textId="77777777" w:rsidR="007E37A8" w:rsidRPr="004E387C" w:rsidRDefault="007E37A8" w:rsidP="007E37A8">
      <w:pPr>
        <w:rPr>
          <w:sz w:val="22"/>
          <w:szCs w:val="22"/>
        </w:rPr>
      </w:pPr>
      <w:r w:rsidRPr="004E387C">
        <w:rPr>
          <w:sz w:val="22"/>
          <w:szCs w:val="22"/>
        </w:rPr>
        <w:t xml:space="preserve">Individual mutations detected in each patient sample are represented by a line; at progression, persisting mutations share the same line as pre-venetoclax listing, while previously undetected mutations have a new line. </w:t>
      </w:r>
      <w:r w:rsidRPr="004E387C">
        <w:rPr>
          <w:sz w:val="22"/>
          <w:szCs w:val="22"/>
          <w:vertAlign w:val="superscript"/>
        </w:rPr>
        <w:t>a</w:t>
      </w:r>
      <w:r w:rsidRPr="004E387C">
        <w:rPr>
          <w:sz w:val="22"/>
          <w:szCs w:val="22"/>
        </w:rPr>
        <w:t xml:space="preserve">Estimated proportion of CLL cells harboring the BCL2 Gly101Val mutation at progression, assuming heterozygosity; calculated by adjusting the measured VAF by the % of CLL cells in the bone marrow determined by flow cytometry. </w:t>
      </w:r>
      <w:r w:rsidRPr="004E387C">
        <w:rPr>
          <w:sz w:val="22"/>
          <w:szCs w:val="22"/>
          <w:vertAlign w:val="superscript"/>
        </w:rPr>
        <w:t>b</w:t>
      </w:r>
      <w:r w:rsidRPr="004E387C">
        <w:rPr>
          <w:sz w:val="22"/>
          <w:szCs w:val="22"/>
        </w:rPr>
        <w:t xml:space="preserve">Detected by amplicon NGS in progression sample. </w:t>
      </w:r>
      <w:r w:rsidRPr="004E387C">
        <w:rPr>
          <w:sz w:val="22"/>
          <w:szCs w:val="22"/>
          <w:vertAlign w:val="superscript"/>
        </w:rPr>
        <w:t>c</w:t>
      </w:r>
      <w:r w:rsidRPr="004E387C">
        <w:rPr>
          <w:sz w:val="22"/>
          <w:szCs w:val="22"/>
        </w:rPr>
        <w:t xml:space="preserve">Detected only by ddPCR in progression sample. </w:t>
      </w:r>
      <w:r w:rsidRPr="004E387C">
        <w:rPr>
          <w:sz w:val="22"/>
          <w:szCs w:val="22"/>
          <w:vertAlign w:val="superscript"/>
        </w:rPr>
        <w:t xml:space="preserve">d </w:t>
      </w:r>
      <w:r w:rsidRPr="004E387C">
        <w:rPr>
          <w:sz w:val="22"/>
          <w:szCs w:val="22"/>
        </w:rPr>
        <w:t xml:space="preserve">For CLL3, the estimated proportion was additionally confirmed using CD19+-selected cells, calculated percentage in brackets; </w:t>
      </w:r>
      <w:r w:rsidRPr="004E387C">
        <w:rPr>
          <w:sz w:val="22"/>
          <w:szCs w:val="22"/>
          <w:vertAlign w:val="superscript"/>
        </w:rPr>
        <w:t>e</w:t>
      </w:r>
      <w:r w:rsidRPr="004E387C">
        <w:rPr>
          <w:sz w:val="22"/>
          <w:szCs w:val="22"/>
        </w:rPr>
        <w:t>Calculated on samples obtained post-progression</w:t>
      </w:r>
    </w:p>
    <w:p w14:paraId="04D4EA50" w14:textId="77777777" w:rsidR="007E37A8" w:rsidRPr="004E387C" w:rsidRDefault="007E37A8" w:rsidP="007E37A8">
      <w:pPr>
        <w:rPr>
          <w:sz w:val="22"/>
          <w:szCs w:val="22"/>
        </w:rPr>
      </w:pPr>
      <w:r w:rsidRPr="004E387C">
        <w:rPr>
          <w:sz w:val="22"/>
          <w:szCs w:val="22"/>
        </w:rPr>
        <w:t>TP53 NM_000546.5, NOTCH1 NM_017617.3, SF3B1 NM_012433.2, BCL2 NM_000633.2, XPO1 NM_003400.3, BIRC3 NM_001165.4, KRAS NM_033360.2</w:t>
      </w:r>
    </w:p>
    <w:p w14:paraId="772DA460" w14:textId="77777777" w:rsidR="007E37A8" w:rsidRPr="004E387C" w:rsidRDefault="007E37A8" w:rsidP="007E37A8">
      <w:pPr>
        <w:rPr>
          <w:sz w:val="22"/>
          <w:szCs w:val="22"/>
        </w:rPr>
      </w:pPr>
    </w:p>
    <w:p w14:paraId="47120291" w14:textId="77777777" w:rsidR="0063050A" w:rsidRDefault="0063050A">
      <w:pPr>
        <w:rPr>
          <w:b/>
          <w:lang w:val="en-AU"/>
        </w:rPr>
        <w:sectPr w:rsidR="0063050A" w:rsidSect="00E0483E">
          <w:footerReference w:type="even" r:id="rId7"/>
          <w:footerReference w:type="default" r:id="rId8"/>
          <w:pgSz w:w="16840" w:h="11900" w:orient="landscape"/>
          <w:pgMar w:top="1191" w:right="1440" w:bottom="1440" w:left="1440" w:header="709" w:footer="709" w:gutter="0"/>
          <w:cols w:space="708"/>
          <w:docGrid w:linePitch="360"/>
        </w:sectPr>
      </w:pPr>
    </w:p>
    <w:p w14:paraId="798A8EE4" w14:textId="5CABD4DD" w:rsidR="000C68F0" w:rsidRPr="00D7791F" w:rsidRDefault="00D7791F">
      <w:pPr>
        <w:rPr>
          <w:b/>
          <w:lang w:val="en-AU"/>
        </w:rPr>
      </w:pPr>
      <w:r w:rsidRPr="00D7791F">
        <w:rPr>
          <w:b/>
          <w:lang w:val="en-AU"/>
        </w:rPr>
        <w:lastRenderedPageBreak/>
        <w:t>Supplementary Figures</w:t>
      </w:r>
    </w:p>
    <w:p w14:paraId="137C810B" w14:textId="77777777" w:rsidR="00D7791F" w:rsidRDefault="00D7791F">
      <w:pPr>
        <w:rPr>
          <w:lang w:val="en-AU"/>
        </w:rPr>
      </w:pPr>
    </w:p>
    <w:p w14:paraId="79158530" w14:textId="77777777" w:rsidR="00D7791F" w:rsidRDefault="00D7791F">
      <w:pPr>
        <w:rPr>
          <w:lang w:val="en-AU"/>
        </w:rPr>
      </w:pPr>
    </w:p>
    <w:p w14:paraId="49A374B4" w14:textId="77777777" w:rsidR="00D7791F" w:rsidRDefault="00D7791F">
      <w:pPr>
        <w:rPr>
          <w:lang w:val="en-AU"/>
        </w:rPr>
      </w:pPr>
    </w:p>
    <w:p w14:paraId="2A6F2FF4" w14:textId="3DF0974F" w:rsidR="00D7791F" w:rsidRDefault="00D7791F">
      <w:pPr>
        <w:rPr>
          <w:lang w:val="en-AU"/>
        </w:rPr>
      </w:pPr>
      <w:r>
        <w:rPr>
          <w:noProof/>
          <w:lang w:val="en-AU" w:eastAsia="en-AU"/>
        </w:rPr>
        <w:drawing>
          <wp:inline distT="0" distB="0" distL="0" distR="0" wp14:anchorId="51E97F2D" wp14:editId="53F3F222">
            <wp:extent cx="5712903" cy="44792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Fig1.tif"/>
                    <pic:cNvPicPr/>
                  </pic:nvPicPr>
                  <pic:blipFill rotWithShape="1">
                    <a:blip r:embed="rId9" cstate="print">
                      <a:extLst>
                        <a:ext uri="{28A0092B-C50C-407E-A947-70E740481C1C}">
                          <a14:useLocalDpi xmlns:a14="http://schemas.microsoft.com/office/drawing/2010/main" val="0"/>
                        </a:ext>
                      </a:extLst>
                    </a:blip>
                    <a:srcRect l="5213" r="3746" b="4641"/>
                    <a:stretch/>
                  </pic:blipFill>
                  <pic:spPr bwMode="auto">
                    <a:xfrm>
                      <a:off x="0" y="0"/>
                      <a:ext cx="5720916" cy="4485573"/>
                    </a:xfrm>
                    <a:prstGeom prst="rect">
                      <a:avLst/>
                    </a:prstGeom>
                    <a:ln>
                      <a:noFill/>
                    </a:ln>
                    <a:extLst>
                      <a:ext uri="{53640926-AAD7-44D8-BBD7-CCE9431645EC}">
                        <a14:shadowObscured xmlns:a14="http://schemas.microsoft.com/office/drawing/2010/main"/>
                      </a:ext>
                    </a:extLst>
                  </pic:spPr>
                </pic:pic>
              </a:graphicData>
            </a:graphic>
          </wp:inline>
        </w:drawing>
      </w:r>
    </w:p>
    <w:p w14:paraId="509CE9D4" w14:textId="77777777" w:rsidR="00D7791F" w:rsidRDefault="00D7791F">
      <w:pPr>
        <w:rPr>
          <w:lang w:val="en-AU"/>
        </w:rPr>
      </w:pPr>
    </w:p>
    <w:p w14:paraId="79F4E6DB" w14:textId="77777777" w:rsidR="00D7791F" w:rsidRDefault="00D7791F">
      <w:pPr>
        <w:rPr>
          <w:lang w:val="en-AU"/>
        </w:rPr>
      </w:pPr>
    </w:p>
    <w:p w14:paraId="032B15CE" w14:textId="77777777" w:rsidR="00D7791F" w:rsidRPr="00D7791F" w:rsidRDefault="00D7791F" w:rsidP="00D7791F">
      <w:pPr>
        <w:spacing w:after="120"/>
        <w:rPr>
          <w:lang w:val="en-AU"/>
        </w:rPr>
      </w:pPr>
      <w:r w:rsidRPr="00D7791F">
        <w:rPr>
          <w:b/>
          <w:bCs/>
          <w:lang w:val="en-US"/>
        </w:rPr>
        <w:t xml:space="preserve">Supplementary Figure 1: </w:t>
      </w:r>
      <w:r w:rsidRPr="00D7791F">
        <w:rPr>
          <w:b/>
          <w:bCs/>
          <w:lang w:val="en-AU"/>
        </w:rPr>
        <w:t xml:space="preserve">The </w:t>
      </w:r>
      <w:r w:rsidRPr="00D7791F">
        <w:rPr>
          <w:b/>
          <w:bCs/>
          <w:i/>
          <w:iCs/>
          <w:lang w:val="en-AU"/>
        </w:rPr>
        <w:t>BCL2</w:t>
      </w:r>
      <w:r w:rsidRPr="00D7791F">
        <w:rPr>
          <w:b/>
          <w:bCs/>
          <w:lang w:val="en-AU"/>
        </w:rPr>
        <w:t xml:space="preserve"> genomic locus is not perturbed, and the Gly101Val mutant transcript is expressed.</w:t>
      </w:r>
    </w:p>
    <w:p w14:paraId="26F03F27" w14:textId="77777777" w:rsidR="00D7791F" w:rsidRPr="00D7791F" w:rsidRDefault="00D7791F" w:rsidP="00D7791F">
      <w:pPr>
        <w:spacing w:after="120"/>
        <w:rPr>
          <w:lang w:val="en-AU"/>
        </w:rPr>
      </w:pPr>
      <w:r w:rsidRPr="00D7791F">
        <w:rPr>
          <w:b/>
          <w:bCs/>
          <w:lang w:val="en-US"/>
        </w:rPr>
        <w:t xml:space="preserve">(A) </w:t>
      </w:r>
      <w:r w:rsidRPr="00D7791F">
        <w:rPr>
          <w:lang w:val="en-US"/>
        </w:rPr>
        <w:t xml:space="preserve">Copy number assessment at the </w:t>
      </w:r>
      <w:r w:rsidRPr="00D7791F">
        <w:rPr>
          <w:i/>
          <w:iCs/>
          <w:lang w:val="en-US"/>
        </w:rPr>
        <w:t xml:space="preserve">BCL2 </w:t>
      </w:r>
      <w:r w:rsidRPr="00D7791F">
        <w:rPr>
          <w:lang w:val="en-US"/>
        </w:rPr>
        <w:t>locus on chromosome 18q from CD19+ selected cells from patient CLL3 demonstrating no evidence of copy number loss or gain.</w:t>
      </w:r>
    </w:p>
    <w:p w14:paraId="69B3814D" w14:textId="77777777" w:rsidR="00D7791F" w:rsidRPr="00D7791F" w:rsidRDefault="00D7791F" w:rsidP="00D7791F">
      <w:pPr>
        <w:rPr>
          <w:lang w:val="en-AU"/>
        </w:rPr>
      </w:pPr>
      <w:r w:rsidRPr="00D7791F">
        <w:rPr>
          <w:b/>
          <w:bCs/>
          <w:lang w:val="en-US"/>
        </w:rPr>
        <w:t>(B)</w:t>
      </w:r>
      <w:r w:rsidRPr="00D7791F">
        <w:rPr>
          <w:lang w:val="en-US"/>
        </w:rPr>
        <w:t xml:space="preserve"> Integrative genomics viewer (IGV) output (ver 2.3.55(72)) of RNA-sequencing data from CD19+ selected cells from patient CLL3 demonstrating expression of the </w:t>
      </w:r>
      <w:r w:rsidRPr="00D7791F">
        <w:rPr>
          <w:i/>
          <w:iCs/>
          <w:lang w:val="en-US"/>
        </w:rPr>
        <w:t xml:space="preserve">BCL2 </w:t>
      </w:r>
      <w:r w:rsidRPr="00D7791F">
        <w:rPr>
          <w:lang w:val="en-US"/>
        </w:rPr>
        <w:t>NM_000633.2:c.302G&gt;T; p.(Gly101Val) mutation</w:t>
      </w:r>
    </w:p>
    <w:p w14:paraId="43495B57" w14:textId="77777777" w:rsidR="00D7791F" w:rsidRDefault="00D7791F">
      <w:pPr>
        <w:rPr>
          <w:lang w:val="en-AU"/>
        </w:rPr>
      </w:pPr>
    </w:p>
    <w:p w14:paraId="1EC0F762" w14:textId="77777777" w:rsidR="00D7791F" w:rsidRDefault="00D7791F">
      <w:pPr>
        <w:rPr>
          <w:lang w:val="en-AU"/>
        </w:rPr>
      </w:pPr>
    </w:p>
    <w:p w14:paraId="78F12471" w14:textId="77777777" w:rsidR="00884F83" w:rsidRDefault="00884F83">
      <w:pPr>
        <w:rPr>
          <w:lang w:val="en-AU"/>
        </w:rPr>
      </w:pPr>
      <w:r>
        <w:rPr>
          <w:lang w:val="en-AU"/>
        </w:rPr>
        <w:br w:type="page"/>
      </w:r>
    </w:p>
    <w:p w14:paraId="24561AE6" w14:textId="77777777" w:rsidR="00884F83" w:rsidRDefault="00884F83" w:rsidP="00884F83">
      <w:pPr>
        <w:rPr>
          <w:lang w:val="en-AU"/>
        </w:rPr>
      </w:pPr>
      <w:r>
        <w:rPr>
          <w:noProof/>
          <w:lang w:val="en-AU" w:eastAsia="en-AU"/>
        </w:rPr>
        <w:lastRenderedPageBreak/>
        <w:drawing>
          <wp:inline distT="0" distB="0" distL="0" distR="0" wp14:anchorId="4E705AD7" wp14:editId="4759BE40">
            <wp:extent cx="5434885" cy="4034023"/>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Supp Figure_update.pdf"/>
                    <pic:cNvPicPr/>
                  </pic:nvPicPr>
                  <pic:blipFill rotWithShape="1">
                    <a:blip r:embed="rId10">
                      <a:extLst>
                        <a:ext uri="{28A0092B-C50C-407E-A947-70E740481C1C}">
                          <a14:useLocalDpi xmlns:a14="http://schemas.microsoft.com/office/drawing/2010/main" val="0"/>
                        </a:ext>
                      </a:extLst>
                    </a:blip>
                    <a:srcRect l="24960" t="21590" r="26248" b="14031"/>
                    <a:stretch/>
                  </pic:blipFill>
                  <pic:spPr bwMode="auto">
                    <a:xfrm>
                      <a:off x="0" y="0"/>
                      <a:ext cx="5453938" cy="4048165"/>
                    </a:xfrm>
                    <a:prstGeom prst="rect">
                      <a:avLst/>
                    </a:prstGeom>
                    <a:ln>
                      <a:noFill/>
                    </a:ln>
                    <a:extLst>
                      <a:ext uri="{53640926-AAD7-44D8-BBD7-CCE9431645EC}">
                        <a14:shadowObscured xmlns:a14="http://schemas.microsoft.com/office/drawing/2010/main"/>
                      </a:ext>
                    </a:extLst>
                  </pic:spPr>
                </pic:pic>
              </a:graphicData>
            </a:graphic>
          </wp:inline>
        </w:drawing>
      </w:r>
    </w:p>
    <w:p w14:paraId="1652B53C" w14:textId="77777777" w:rsidR="00884F83" w:rsidRDefault="00884F83" w:rsidP="00884F83">
      <w:pPr>
        <w:rPr>
          <w:lang w:val="en-AU"/>
        </w:rPr>
      </w:pPr>
    </w:p>
    <w:p w14:paraId="7DFF83CD" w14:textId="3FA87A19" w:rsidR="00884F83" w:rsidRPr="00852EF0" w:rsidRDefault="00884F83" w:rsidP="00884F83">
      <w:pPr>
        <w:rPr>
          <w:lang w:val="en-AU"/>
        </w:rPr>
      </w:pPr>
      <w:r>
        <w:rPr>
          <w:b/>
          <w:lang w:val="en-AU"/>
        </w:rPr>
        <w:t xml:space="preserve">Supplementary Figure 2. </w:t>
      </w:r>
      <w:r w:rsidRPr="00852EF0">
        <w:rPr>
          <w:b/>
          <w:lang w:val="en-AU"/>
        </w:rPr>
        <w:t>Persistence of Gly101Val in CLL cells during salvage therapy following progression on venetoclax.</w:t>
      </w:r>
      <w:r>
        <w:rPr>
          <w:lang w:val="en-AU"/>
        </w:rPr>
        <w:t xml:space="preserve"> Graph of the estimated percentage of CLL cells bearing the Gly101Val mutation in five patients who had bone marrow samples suitable for analysis both during venetoclax therapy and during subsequent treatment(s)</w:t>
      </w:r>
      <w:r w:rsidR="00BF42CB">
        <w:rPr>
          <w:lang w:val="en-AU"/>
        </w:rPr>
        <w:t xml:space="preserve"> after venetoclax was ceased</w:t>
      </w:r>
      <w:r>
        <w:rPr>
          <w:lang w:val="en-AU"/>
        </w:rPr>
        <w:t>. The percentage of CLL cells bearing the mutation was calculated from the ddPCR VAF adjusted for the percentage of leukocytes that were CD5</w:t>
      </w:r>
      <w:r w:rsidRPr="00A00E0B">
        <w:rPr>
          <w:vertAlign w:val="superscript"/>
          <w:lang w:val="en-AU"/>
        </w:rPr>
        <w:t>+</w:t>
      </w:r>
      <w:r>
        <w:rPr>
          <w:lang w:val="en-AU"/>
        </w:rPr>
        <w:t>19</w:t>
      </w:r>
      <w:r w:rsidRPr="00A00E0B">
        <w:rPr>
          <w:vertAlign w:val="superscript"/>
          <w:lang w:val="en-AU"/>
        </w:rPr>
        <w:t>+</w:t>
      </w:r>
      <w:r>
        <w:rPr>
          <w:lang w:val="en-AU"/>
        </w:rPr>
        <w:t xml:space="preserve"> by MFC. Zero values represent negative ddPCR results </w:t>
      </w:r>
      <w:r w:rsidR="00BF42CB">
        <w:rPr>
          <w:lang w:val="en-AU"/>
        </w:rPr>
        <w:t>in cases where</w:t>
      </w:r>
      <w:r>
        <w:rPr>
          <w:lang w:val="en-AU"/>
        </w:rPr>
        <w:t xml:space="preserve"> CLL </w:t>
      </w:r>
      <w:r w:rsidR="00BF42CB">
        <w:rPr>
          <w:lang w:val="en-AU"/>
        </w:rPr>
        <w:t xml:space="preserve">MRD </w:t>
      </w:r>
      <w:r>
        <w:rPr>
          <w:lang w:val="en-AU"/>
        </w:rPr>
        <w:t xml:space="preserve">was detectable by flow cytometry. All received a BTK inhibitor as next therapy (ibrutinib in all except CLL6 who received zanubrutinib) and all achieved a partial response. CLL8 </w:t>
      </w:r>
      <w:r w:rsidR="00BF42CB">
        <w:rPr>
          <w:lang w:val="en-AU"/>
        </w:rPr>
        <w:t xml:space="preserve">subsequently </w:t>
      </w:r>
      <w:r>
        <w:rPr>
          <w:lang w:val="en-AU"/>
        </w:rPr>
        <w:t xml:space="preserve">proceeded to an allogeneic stem cell transplant, but </w:t>
      </w:r>
      <w:r w:rsidR="00BF42CB">
        <w:rPr>
          <w:lang w:val="en-AU"/>
        </w:rPr>
        <w:t xml:space="preserve">later </w:t>
      </w:r>
      <w:r>
        <w:rPr>
          <w:lang w:val="en-AU"/>
        </w:rPr>
        <w:t>relapsed with an unchanged percentage of Gly101Val-bearing CLL cells.</w:t>
      </w:r>
    </w:p>
    <w:p w14:paraId="6BDF23D8" w14:textId="2B6FBEA2" w:rsidR="00D7791F" w:rsidRDefault="00D7791F">
      <w:pPr>
        <w:rPr>
          <w:lang w:val="en-AU"/>
        </w:rPr>
      </w:pPr>
      <w:r>
        <w:rPr>
          <w:lang w:val="en-AU"/>
        </w:rPr>
        <w:br w:type="page"/>
      </w:r>
    </w:p>
    <w:p w14:paraId="52EC3267" w14:textId="1426955F" w:rsidR="00AD4670" w:rsidRDefault="00530F60">
      <w:pPr>
        <w:rPr>
          <w:lang w:val="en-AU"/>
        </w:rPr>
      </w:pPr>
      <w:r>
        <w:rPr>
          <w:noProof/>
          <w:lang w:val="en-AU" w:eastAsia="en-AU"/>
        </w:rPr>
        <w:lastRenderedPageBreak/>
        <w:drawing>
          <wp:inline distT="0" distB="0" distL="0" distR="0" wp14:anchorId="69060DAE" wp14:editId="663A7170">
            <wp:extent cx="5922010" cy="90488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 Fig 3Nov18.pdf"/>
                    <pic:cNvPicPr/>
                  </pic:nvPicPr>
                  <pic:blipFill>
                    <a:blip r:embed="rId11">
                      <a:extLst>
                        <a:ext uri="{28A0092B-C50C-407E-A947-70E740481C1C}">
                          <a14:useLocalDpi xmlns:a14="http://schemas.microsoft.com/office/drawing/2010/main" val="0"/>
                        </a:ext>
                      </a:extLst>
                    </a:blip>
                    <a:stretch>
                      <a:fillRect/>
                    </a:stretch>
                  </pic:blipFill>
                  <pic:spPr>
                    <a:xfrm>
                      <a:off x="0" y="0"/>
                      <a:ext cx="5922010" cy="9048821"/>
                    </a:xfrm>
                    <a:prstGeom prst="rect">
                      <a:avLst/>
                    </a:prstGeom>
                  </pic:spPr>
                </pic:pic>
              </a:graphicData>
            </a:graphic>
          </wp:inline>
        </w:drawing>
      </w:r>
      <w:r w:rsidR="00AD4670">
        <w:rPr>
          <w:lang w:val="en-AU"/>
        </w:rPr>
        <w:br w:type="page"/>
      </w:r>
    </w:p>
    <w:p w14:paraId="75EDF381" w14:textId="77777777" w:rsidR="00AD4670" w:rsidRDefault="00AD4670">
      <w:pPr>
        <w:rPr>
          <w:lang w:val="en-AU"/>
        </w:rPr>
      </w:pPr>
    </w:p>
    <w:p w14:paraId="1F489E91" w14:textId="77777777" w:rsidR="00AD4670" w:rsidRDefault="00AD4670">
      <w:pPr>
        <w:rPr>
          <w:lang w:val="en-AU"/>
        </w:rPr>
      </w:pPr>
    </w:p>
    <w:p w14:paraId="3FF7D1C1" w14:textId="4D3CA7DD" w:rsidR="00AD4670" w:rsidRDefault="00AD4670">
      <w:pPr>
        <w:rPr>
          <w:lang w:val="en-AU"/>
        </w:rPr>
      </w:pPr>
    </w:p>
    <w:p w14:paraId="5601E66E" w14:textId="090ACD58" w:rsidR="00AD4670" w:rsidRDefault="00C57AE7">
      <w:pPr>
        <w:rPr>
          <w:lang w:val="en-AU"/>
        </w:rPr>
      </w:pPr>
      <w:r>
        <w:rPr>
          <w:noProof/>
          <w:lang w:val="en-AU" w:eastAsia="en-AU"/>
        </w:rPr>
        <w:drawing>
          <wp:inline distT="0" distB="0" distL="0" distR="0" wp14:anchorId="7E746608" wp14:editId="11D630DE">
            <wp:extent cx="5886450" cy="21805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992" t="25401" r="2435" b="17647"/>
                    <a:stretch/>
                  </pic:blipFill>
                  <pic:spPr bwMode="auto">
                    <a:xfrm>
                      <a:off x="0" y="0"/>
                      <a:ext cx="5892250" cy="2182694"/>
                    </a:xfrm>
                    <a:prstGeom prst="rect">
                      <a:avLst/>
                    </a:prstGeom>
                    <a:ln>
                      <a:noFill/>
                    </a:ln>
                    <a:extLst>
                      <a:ext uri="{53640926-AAD7-44D8-BBD7-CCE9431645EC}">
                        <a14:shadowObscured xmlns:a14="http://schemas.microsoft.com/office/drawing/2010/main"/>
                      </a:ext>
                    </a:extLst>
                  </pic:spPr>
                </pic:pic>
              </a:graphicData>
            </a:graphic>
          </wp:inline>
        </w:drawing>
      </w:r>
    </w:p>
    <w:p w14:paraId="00D54185" w14:textId="77777777" w:rsidR="00AD4670" w:rsidRDefault="00AD4670">
      <w:pPr>
        <w:rPr>
          <w:lang w:val="en-AU"/>
        </w:rPr>
      </w:pPr>
    </w:p>
    <w:p w14:paraId="0244A7D0" w14:textId="4A82071C" w:rsidR="00AD4670" w:rsidRPr="00AD4670" w:rsidRDefault="00AD4670" w:rsidP="00AD4670">
      <w:pPr>
        <w:spacing w:after="120"/>
        <w:rPr>
          <w:lang w:val="en-AU"/>
        </w:rPr>
      </w:pPr>
      <w:r w:rsidRPr="00AD4670">
        <w:rPr>
          <w:b/>
          <w:bCs/>
          <w:lang w:val="en-US"/>
        </w:rPr>
        <w:t xml:space="preserve">Supplementary Figure </w:t>
      </w:r>
      <w:r w:rsidR="00530F60">
        <w:rPr>
          <w:b/>
          <w:bCs/>
          <w:lang w:val="en-US"/>
        </w:rPr>
        <w:t>4</w:t>
      </w:r>
      <w:r w:rsidRPr="00AD4670">
        <w:rPr>
          <w:b/>
          <w:bCs/>
          <w:lang w:val="en-US"/>
        </w:rPr>
        <w:t xml:space="preserve">: </w:t>
      </w:r>
      <w:r w:rsidRPr="00AD4670">
        <w:rPr>
          <w:b/>
          <w:bCs/>
          <w:lang w:val="en-AU"/>
        </w:rPr>
        <w:t xml:space="preserve">Venetoclax is less able to compete endogenous BAX and BAK off mutant BCL2 in KMS-12-PE cells. </w:t>
      </w:r>
    </w:p>
    <w:p w14:paraId="1EE678A8" w14:textId="79578879" w:rsidR="00AD4670" w:rsidRDefault="00AD4670" w:rsidP="00AD4670">
      <w:pPr>
        <w:rPr>
          <w:lang w:val="en-AU"/>
        </w:rPr>
      </w:pPr>
      <w:r w:rsidRPr="00AD4670">
        <w:rPr>
          <w:lang w:val="en-AU"/>
        </w:rPr>
        <w:t xml:space="preserve">Independent experiment recapitulating result displayed in Figure </w:t>
      </w:r>
      <w:r w:rsidR="005F1111">
        <w:rPr>
          <w:lang w:val="en-AU"/>
        </w:rPr>
        <w:t>4A</w:t>
      </w:r>
      <w:r w:rsidRPr="00AD4670">
        <w:rPr>
          <w:lang w:val="en-AU"/>
        </w:rPr>
        <w:t>.</w:t>
      </w:r>
    </w:p>
    <w:p w14:paraId="72E01C57" w14:textId="77777777" w:rsidR="00AD4670" w:rsidRDefault="00AD4670" w:rsidP="00AD4670">
      <w:pPr>
        <w:rPr>
          <w:lang w:val="en-AU"/>
        </w:rPr>
      </w:pPr>
    </w:p>
    <w:p w14:paraId="1AAC330A" w14:textId="77777777" w:rsidR="00AD4670" w:rsidRDefault="00AD4670" w:rsidP="00AD4670">
      <w:pPr>
        <w:rPr>
          <w:lang w:val="en-AU"/>
        </w:rPr>
      </w:pPr>
    </w:p>
    <w:p w14:paraId="5B2EBCCE" w14:textId="2B0E1131" w:rsidR="00AD4670" w:rsidRDefault="00AD4670">
      <w:pPr>
        <w:rPr>
          <w:lang w:val="en-AU"/>
        </w:rPr>
      </w:pPr>
      <w:r>
        <w:rPr>
          <w:lang w:val="en-AU"/>
        </w:rPr>
        <w:br w:type="page"/>
      </w:r>
    </w:p>
    <w:p w14:paraId="55B63CEC" w14:textId="3E79CCD7" w:rsidR="00AD4670" w:rsidRDefault="00AD4670" w:rsidP="00AD4670">
      <w:pPr>
        <w:rPr>
          <w:lang w:val="en-AU"/>
        </w:rPr>
      </w:pPr>
      <w:bookmarkStart w:id="0" w:name="_GoBack"/>
      <w:r>
        <w:rPr>
          <w:noProof/>
          <w:lang w:val="en-AU" w:eastAsia="en-AU"/>
        </w:rPr>
        <w:lastRenderedPageBreak/>
        <w:drawing>
          <wp:inline distT="0" distB="0" distL="0" distR="0" wp14:anchorId="61B4398F" wp14:editId="059EF93C">
            <wp:extent cx="5989739" cy="50562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 Fig 4 20180918.ai"/>
                    <pic:cNvPicPr/>
                  </pic:nvPicPr>
                  <pic:blipFill>
                    <a:blip r:embed="rId13">
                      <a:extLst>
                        <a:ext uri="{28A0092B-C50C-407E-A947-70E740481C1C}">
                          <a14:useLocalDpi xmlns:a14="http://schemas.microsoft.com/office/drawing/2010/main" val="0"/>
                        </a:ext>
                      </a:extLst>
                    </a:blip>
                    <a:stretch>
                      <a:fillRect/>
                    </a:stretch>
                  </pic:blipFill>
                  <pic:spPr>
                    <a:xfrm>
                      <a:off x="0" y="0"/>
                      <a:ext cx="5995118" cy="5060813"/>
                    </a:xfrm>
                    <a:prstGeom prst="rect">
                      <a:avLst/>
                    </a:prstGeom>
                  </pic:spPr>
                </pic:pic>
              </a:graphicData>
            </a:graphic>
          </wp:inline>
        </w:drawing>
      </w:r>
      <w:bookmarkEnd w:id="0"/>
    </w:p>
    <w:p w14:paraId="3ECC2F57" w14:textId="77777777" w:rsidR="00AD4670" w:rsidRDefault="00AD4670" w:rsidP="00AD4670">
      <w:pPr>
        <w:rPr>
          <w:lang w:val="en-AU"/>
        </w:rPr>
      </w:pPr>
    </w:p>
    <w:p w14:paraId="262B837F" w14:textId="77777777" w:rsidR="00AD4670" w:rsidRDefault="00AD4670" w:rsidP="00AD4670">
      <w:pPr>
        <w:rPr>
          <w:lang w:val="en-AU"/>
        </w:rPr>
      </w:pPr>
    </w:p>
    <w:p w14:paraId="6BD8068D" w14:textId="2E1B78DA" w:rsidR="00AD4670" w:rsidRPr="00AD4670" w:rsidRDefault="00AD4670" w:rsidP="00AD4670">
      <w:pPr>
        <w:spacing w:after="120"/>
        <w:rPr>
          <w:lang w:val="en-AU"/>
        </w:rPr>
      </w:pPr>
      <w:r w:rsidRPr="00AD4670">
        <w:rPr>
          <w:b/>
          <w:bCs/>
          <w:lang w:val="en-US"/>
        </w:rPr>
        <w:t xml:space="preserve">Supplementary Figure </w:t>
      </w:r>
      <w:r w:rsidR="00530F60">
        <w:rPr>
          <w:b/>
          <w:bCs/>
          <w:lang w:val="en-US"/>
        </w:rPr>
        <w:t>5</w:t>
      </w:r>
      <w:r w:rsidRPr="00AD4670">
        <w:rPr>
          <w:b/>
          <w:bCs/>
          <w:lang w:val="en-US"/>
        </w:rPr>
        <w:t xml:space="preserve">: </w:t>
      </w:r>
      <w:r w:rsidRPr="00AD4670">
        <w:rPr>
          <w:b/>
          <w:bCs/>
          <w:lang w:val="en-AU"/>
        </w:rPr>
        <w:t xml:space="preserve">Effect of the microenvironment and subclonality of Gly101Val on </w:t>
      </w:r>
      <w:r w:rsidRPr="00AD4670">
        <w:rPr>
          <w:b/>
          <w:bCs/>
          <w:i/>
          <w:iCs/>
          <w:lang w:val="en-AU"/>
        </w:rPr>
        <w:t>in vitro</w:t>
      </w:r>
      <w:r w:rsidRPr="00AD4670">
        <w:rPr>
          <w:b/>
          <w:bCs/>
          <w:lang w:val="en-AU"/>
        </w:rPr>
        <w:t xml:space="preserve"> sensitivity to venetoclax.</w:t>
      </w:r>
    </w:p>
    <w:p w14:paraId="59804289" w14:textId="77777777" w:rsidR="00AD4670" w:rsidRPr="00AD4670" w:rsidRDefault="00AD4670" w:rsidP="00AD4670">
      <w:pPr>
        <w:spacing w:after="120"/>
        <w:rPr>
          <w:lang w:val="en-AU"/>
        </w:rPr>
      </w:pPr>
      <w:r w:rsidRPr="00AD4670">
        <w:rPr>
          <w:lang w:val="en-AU"/>
        </w:rPr>
        <w:t>(</w:t>
      </w:r>
      <w:r w:rsidRPr="00AD4670">
        <w:rPr>
          <w:b/>
          <w:bCs/>
          <w:lang w:val="en-AU"/>
        </w:rPr>
        <w:t>A</w:t>
      </w:r>
      <w:r w:rsidRPr="00AD4670">
        <w:rPr>
          <w:lang w:val="en-AU"/>
        </w:rPr>
        <w:t xml:space="preserve">) CLL cells at progression from patients (CLL2, 5) become more resistant to venetoclax when co-cultured with stromal cells. Assays performed as described for </w:t>
      </w:r>
      <w:r w:rsidRPr="00AD4670">
        <w:rPr>
          <w:b/>
          <w:bCs/>
          <w:lang w:val="en-AU"/>
        </w:rPr>
        <w:t>Figure 4C</w:t>
      </w:r>
      <w:r w:rsidRPr="00AD4670">
        <w:rPr>
          <w:lang w:val="en-AU"/>
        </w:rPr>
        <w:t>, and data for the same three venetoclax-naïve patient CLL samples shown in Figure 4C are retained in each panel. Data for CLL2 and CLL5 represent mean ± 1SD of triplicate measures in single experiments per patient sample.</w:t>
      </w:r>
    </w:p>
    <w:p w14:paraId="28857097" w14:textId="77777777" w:rsidR="00AD4670" w:rsidRDefault="00AD4670" w:rsidP="00AD4670">
      <w:pPr>
        <w:rPr>
          <w:lang w:val="en-AU"/>
        </w:rPr>
      </w:pPr>
      <w:r w:rsidRPr="00AD4670">
        <w:rPr>
          <w:lang w:val="en-AU"/>
        </w:rPr>
        <w:t>(</w:t>
      </w:r>
      <w:r w:rsidRPr="00AD4670">
        <w:rPr>
          <w:b/>
          <w:bCs/>
          <w:lang w:val="en-AU"/>
        </w:rPr>
        <w:t>B</w:t>
      </w:r>
      <w:r w:rsidRPr="00AD4670">
        <w:rPr>
          <w:lang w:val="en-AU"/>
        </w:rPr>
        <w:t>) KMS-12-PE cells expressing either WT (GFP labelled) or Gly101Val (BFP labelled) BCL2 were mixed in different proportions (indicated by purple lines) in the presence of venetoclax (0-10µM) for 24 hours, and the percentage of alive cells normalized to cells treated with DMSO was shown. Data represent means ± 1SD of three independent experiments.</w:t>
      </w:r>
    </w:p>
    <w:p w14:paraId="2E992CB6" w14:textId="77777777" w:rsidR="00AD4670" w:rsidRDefault="00AD4670" w:rsidP="00AD4670">
      <w:pPr>
        <w:rPr>
          <w:lang w:val="en-AU"/>
        </w:rPr>
      </w:pPr>
    </w:p>
    <w:p w14:paraId="45550C5F" w14:textId="6AC87293" w:rsidR="00AD4670" w:rsidRDefault="00AD4670">
      <w:pPr>
        <w:rPr>
          <w:lang w:val="en-AU"/>
        </w:rPr>
      </w:pPr>
      <w:r>
        <w:rPr>
          <w:lang w:val="en-AU"/>
        </w:rPr>
        <w:br w:type="page"/>
      </w:r>
    </w:p>
    <w:p w14:paraId="26E057FB" w14:textId="1254908C" w:rsidR="00AD4670" w:rsidRPr="00AD4670" w:rsidRDefault="00AD4670" w:rsidP="00AD4670">
      <w:pPr>
        <w:rPr>
          <w:lang w:val="en-AU"/>
        </w:rPr>
      </w:pPr>
    </w:p>
    <w:p w14:paraId="6E606B7C" w14:textId="3BCB6F39" w:rsidR="00AD4670" w:rsidRDefault="00530F60" w:rsidP="00AD4670">
      <w:pPr>
        <w:rPr>
          <w:lang w:val="en-AU"/>
        </w:rPr>
      </w:pPr>
      <w:r>
        <w:rPr>
          <w:noProof/>
          <w:lang w:val="en-AU" w:eastAsia="en-AU"/>
        </w:rPr>
        <w:drawing>
          <wp:inline distT="0" distB="0" distL="0" distR="0" wp14:anchorId="0676BD65" wp14:editId="144C7D72">
            <wp:extent cx="5589431" cy="2519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 Fig 6_revisedNov18.pdf"/>
                    <pic:cNvPicPr/>
                  </pic:nvPicPr>
                  <pic:blipFill rotWithShape="1">
                    <a:blip r:embed="rId14">
                      <a:extLst>
                        <a:ext uri="{28A0092B-C50C-407E-A947-70E740481C1C}">
                          <a14:useLocalDpi xmlns:a14="http://schemas.microsoft.com/office/drawing/2010/main" val="0"/>
                        </a:ext>
                      </a:extLst>
                    </a:blip>
                    <a:srcRect b="68205"/>
                    <a:stretch/>
                  </pic:blipFill>
                  <pic:spPr bwMode="auto">
                    <a:xfrm>
                      <a:off x="0" y="0"/>
                      <a:ext cx="5631929" cy="2538334"/>
                    </a:xfrm>
                    <a:prstGeom prst="rect">
                      <a:avLst/>
                    </a:prstGeom>
                    <a:ln>
                      <a:noFill/>
                    </a:ln>
                    <a:extLst>
                      <a:ext uri="{53640926-AAD7-44D8-BBD7-CCE9431645EC}">
                        <a14:shadowObscured xmlns:a14="http://schemas.microsoft.com/office/drawing/2010/main"/>
                      </a:ext>
                    </a:extLst>
                  </pic:spPr>
                </pic:pic>
              </a:graphicData>
            </a:graphic>
          </wp:inline>
        </w:drawing>
      </w:r>
    </w:p>
    <w:p w14:paraId="3996F2A3" w14:textId="77777777" w:rsidR="00530F60" w:rsidRPr="00AD4670" w:rsidRDefault="00530F60" w:rsidP="00AD4670">
      <w:pPr>
        <w:rPr>
          <w:lang w:val="en-AU"/>
        </w:rPr>
      </w:pPr>
    </w:p>
    <w:p w14:paraId="6C5A49FF" w14:textId="6EF81670" w:rsidR="0087176D" w:rsidRPr="0087176D" w:rsidRDefault="0087176D" w:rsidP="0087176D">
      <w:pPr>
        <w:spacing w:after="120"/>
        <w:rPr>
          <w:sz w:val="22"/>
          <w:szCs w:val="22"/>
          <w:lang w:val="en-AU"/>
        </w:rPr>
      </w:pPr>
      <w:r w:rsidRPr="0087176D">
        <w:rPr>
          <w:b/>
          <w:bCs/>
          <w:sz w:val="22"/>
          <w:szCs w:val="22"/>
          <w:lang w:val="en-US"/>
        </w:rPr>
        <w:t xml:space="preserve">Supplementary Figure </w:t>
      </w:r>
      <w:r w:rsidR="00530F60">
        <w:rPr>
          <w:b/>
          <w:bCs/>
          <w:sz w:val="22"/>
          <w:szCs w:val="22"/>
          <w:lang w:val="en-US"/>
        </w:rPr>
        <w:t>6</w:t>
      </w:r>
      <w:r w:rsidRPr="0087176D">
        <w:rPr>
          <w:b/>
          <w:bCs/>
          <w:sz w:val="22"/>
          <w:szCs w:val="22"/>
          <w:lang w:val="en-US"/>
        </w:rPr>
        <w:t>: Venetoclax-resistant CLL cells from CLL2 are heterogeneous, with subclones manifesting different mechanisms for resistance.</w:t>
      </w:r>
    </w:p>
    <w:p w14:paraId="00E180D6" w14:textId="5FD1C1F2" w:rsidR="00530F60" w:rsidRPr="0087176D" w:rsidRDefault="00530F60" w:rsidP="00530F60">
      <w:pPr>
        <w:spacing w:after="120"/>
        <w:rPr>
          <w:sz w:val="22"/>
          <w:szCs w:val="22"/>
          <w:lang w:val="en-AU"/>
        </w:rPr>
      </w:pPr>
      <w:r w:rsidRPr="0087176D">
        <w:rPr>
          <w:sz w:val="22"/>
          <w:szCs w:val="22"/>
          <w:lang w:val="en-US"/>
        </w:rPr>
        <w:t>Histograms of mass cytometric analysis of BCL2, MCL1 and BCLxL expression in viable (Cisplatin</w:t>
      </w:r>
      <w:r w:rsidRPr="0087176D">
        <w:rPr>
          <w:sz w:val="22"/>
          <w:szCs w:val="22"/>
          <w:vertAlign w:val="superscript"/>
          <w:lang w:val="en-US"/>
        </w:rPr>
        <w:t>low</w:t>
      </w:r>
      <w:r w:rsidRPr="0087176D">
        <w:rPr>
          <w:sz w:val="22"/>
          <w:szCs w:val="22"/>
          <w:lang w:val="en-US"/>
        </w:rPr>
        <w:t>) CD5</w:t>
      </w:r>
      <w:r w:rsidRPr="0087176D">
        <w:rPr>
          <w:sz w:val="22"/>
          <w:szCs w:val="22"/>
          <w:vertAlign w:val="superscript"/>
          <w:lang w:val="en-US"/>
        </w:rPr>
        <w:t>+</w:t>
      </w:r>
      <w:r w:rsidRPr="0087176D">
        <w:rPr>
          <w:sz w:val="22"/>
          <w:szCs w:val="22"/>
          <w:lang w:val="en-US"/>
        </w:rPr>
        <w:t>CD19</w:t>
      </w:r>
      <w:r w:rsidRPr="0087176D">
        <w:rPr>
          <w:sz w:val="22"/>
          <w:szCs w:val="22"/>
          <w:vertAlign w:val="superscript"/>
          <w:lang w:val="en-US"/>
        </w:rPr>
        <w:t>+</w:t>
      </w:r>
      <w:r w:rsidRPr="0087176D">
        <w:rPr>
          <w:sz w:val="22"/>
          <w:szCs w:val="22"/>
          <w:lang w:val="en-US"/>
        </w:rPr>
        <w:t xml:space="preserve"> PBMC from the 4 patients with highest representation of BCL2 Gly101Val</w:t>
      </w:r>
      <w:r>
        <w:rPr>
          <w:sz w:val="22"/>
          <w:szCs w:val="22"/>
          <w:lang w:val="en-US"/>
        </w:rPr>
        <w:t xml:space="preserve">, </w:t>
      </w:r>
      <w:r w:rsidRPr="0087176D">
        <w:rPr>
          <w:sz w:val="22"/>
          <w:szCs w:val="22"/>
          <w:lang w:val="en-US"/>
        </w:rPr>
        <w:t xml:space="preserve"> at presentation (CLL3,5) and upon relapse (all). CLL3 samples were included in two independent runs. </w:t>
      </w:r>
      <w:r w:rsidR="004020E1">
        <w:rPr>
          <w:sz w:val="22"/>
          <w:szCs w:val="22"/>
          <w:lang w:val="en-US"/>
        </w:rPr>
        <w:t>Major shifts in expression of the pro-survival proteins MCL1 and BCLxL are not observed for CLL3, CLL5 and CLL12 at relapse. However, for CLL2 at relapse, a subpopulation expressing higher levels of BCLxL is evident.</w:t>
      </w:r>
    </w:p>
    <w:p w14:paraId="66C1FD15" w14:textId="396460D4" w:rsidR="00C82913" w:rsidRDefault="00C82913">
      <w:pPr>
        <w:rPr>
          <w:sz w:val="22"/>
          <w:szCs w:val="22"/>
          <w:lang w:val="en-US"/>
        </w:rPr>
      </w:pPr>
    </w:p>
    <w:p w14:paraId="4C3E76B2" w14:textId="77777777" w:rsidR="00530F60" w:rsidRDefault="00530F60">
      <w:pPr>
        <w:rPr>
          <w:rFonts w:cstheme="minorHAnsi"/>
          <w:b/>
          <w:lang w:val="en-AU"/>
        </w:rPr>
      </w:pPr>
      <w:r>
        <w:rPr>
          <w:rFonts w:cstheme="minorHAnsi"/>
          <w:b/>
          <w:lang w:val="en-AU"/>
        </w:rPr>
        <w:br w:type="page"/>
      </w:r>
    </w:p>
    <w:p w14:paraId="524DAA38" w14:textId="32020881" w:rsidR="00B03BE4" w:rsidRPr="003D6C0A" w:rsidRDefault="00B03BE4" w:rsidP="00B03BE4">
      <w:pPr>
        <w:spacing w:line="480" w:lineRule="auto"/>
        <w:rPr>
          <w:rFonts w:cstheme="minorHAnsi"/>
          <w:b/>
          <w:color w:val="000000" w:themeColor="text1"/>
          <w:lang w:val="en-AU"/>
        </w:rPr>
      </w:pPr>
      <w:r w:rsidRPr="003D6C0A">
        <w:rPr>
          <w:rFonts w:cstheme="minorHAnsi"/>
          <w:b/>
          <w:lang w:val="en-AU"/>
        </w:rPr>
        <w:lastRenderedPageBreak/>
        <w:t>Supplementary Methods</w:t>
      </w:r>
      <w:r w:rsidR="00BA5A7B">
        <w:rPr>
          <w:rFonts w:cstheme="minorHAnsi"/>
          <w:b/>
          <w:lang w:val="en-AU"/>
        </w:rPr>
        <w:t xml:space="preserve"> - Additional Details</w:t>
      </w:r>
    </w:p>
    <w:p w14:paraId="570BEA87" w14:textId="77777777" w:rsidR="00BA5A7B" w:rsidRPr="00AA248A" w:rsidRDefault="00BA5A7B" w:rsidP="00BA5A7B">
      <w:pPr>
        <w:spacing w:line="480" w:lineRule="auto"/>
        <w:jc w:val="both"/>
        <w:rPr>
          <w:rFonts w:cstheme="minorHAnsi"/>
          <w:i/>
          <w:color w:val="000000" w:themeColor="text1"/>
          <w:sz w:val="22"/>
          <w:szCs w:val="22"/>
        </w:rPr>
      </w:pPr>
      <w:r w:rsidRPr="00AA248A">
        <w:rPr>
          <w:rFonts w:cstheme="minorHAnsi"/>
          <w:i/>
          <w:color w:val="000000" w:themeColor="text1"/>
          <w:sz w:val="22"/>
          <w:szCs w:val="22"/>
        </w:rPr>
        <w:t>Patient Samples</w:t>
      </w:r>
    </w:p>
    <w:p w14:paraId="21806E15" w14:textId="1AD17C0F" w:rsidR="00BA5A7B" w:rsidRDefault="00BA5A7B" w:rsidP="00A00E0B">
      <w:pPr>
        <w:spacing w:after="120" w:line="480" w:lineRule="auto"/>
        <w:jc w:val="both"/>
        <w:rPr>
          <w:rFonts w:cstheme="minorHAnsi"/>
          <w:i/>
          <w:sz w:val="22"/>
          <w:szCs w:val="22"/>
        </w:rPr>
      </w:pPr>
      <w:r w:rsidRPr="00AA248A">
        <w:rPr>
          <w:rFonts w:cstheme="minorHAnsi"/>
          <w:sz w:val="22"/>
          <w:szCs w:val="22"/>
        </w:rPr>
        <w:t>After providing written informed consent</w:t>
      </w:r>
      <w:r w:rsidRPr="00AA248A">
        <w:rPr>
          <w:rFonts w:cstheme="minorHAnsi"/>
          <w:sz w:val="22"/>
          <w:szCs w:val="22"/>
          <w:lang w:val="en-AU"/>
        </w:rPr>
        <w:t xml:space="preserve">, patient samples were collected at baseline and after venetoclax relapsed (Human Research Ethics Committee approvals: Melbourne Health 2011.044, </w:t>
      </w:r>
      <w:r w:rsidRPr="00AA248A">
        <w:rPr>
          <w:rFonts w:cstheme="minorHAnsi"/>
          <w:sz w:val="22"/>
          <w:szCs w:val="22"/>
          <w:lang w:val="en-US"/>
        </w:rPr>
        <w:t xml:space="preserve">2012.092, 2013.016, </w:t>
      </w:r>
      <w:r w:rsidRPr="00AA248A">
        <w:rPr>
          <w:rFonts w:cstheme="minorHAnsi"/>
          <w:sz w:val="22"/>
          <w:szCs w:val="22"/>
          <w:lang w:val="en-AU"/>
        </w:rPr>
        <w:t xml:space="preserve">2005.008; Peter MacCallum Cancer Centre 03/90, </w:t>
      </w:r>
      <w:r w:rsidRPr="00AA248A">
        <w:rPr>
          <w:rFonts w:cstheme="minorHAnsi"/>
          <w:sz w:val="22"/>
          <w:szCs w:val="22"/>
        </w:rPr>
        <w:t>11/18, 12/45, 13/163, 17</w:t>
      </w:r>
      <w:r>
        <w:rPr>
          <w:rFonts w:cstheme="minorHAnsi"/>
          <w:sz w:val="22"/>
          <w:szCs w:val="22"/>
        </w:rPr>
        <w:t>/133</w:t>
      </w:r>
      <w:r w:rsidRPr="00AA248A">
        <w:rPr>
          <w:rFonts w:cstheme="minorHAnsi"/>
          <w:sz w:val="22"/>
          <w:szCs w:val="22"/>
          <w:lang w:val="en-AU"/>
        </w:rPr>
        <w:t>; Walter and Eliza Hall Institute 05/04).</w:t>
      </w:r>
    </w:p>
    <w:p w14:paraId="08880462" w14:textId="430492CC" w:rsidR="00B03BE4" w:rsidRPr="00AA248A" w:rsidRDefault="00B03BE4" w:rsidP="00B03BE4">
      <w:pPr>
        <w:spacing w:line="480" w:lineRule="auto"/>
        <w:jc w:val="both"/>
        <w:rPr>
          <w:rFonts w:cstheme="minorHAnsi"/>
          <w:i/>
          <w:sz w:val="22"/>
          <w:szCs w:val="22"/>
        </w:rPr>
      </w:pPr>
      <w:r w:rsidRPr="00AA248A">
        <w:rPr>
          <w:rFonts w:cstheme="minorHAnsi"/>
          <w:i/>
          <w:sz w:val="22"/>
          <w:szCs w:val="22"/>
        </w:rPr>
        <w:t>Targeted amplicon next generation sequencing</w:t>
      </w:r>
    </w:p>
    <w:p w14:paraId="1E378EA8" w14:textId="3DEC7937" w:rsidR="00B03BE4" w:rsidRPr="004E5E26" w:rsidRDefault="00B03BE4" w:rsidP="004E5E26">
      <w:pPr>
        <w:spacing w:after="120" w:line="480" w:lineRule="auto"/>
        <w:jc w:val="both"/>
        <w:rPr>
          <w:rFonts w:cstheme="minorHAnsi"/>
          <w:sz w:val="22"/>
          <w:szCs w:val="22"/>
        </w:rPr>
      </w:pPr>
      <w:r w:rsidRPr="00AA248A">
        <w:rPr>
          <w:rFonts w:cstheme="minorHAnsi"/>
          <w:sz w:val="22"/>
          <w:szCs w:val="22"/>
        </w:rPr>
        <w:t>The target genes analysed were: (ARAF, BCL2, BIRC3, BRAF, BTK, CARD11, CD79B, CXCR4, DNMT3A, EZH2, FOXO1, FYN, ID3, IDH1, IDH2, JAK3, KRAS, MAP2K1, MYD88, NOTCH1, NRAS, PHF6, PLCG1, PLCG2, RHOA, RUNX1, SF3B1, STAT3, STAT5B, STAT6, TCF3, TP53, XPO1)</w:t>
      </w:r>
      <w:r w:rsidR="004E5E26">
        <w:rPr>
          <w:rFonts w:cstheme="minorHAnsi"/>
          <w:sz w:val="22"/>
          <w:szCs w:val="22"/>
        </w:rPr>
        <w:t>.</w:t>
      </w:r>
    </w:p>
    <w:p w14:paraId="54687FDF" w14:textId="77777777" w:rsidR="00B03BE4" w:rsidRPr="00AA248A" w:rsidRDefault="00B03BE4" w:rsidP="00B03BE4">
      <w:pPr>
        <w:spacing w:line="480" w:lineRule="auto"/>
        <w:jc w:val="both"/>
        <w:rPr>
          <w:rFonts w:cstheme="minorHAnsi"/>
          <w:sz w:val="22"/>
          <w:szCs w:val="22"/>
        </w:rPr>
      </w:pPr>
      <w:r w:rsidRPr="00AA248A">
        <w:rPr>
          <w:rFonts w:cstheme="minorHAnsi"/>
          <w:i/>
          <w:sz w:val="22"/>
          <w:szCs w:val="22"/>
        </w:rPr>
        <w:t>Hybridisation-based next generation sequencing analysis</w:t>
      </w:r>
    </w:p>
    <w:p w14:paraId="08B74748" w14:textId="4E4165D5" w:rsidR="00B03BE4" w:rsidRPr="00AA248A" w:rsidRDefault="00B03BE4" w:rsidP="008F49DC">
      <w:pPr>
        <w:spacing w:after="120" w:line="480" w:lineRule="auto"/>
        <w:jc w:val="both"/>
        <w:rPr>
          <w:rFonts w:cstheme="minorHAnsi"/>
          <w:b/>
          <w:color w:val="000000" w:themeColor="text1"/>
          <w:sz w:val="22"/>
          <w:szCs w:val="22"/>
          <w:lang w:val="en-AU"/>
        </w:rPr>
      </w:pPr>
      <w:r w:rsidRPr="00AA248A">
        <w:rPr>
          <w:rFonts w:cstheme="minorHAnsi"/>
          <w:sz w:val="22"/>
          <w:szCs w:val="22"/>
        </w:rPr>
        <w:t xml:space="preserve">Indexed libraries were sequenced on an Illumina NetxSeq (paired-end 75bp reads). Alignment to the human reference genome (GRCh37 assembly) and single nucleotide variant (SNV)/indel detection (BWA-MEM/GATK Haplotype Caller). Visualisation of sequence reads was performed using Integrated Genome Viewer (IGV). Copy number variation (CNV) was estimated by comparing read counts to a reference pool comprising 10 normal samples with similar technical artefacts. Boundaries between areas with different copy number were determined using circular binary segmentation. Off-target reads (typically 50-60% of all reads align to regions without baits) were used to estimate low coverage whole genome CNV. Significance was estimated from null distributions empirically derived from the reference pool at matching loci.  </w:t>
      </w:r>
    </w:p>
    <w:p w14:paraId="7A36457B" w14:textId="77777777" w:rsidR="00B03BE4" w:rsidRPr="00AA248A" w:rsidRDefault="00B03BE4" w:rsidP="00B03BE4">
      <w:pPr>
        <w:spacing w:line="480" w:lineRule="auto"/>
        <w:jc w:val="both"/>
        <w:rPr>
          <w:rFonts w:cstheme="minorHAnsi"/>
          <w:i/>
          <w:color w:val="000000" w:themeColor="text1"/>
          <w:sz w:val="22"/>
          <w:szCs w:val="22"/>
          <w:lang w:val="en-AU"/>
        </w:rPr>
      </w:pPr>
      <w:r w:rsidRPr="00AA248A">
        <w:rPr>
          <w:rFonts w:cstheme="minorHAnsi"/>
          <w:i/>
          <w:color w:val="000000" w:themeColor="text1"/>
          <w:sz w:val="22"/>
          <w:szCs w:val="22"/>
          <w:lang w:val="en-AU"/>
        </w:rPr>
        <w:t>Sanger sequencing</w:t>
      </w:r>
    </w:p>
    <w:p w14:paraId="4FA0470F" w14:textId="12959791" w:rsidR="008F49DC" w:rsidRDefault="00B03BE4" w:rsidP="00A00E0B">
      <w:pPr>
        <w:spacing w:after="120" w:line="480" w:lineRule="auto"/>
        <w:jc w:val="both"/>
        <w:rPr>
          <w:rFonts w:cstheme="minorHAnsi"/>
          <w:i/>
          <w:color w:val="000000" w:themeColor="text1"/>
          <w:sz w:val="22"/>
          <w:szCs w:val="22"/>
        </w:rPr>
      </w:pPr>
      <w:r w:rsidRPr="00AA248A">
        <w:rPr>
          <w:rFonts w:cstheme="minorHAnsi"/>
          <w:color w:val="000000" w:themeColor="text1"/>
          <w:sz w:val="22"/>
          <w:szCs w:val="22"/>
          <w:lang w:val="en-AU"/>
        </w:rPr>
        <w:t>Sanger sequencing was performed on DNA extracted from patient CLL3 before and after exposure to venetoclax. PCR reaction mix included AmpliTaq Gold 360 Master mix, 0.4µM of forward and reverse primer, and 10ng DNA to a final volume of 10uL. Thermal cycling condition is: 95</w:t>
      </w:r>
      <w:r w:rsidRPr="00AA248A">
        <w:rPr>
          <w:rFonts w:cstheme="minorHAnsi"/>
          <w:color w:val="000000" w:themeColor="text1"/>
          <w:sz w:val="22"/>
          <w:szCs w:val="22"/>
          <w:vertAlign w:val="superscript"/>
          <w:lang w:val="en-AU"/>
        </w:rPr>
        <w:t>o</w:t>
      </w:r>
      <w:r w:rsidRPr="00AA248A">
        <w:rPr>
          <w:rFonts w:cstheme="minorHAnsi"/>
          <w:color w:val="000000" w:themeColor="text1"/>
          <w:sz w:val="22"/>
          <w:szCs w:val="22"/>
          <w:lang w:val="en-AU"/>
        </w:rPr>
        <w:t>C for 5 minutes; 40 cycles of 94</w:t>
      </w:r>
      <w:r w:rsidRPr="00AA248A">
        <w:rPr>
          <w:rFonts w:cstheme="minorHAnsi"/>
          <w:color w:val="000000" w:themeColor="text1"/>
          <w:sz w:val="22"/>
          <w:szCs w:val="22"/>
          <w:vertAlign w:val="superscript"/>
          <w:lang w:val="en-AU"/>
        </w:rPr>
        <w:t>o</w:t>
      </w:r>
      <w:r w:rsidRPr="00AA248A">
        <w:rPr>
          <w:rFonts w:cstheme="minorHAnsi"/>
          <w:color w:val="000000" w:themeColor="text1"/>
          <w:sz w:val="22"/>
          <w:szCs w:val="22"/>
          <w:lang w:val="en-AU"/>
        </w:rPr>
        <w:t>C for 30 seconds, 60</w:t>
      </w:r>
      <w:r w:rsidRPr="00AA248A">
        <w:rPr>
          <w:rFonts w:cstheme="minorHAnsi"/>
          <w:color w:val="000000" w:themeColor="text1"/>
          <w:sz w:val="22"/>
          <w:szCs w:val="22"/>
          <w:vertAlign w:val="superscript"/>
          <w:lang w:val="en-AU"/>
        </w:rPr>
        <w:t>o</w:t>
      </w:r>
      <w:r w:rsidRPr="00AA248A">
        <w:rPr>
          <w:rFonts w:cstheme="minorHAnsi"/>
          <w:color w:val="000000" w:themeColor="text1"/>
          <w:sz w:val="22"/>
          <w:szCs w:val="22"/>
          <w:lang w:val="en-AU"/>
        </w:rPr>
        <w:t>C for 45 seconds, 72</w:t>
      </w:r>
      <w:r w:rsidRPr="00AA248A">
        <w:rPr>
          <w:rFonts w:cstheme="minorHAnsi"/>
          <w:color w:val="000000" w:themeColor="text1"/>
          <w:sz w:val="22"/>
          <w:szCs w:val="22"/>
          <w:vertAlign w:val="superscript"/>
          <w:lang w:val="en-AU"/>
        </w:rPr>
        <w:t>o</w:t>
      </w:r>
      <w:r w:rsidRPr="00AA248A">
        <w:rPr>
          <w:rFonts w:cstheme="minorHAnsi"/>
          <w:color w:val="000000" w:themeColor="text1"/>
          <w:sz w:val="22"/>
          <w:szCs w:val="22"/>
          <w:lang w:val="en-AU"/>
        </w:rPr>
        <w:t>C for 45 seconds; then 72</w:t>
      </w:r>
      <w:r w:rsidRPr="00AA248A">
        <w:rPr>
          <w:rFonts w:cstheme="minorHAnsi"/>
          <w:color w:val="000000" w:themeColor="text1"/>
          <w:sz w:val="22"/>
          <w:szCs w:val="22"/>
          <w:vertAlign w:val="superscript"/>
          <w:lang w:val="en-AU"/>
        </w:rPr>
        <w:t>o</w:t>
      </w:r>
      <w:r w:rsidRPr="00AA248A">
        <w:rPr>
          <w:rFonts w:cstheme="minorHAnsi"/>
          <w:color w:val="000000" w:themeColor="text1"/>
          <w:sz w:val="22"/>
          <w:szCs w:val="22"/>
          <w:lang w:val="en-AU"/>
        </w:rPr>
        <w:t xml:space="preserve">C for 10 minutes and </w:t>
      </w:r>
      <w:r w:rsidRPr="00AA248A">
        <w:rPr>
          <w:rFonts w:cstheme="minorHAnsi"/>
          <w:color w:val="000000" w:themeColor="text1"/>
          <w:sz w:val="22"/>
          <w:szCs w:val="22"/>
          <w:lang w:val="en-AU"/>
        </w:rPr>
        <w:lastRenderedPageBreak/>
        <w:t>hold at 4</w:t>
      </w:r>
      <w:r w:rsidRPr="00AA248A">
        <w:rPr>
          <w:rFonts w:cstheme="minorHAnsi"/>
          <w:color w:val="000000" w:themeColor="text1"/>
          <w:sz w:val="22"/>
          <w:szCs w:val="22"/>
          <w:vertAlign w:val="superscript"/>
          <w:lang w:val="en-AU"/>
        </w:rPr>
        <w:t>o</w:t>
      </w:r>
      <w:r w:rsidRPr="00AA248A">
        <w:rPr>
          <w:rFonts w:cstheme="minorHAnsi"/>
          <w:color w:val="000000" w:themeColor="text1"/>
          <w:sz w:val="22"/>
          <w:szCs w:val="22"/>
          <w:lang w:val="en-AU"/>
        </w:rPr>
        <w:t xml:space="preserve">C. PCR product was purified by Agencourt AMPure using the Biomek NXp Liquid Handler Workstation before being subjected to sequencing reactions using CS primer with ABI BigDye Terminator v.3.1 Cycle Sequencing Kit and run on the ABI3730 sequencer. </w:t>
      </w:r>
    </w:p>
    <w:p w14:paraId="0CFC0E40" w14:textId="0FE442F0" w:rsidR="00B03BE4" w:rsidRPr="00AA248A" w:rsidRDefault="00BA5A7B" w:rsidP="00B03BE4">
      <w:pPr>
        <w:spacing w:line="480" w:lineRule="auto"/>
        <w:jc w:val="both"/>
        <w:rPr>
          <w:rFonts w:cstheme="minorHAnsi"/>
          <w:i/>
          <w:color w:val="000000" w:themeColor="text1"/>
          <w:sz w:val="22"/>
          <w:szCs w:val="22"/>
        </w:rPr>
      </w:pPr>
      <w:r>
        <w:rPr>
          <w:rFonts w:cstheme="minorHAnsi"/>
          <w:i/>
          <w:color w:val="000000" w:themeColor="text1"/>
          <w:sz w:val="22"/>
          <w:szCs w:val="22"/>
        </w:rPr>
        <w:t>CLL cytotoxicity assays</w:t>
      </w:r>
    </w:p>
    <w:p w14:paraId="7E4930E8" w14:textId="5267041A" w:rsidR="00B03BE4" w:rsidRPr="008F49DC" w:rsidRDefault="00B03BE4" w:rsidP="008F49DC">
      <w:pPr>
        <w:spacing w:after="120" w:line="480" w:lineRule="auto"/>
        <w:jc w:val="both"/>
        <w:rPr>
          <w:rFonts w:cstheme="minorHAnsi"/>
          <w:i/>
          <w:color w:val="000000" w:themeColor="text1"/>
          <w:sz w:val="22"/>
          <w:szCs w:val="22"/>
        </w:rPr>
      </w:pPr>
      <w:r w:rsidRPr="00AA248A">
        <w:rPr>
          <w:rFonts w:cstheme="minorHAnsi"/>
          <w:sz w:val="22"/>
          <w:szCs w:val="22"/>
        </w:rPr>
        <w:t xml:space="preserve">For cell culture, blood was collected in EDTA tubes and processed within 2 hours. Blood mononuclear cells were isolated using </w:t>
      </w:r>
      <w:r w:rsidRPr="00AA248A">
        <w:rPr>
          <w:rFonts w:cstheme="minorHAnsi"/>
          <w:color w:val="222222"/>
          <w:spacing w:val="3"/>
          <w:sz w:val="22"/>
          <w:szCs w:val="22"/>
        </w:rPr>
        <w:t xml:space="preserve">Ficoll-Paque Plus, GE Healthcare) density gradient centrifugation. Freshly isolated mononuclear cells were </w:t>
      </w:r>
      <w:r w:rsidRPr="00AA248A">
        <w:rPr>
          <w:rFonts w:cstheme="minorHAnsi"/>
          <w:sz w:val="22"/>
          <w:szCs w:val="22"/>
          <w:lang w:val="en-US"/>
        </w:rPr>
        <w:t>seeded in 96-well plates at 100,000 cells/well.</w:t>
      </w:r>
      <w:r w:rsidRPr="00AA248A">
        <w:rPr>
          <w:rFonts w:cstheme="minorHAnsi"/>
          <w:sz w:val="22"/>
          <w:szCs w:val="22"/>
          <w:lang w:val="en-AU"/>
        </w:rPr>
        <w:t xml:space="preserve"> </w:t>
      </w:r>
      <w:r w:rsidRPr="00AA248A">
        <w:rPr>
          <w:rFonts w:eastAsia="Times New Roman" w:cstheme="minorHAnsi"/>
          <w:sz w:val="22"/>
          <w:szCs w:val="22"/>
          <w:lang w:val="en-AU"/>
        </w:rPr>
        <w:t>6-point 1:8 serial dilutions of compounds starting from 4μM were used for the screen. After 24 hours</w:t>
      </w:r>
      <w:r w:rsidR="005A11AE">
        <w:rPr>
          <w:rFonts w:eastAsia="Times New Roman" w:cstheme="minorHAnsi"/>
          <w:sz w:val="22"/>
          <w:szCs w:val="22"/>
          <w:lang w:val="en-AU"/>
        </w:rPr>
        <w:t xml:space="preserve"> </w:t>
      </w:r>
      <w:r w:rsidR="005A11AE" w:rsidRPr="00097D4F">
        <w:t xml:space="preserve">at 37°C </w:t>
      </w:r>
      <w:r w:rsidR="005A11AE">
        <w:t xml:space="preserve">in a </w:t>
      </w:r>
      <w:r w:rsidR="005A11AE" w:rsidRPr="00097D4F">
        <w:t>5% CO</w:t>
      </w:r>
      <w:r w:rsidR="005A11AE" w:rsidRPr="00A00E0B">
        <w:rPr>
          <w:vertAlign w:val="subscript"/>
        </w:rPr>
        <w:t>2</w:t>
      </w:r>
      <w:r w:rsidR="005A11AE">
        <w:t xml:space="preserve"> containing humidified atmosphere</w:t>
      </w:r>
      <w:r w:rsidRPr="00AA248A">
        <w:rPr>
          <w:rFonts w:eastAsia="Times New Roman" w:cstheme="minorHAnsi"/>
          <w:sz w:val="22"/>
          <w:szCs w:val="22"/>
          <w:lang w:val="en-AU"/>
        </w:rPr>
        <w:t xml:space="preserve">, cells were stained with CD5-APC (1:250, Beckman Coulter) and CD19-BV510 (1:200, clone:5J25CI, Becton Dickinson (BD) Biosciences) and cell viability was assessed by propidium iodide (PI, Merck) exclusion using a FACSFortessa (BD). FACS data were analyzed using Flowjo software and </w:t>
      </w:r>
      <w:r w:rsidRPr="00AA248A">
        <w:rPr>
          <w:rFonts w:cstheme="minorHAnsi"/>
          <w:sz w:val="22"/>
          <w:szCs w:val="22"/>
        </w:rPr>
        <w:t>GraphPad Prism software was used to calculate drug concentrations causing 50% killing (LC50).  </w:t>
      </w:r>
    </w:p>
    <w:p w14:paraId="58E63994" w14:textId="77777777" w:rsidR="00B03BE4" w:rsidRPr="00AA248A" w:rsidRDefault="00B03BE4" w:rsidP="00B03BE4">
      <w:pPr>
        <w:spacing w:line="480" w:lineRule="auto"/>
        <w:jc w:val="both"/>
        <w:rPr>
          <w:rFonts w:cstheme="minorHAnsi"/>
          <w:i/>
          <w:sz w:val="22"/>
          <w:szCs w:val="22"/>
          <w:lang w:val="en-AU"/>
        </w:rPr>
      </w:pPr>
      <w:r w:rsidRPr="00AA248A">
        <w:rPr>
          <w:rFonts w:cstheme="minorHAnsi"/>
          <w:i/>
          <w:sz w:val="22"/>
          <w:szCs w:val="22"/>
          <w:lang w:val="en-AU"/>
        </w:rPr>
        <w:t xml:space="preserve">CLL cell co-culture </w:t>
      </w:r>
    </w:p>
    <w:p w14:paraId="768E4EAA" w14:textId="0C22C31F" w:rsidR="00B03BE4" w:rsidRPr="00AA248A" w:rsidRDefault="00B03BE4" w:rsidP="008F49DC">
      <w:pPr>
        <w:spacing w:after="120" w:line="480" w:lineRule="auto"/>
        <w:jc w:val="both"/>
        <w:rPr>
          <w:rFonts w:eastAsia="Times New Roman" w:cstheme="minorHAnsi"/>
          <w:sz w:val="22"/>
          <w:szCs w:val="22"/>
          <w:lang w:val="en-AU"/>
        </w:rPr>
      </w:pPr>
      <w:r w:rsidRPr="00AA248A">
        <w:rPr>
          <w:rFonts w:cstheme="minorHAnsi"/>
          <w:color w:val="000000" w:themeColor="text1"/>
          <w:sz w:val="22"/>
          <w:szCs w:val="22"/>
          <w:lang w:val="en-AU"/>
        </w:rPr>
        <w:t>Peripheral blood mononuclear cells (PBMCs) from CLL patients were cultured on</w:t>
      </w:r>
      <w:r w:rsidRPr="00AA248A">
        <w:rPr>
          <w:rFonts w:eastAsia="Calibri" w:cstheme="minorHAnsi"/>
          <w:color w:val="000000" w:themeColor="text1"/>
          <w:sz w:val="22"/>
          <w:szCs w:val="22"/>
        </w:rPr>
        <w:t xml:space="preserve"> mouse embryonic fibroblast cells stably expressing the human CD40 ligand, segmented with rhIL-21 (25ng/ml, R&amp;D systems) and Goat F(ab')2 Anti-Human IgM (200ng/ml, </w:t>
      </w:r>
      <w:r w:rsidRPr="00AA248A">
        <w:rPr>
          <w:rFonts w:eastAsia="Times New Roman" w:cstheme="minorHAnsi"/>
          <w:sz w:val="22"/>
          <w:szCs w:val="22"/>
          <w:lang w:val="en-AU"/>
        </w:rPr>
        <w:t>SouthernBiotech)</w:t>
      </w:r>
      <w:r w:rsidRPr="00AA248A">
        <w:rPr>
          <w:rFonts w:eastAsia="Calibri" w:cstheme="minorHAnsi"/>
          <w:color w:val="000000" w:themeColor="text1"/>
          <w:sz w:val="22"/>
          <w:szCs w:val="22"/>
        </w:rPr>
        <w:t xml:space="preserve">. After 1-week, cells were taken off the CD40L-expressing feeder layer and treated with </w:t>
      </w:r>
      <w:r w:rsidRPr="00AA248A">
        <w:rPr>
          <w:rFonts w:eastAsia="Times New Roman" w:cstheme="minorHAnsi"/>
          <w:color w:val="000000" w:themeColor="text1"/>
          <w:sz w:val="22"/>
          <w:szCs w:val="22"/>
          <w:lang w:val="en-AU"/>
        </w:rPr>
        <w:t xml:space="preserve">5-point 1:8 serial dilutions of venetoclax starting from 10μM. After 24 hours, cell viability was assessed by </w:t>
      </w:r>
      <w:r w:rsidR="004E5E26">
        <w:rPr>
          <w:rFonts w:eastAsia="Times New Roman" w:cstheme="minorHAnsi"/>
          <w:color w:val="000000" w:themeColor="text1"/>
          <w:sz w:val="22"/>
          <w:szCs w:val="22"/>
          <w:lang w:val="en-AU"/>
        </w:rPr>
        <w:t>PI</w:t>
      </w:r>
      <w:r w:rsidRPr="00AA248A">
        <w:rPr>
          <w:rFonts w:eastAsia="Times New Roman" w:cstheme="minorHAnsi"/>
          <w:color w:val="000000" w:themeColor="text1"/>
          <w:sz w:val="22"/>
          <w:szCs w:val="22"/>
          <w:lang w:val="en-AU"/>
        </w:rPr>
        <w:t xml:space="preserve"> exclusion in CD5</w:t>
      </w:r>
      <w:r w:rsidRPr="00AA248A">
        <w:rPr>
          <w:rFonts w:eastAsia="Times New Roman" w:cstheme="minorHAnsi"/>
          <w:color w:val="000000" w:themeColor="text1"/>
          <w:sz w:val="22"/>
          <w:szCs w:val="22"/>
          <w:vertAlign w:val="superscript"/>
          <w:lang w:val="en-AU"/>
        </w:rPr>
        <w:t>+</w:t>
      </w:r>
      <w:r w:rsidRPr="00AA248A">
        <w:rPr>
          <w:rFonts w:eastAsia="Times New Roman" w:cstheme="minorHAnsi"/>
          <w:color w:val="000000" w:themeColor="text1"/>
          <w:sz w:val="22"/>
          <w:szCs w:val="22"/>
          <w:lang w:val="en-AU"/>
        </w:rPr>
        <w:t>CD19</w:t>
      </w:r>
      <w:r w:rsidRPr="00AA248A">
        <w:rPr>
          <w:rFonts w:eastAsia="Times New Roman" w:cstheme="minorHAnsi"/>
          <w:color w:val="000000" w:themeColor="text1"/>
          <w:sz w:val="22"/>
          <w:szCs w:val="22"/>
          <w:vertAlign w:val="superscript"/>
          <w:lang w:val="en-AU"/>
        </w:rPr>
        <w:t>+</w:t>
      </w:r>
      <w:r w:rsidRPr="00AA248A">
        <w:rPr>
          <w:rFonts w:eastAsia="Times New Roman" w:cstheme="minorHAnsi"/>
          <w:color w:val="000000" w:themeColor="text1"/>
          <w:sz w:val="22"/>
          <w:szCs w:val="22"/>
          <w:lang w:val="en-AU"/>
        </w:rPr>
        <w:t xml:space="preserve"> cells using FACSFortessa. </w:t>
      </w:r>
    </w:p>
    <w:p w14:paraId="4C6CD9B3" w14:textId="77777777" w:rsidR="00B03BE4" w:rsidRPr="00AA248A" w:rsidRDefault="00B03BE4" w:rsidP="00B03BE4">
      <w:pPr>
        <w:spacing w:line="480" w:lineRule="auto"/>
        <w:jc w:val="both"/>
        <w:rPr>
          <w:rFonts w:eastAsia="Times New Roman" w:cstheme="minorHAnsi"/>
          <w:i/>
          <w:sz w:val="22"/>
          <w:szCs w:val="22"/>
          <w:lang w:val="en-AU"/>
        </w:rPr>
      </w:pPr>
      <w:r w:rsidRPr="00AA248A">
        <w:rPr>
          <w:rFonts w:eastAsia="Times New Roman" w:cstheme="minorHAnsi"/>
          <w:i/>
          <w:sz w:val="22"/>
          <w:szCs w:val="22"/>
          <w:lang w:val="en-AU"/>
        </w:rPr>
        <w:t>FACS-sorting for BCL-XL expression</w:t>
      </w:r>
    </w:p>
    <w:p w14:paraId="06E8914E" w14:textId="77777777" w:rsidR="00B03BE4" w:rsidRPr="00AA248A" w:rsidRDefault="00B03BE4" w:rsidP="00B03BE4">
      <w:pPr>
        <w:spacing w:line="480" w:lineRule="auto"/>
        <w:jc w:val="both"/>
        <w:rPr>
          <w:rFonts w:eastAsia="Times New Roman" w:cstheme="minorHAnsi"/>
          <w:i/>
          <w:sz w:val="22"/>
          <w:szCs w:val="22"/>
          <w:lang w:val="en-AU"/>
        </w:rPr>
      </w:pPr>
      <w:r w:rsidRPr="00AA248A">
        <w:rPr>
          <w:rFonts w:eastAsia="Times New Roman" w:cstheme="minorHAnsi"/>
          <w:sz w:val="22"/>
          <w:szCs w:val="22"/>
          <w:lang w:val="en-AU"/>
        </w:rPr>
        <w:t xml:space="preserve">PBMCs from CLL2 were thawed and rested for 2 hours. Cells were stained with CD5-APC and CD19-BV510 for 30 min on ice. Cells were fixed with 1.6% paraformaldehyde (Electron Microscope Science) and permeabilized with 1xPerm buffer (Affymetrix eBiosciences). Cells were stained with BCLxL (1:100, </w:t>
      </w:r>
      <w:r w:rsidRPr="00AA248A">
        <w:rPr>
          <w:rFonts w:cstheme="minorHAnsi"/>
          <w:sz w:val="22"/>
          <w:szCs w:val="22"/>
        </w:rPr>
        <w:lastRenderedPageBreak/>
        <w:t xml:space="preserve">clone:E18, </w:t>
      </w:r>
      <w:r w:rsidRPr="00AA248A">
        <w:rPr>
          <w:rFonts w:eastAsia="Times New Roman" w:cstheme="minorHAnsi"/>
          <w:sz w:val="22"/>
          <w:szCs w:val="22"/>
          <w:lang w:val="en-AU"/>
        </w:rPr>
        <w:t>Abcam) followed by goat-anti-rabbit-FITC (1:100, SouthernBiotech). Viable CD5</w:t>
      </w:r>
      <w:r w:rsidRPr="00AA248A">
        <w:rPr>
          <w:rFonts w:eastAsia="Times New Roman" w:cstheme="minorHAnsi"/>
          <w:sz w:val="22"/>
          <w:szCs w:val="22"/>
          <w:vertAlign w:val="superscript"/>
          <w:lang w:val="en-AU"/>
        </w:rPr>
        <w:t>+</w:t>
      </w:r>
      <w:r w:rsidRPr="00AA248A">
        <w:rPr>
          <w:rFonts w:eastAsia="Times New Roman" w:cstheme="minorHAnsi"/>
          <w:sz w:val="22"/>
          <w:szCs w:val="22"/>
          <w:lang w:val="en-AU"/>
        </w:rPr>
        <w:t>CD19</w:t>
      </w:r>
      <w:r w:rsidRPr="00AA248A">
        <w:rPr>
          <w:rFonts w:eastAsia="Times New Roman" w:cstheme="minorHAnsi"/>
          <w:sz w:val="22"/>
          <w:szCs w:val="22"/>
          <w:vertAlign w:val="superscript"/>
          <w:lang w:val="en-AU"/>
        </w:rPr>
        <w:t>+</w:t>
      </w:r>
      <w:r w:rsidRPr="00AA248A">
        <w:rPr>
          <w:rFonts w:eastAsia="Times New Roman" w:cstheme="minorHAnsi"/>
          <w:sz w:val="22"/>
          <w:szCs w:val="22"/>
          <w:lang w:val="en-AU"/>
        </w:rPr>
        <w:t xml:space="preserve"> BCLxL</w:t>
      </w:r>
      <w:r w:rsidRPr="00AA248A">
        <w:rPr>
          <w:rFonts w:eastAsia="Times New Roman" w:cstheme="minorHAnsi"/>
          <w:sz w:val="22"/>
          <w:szCs w:val="22"/>
          <w:vertAlign w:val="superscript"/>
          <w:lang w:val="en-AU"/>
        </w:rPr>
        <w:t>low</w:t>
      </w:r>
      <w:r w:rsidRPr="00AA248A">
        <w:rPr>
          <w:rFonts w:eastAsia="Times New Roman" w:cstheme="minorHAnsi"/>
          <w:sz w:val="22"/>
          <w:szCs w:val="22"/>
          <w:lang w:val="en-AU"/>
        </w:rPr>
        <w:t xml:space="preserve"> cells and viable CD5</w:t>
      </w:r>
      <w:r w:rsidRPr="00AA248A">
        <w:rPr>
          <w:rFonts w:eastAsia="Times New Roman" w:cstheme="minorHAnsi"/>
          <w:sz w:val="22"/>
          <w:szCs w:val="22"/>
          <w:vertAlign w:val="superscript"/>
          <w:lang w:val="en-AU"/>
        </w:rPr>
        <w:t>+</w:t>
      </w:r>
      <w:r w:rsidRPr="00AA248A">
        <w:rPr>
          <w:rFonts w:eastAsia="Times New Roman" w:cstheme="minorHAnsi"/>
          <w:sz w:val="22"/>
          <w:szCs w:val="22"/>
          <w:lang w:val="en-AU"/>
        </w:rPr>
        <w:t>CD19</w:t>
      </w:r>
      <w:r w:rsidRPr="00AA248A">
        <w:rPr>
          <w:rFonts w:eastAsia="Times New Roman" w:cstheme="minorHAnsi"/>
          <w:sz w:val="22"/>
          <w:szCs w:val="22"/>
          <w:vertAlign w:val="superscript"/>
          <w:lang w:val="en-AU"/>
        </w:rPr>
        <w:t>+</w:t>
      </w:r>
      <w:r w:rsidRPr="00AA248A">
        <w:rPr>
          <w:rFonts w:eastAsia="Times New Roman" w:cstheme="minorHAnsi"/>
          <w:sz w:val="22"/>
          <w:szCs w:val="22"/>
          <w:lang w:val="en-AU"/>
        </w:rPr>
        <w:t xml:space="preserve"> BCLxL</w:t>
      </w:r>
      <w:r w:rsidRPr="00AA248A">
        <w:rPr>
          <w:rFonts w:eastAsia="Times New Roman" w:cstheme="minorHAnsi"/>
          <w:sz w:val="22"/>
          <w:szCs w:val="22"/>
          <w:vertAlign w:val="superscript"/>
          <w:lang w:val="en-AU"/>
        </w:rPr>
        <w:t>high</w:t>
      </w:r>
      <w:r w:rsidRPr="00AA248A">
        <w:rPr>
          <w:rFonts w:eastAsia="Times New Roman" w:cstheme="minorHAnsi"/>
          <w:sz w:val="22"/>
          <w:szCs w:val="22"/>
          <w:lang w:val="en-AU"/>
        </w:rPr>
        <w:t xml:space="preserve"> cells were sorted using the FACSAria (BD). </w:t>
      </w:r>
    </w:p>
    <w:p w14:paraId="231B18AE" w14:textId="77777777" w:rsidR="00B03BE4" w:rsidRPr="00AA248A" w:rsidRDefault="00B03BE4" w:rsidP="00B03BE4">
      <w:pPr>
        <w:spacing w:line="480" w:lineRule="auto"/>
        <w:jc w:val="both"/>
        <w:rPr>
          <w:rFonts w:cstheme="minorHAnsi"/>
          <w:i/>
          <w:color w:val="000000" w:themeColor="text1"/>
          <w:sz w:val="22"/>
          <w:szCs w:val="22"/>
        </w:rPr>
      </w:pPr>
    </w:p>
    <w:p w14:paraId="03119D07" w14:textId="77777777" w:rsidR="008F49DC" w:rsidRDefault="008F49DC" w:rsidP="00B03BE4">
      <w:pPr>
        <w:spacing w:line="480" w:lineRule="auto"/>
        <w:jc w:val="both"/>
        <w:rPr>
          <w:rFonts w:cstheme="minorHAnsi"/>
          <w:i/>
          <w:color w:val="000000" w:themeColor="text1"/>
          <w:sz w:val="22"/>
          <w:szCs w:val="22"/>
        </w:rPr>
      </w:pPr>
    </w:p>
    <w:p w14:paraId="618E9FA7" w14:textId="77777777" w:rsidR="00B03BE4" w:rsidRPr="00AA248A" w:rsidRDefault="00B03BE4" w:rsidP="00B03BE4">
      <w:pPr>
        <w:spacing w:line="480" w:lineRule="auto"/>
        <w:jc w:val="both"/>
        <w:rPr>
          <w:rFonts w:cstheme="minorHAnsi"/>
          <w:i/>
          <w:color w:val="000000" w:themeColor="text1"/>
          <w:sz w:val="22"/>
          <w:szCs w:val="22"/>
        </w:rPr>
      </w:pPr>
      <w:r w:rsidRPr="00AA248A">
        <w:rPr>
          <w:rFonts w:cstheme="minorHAnsi"/>
          <w:i/>
          <w:color w:val="000000" w:themeColor="text1"/>
          <w:sz w:val="22"/>
          <w:szCs w:val="22"/>
        </w:rPr>
        <w:t>SPR binding experiments</w:t>
      </w:r>
    </w:p>
    <w:p w14:paraId="378FBEB5" w14:textId="55152C2A" w:rsidR="00B03BE4" w:rsidRPr="00AA248A" w:rsidRDefault="00B03BE4" w:rsidP="00B03BE4">
      <w:pPr>
        <w:spacing w:line="480" w:lineRule="auto"/>
        <w:jc w:val="both"/>
        <w:rPr>
          <w:rFonts w:cstheme="minorHAnsi"/>
          <w:color w:val="000000" w:themeColor="text1"/>
          <w:sz w:val="22"/>
          <w:szCs w:val="22"/>
        </w:rPr>
      </w:pPr>
      <w:r w:rsidRPr="00AA248A">
        <w:rPr>
          <w:rFonts w:cstheme="minorHAnsi"/>
          <w:color w:val="000000" w:themeColor="text1"/>
          <w:sz w:val="22"/>
          <w:szCs w:val="22"/>
        </w:rPr>
        <w:t xml:space="preserve">All experiments were performed in HBS-EP buffer consisting 10 mM hepes pH 7.4, 150 mM sodium chloride, 3.4 mM EDTA, 0.005% tween 20 and optionally 1 mM TCEP for BaxBH3 experiments.  A streptavidin SPR chip (GE healthcare) was immobilised with either a BimBH3 (DMRPEIWIAQELRRIGDEFNAYYARR), BaxBH3 (ADASTKKLSECLKRIGDELDSNMELQRMIAA) or BimBH3-4A (DMRPEIWAAQEARRAGDEANAYYARR) peptide using hydrodynamic addressing. The sensor surface was immobilised with BimBH3 on spot 1, BimBH3-4A on spot 2 and 4, and BaxBH3 on spot 5, blocking free sites with biotin. All peptides were synthesised (Mimotopes) with an N-terminal biotin modification to allow binding to the streptavidin surface. BCL2 wild type, Gly101Val and Phe104Leu were expressed in </w:t>
      </w:r>
      <w:r w:rsidRPr="00AA248A">
        <w:rPr>
          <w:rFonts w:cstheme="minorHAnsi"/>
          <w:i/>
          <w:color w:val="000000" w:themeColor="text1"/>
          <w:sz w:val="22"/>
          <w:szCs w:val="22"/>
        </w:rPr>
        <w:t xml:space="preserve">E. coli </w:t>
      </w:r>
      <w:r w:rsidRPr="00AA248A">
        <w:rPr>
          <w:rFonts w:cstheme="minorHAnsi"/>
          <w:color w:val="000000" w:themeColor="text1"/>
          <w:sz w:val="22"/>
          <w:szCs w:val="22"/>
        </w:rPr>
        <w:t>and purified as described previously</w:t>
      </w:r>
      <w:r w:rsidRPr="00AA248A">
        <w:rPr>
          <w:rFonts w:cstheme="minorHAnsi"/>
          <w:color w:val="000000" w:themeColor="text1"/>
          <w:sz w:val="22"/>
          <w:szCs w:val="22"/>
        </w:rPr>
        <w:fldChar w:fldCharType="begin"/>
      </w:r>
      <w:r w:rsidRPr="00AA248A">
        <w:rPr>
          <w:rFonts w:cstheme="minorHAnsi"/>
          <w:color w:val="000000" w:themeColor="text1"/>
          <w:sz w:val="22"/>
          <w:szCs w:val="22"/>
        </w:rPr>
        <w:instrText xml:space="preserve"> ADDIN EN.CITE &lt;EndNote&gt;&lt;Cite&gt;&lt;Author&gt;Petros&lt;/Author&gt;&lt;Year&gt;2001&lt;/Year&gt;&lt;RecNum&gt;28&lt;/RecNum&gt;&lt;DisplayText&gt;&lt;style face="superscript"&gt;1&lt;/style&gt;&lt;/DisplayText&gt;&lt;record&gt;&lt;rec-number&gt;28&lt;/rec-number&gt;&lt;foreign-keys&gt;&lt;key app="EN" db-id="rr2pr2zelsvr59etpfpxz507xs9e5z5vfdew" timestamp="1537491180"&gt;28&lt;/key&gt;&lt;/foreign-keys&gt;&lt;ref-type name="Journal Article"&gt;17&lt;/ref-type&gt;&lt;contributors&gt;&lt;authors&gt;&lt;author&gt;Petros, A. M.&lt;/author&gt;&lt;author&gt;Medek, A.&lt;/author&gt;&lt;author&gt;Nettesheim, D. G.&lt;/author&gt;&lt;author&gt;Kim, D. H.&lt;/author&gt;&lt;author&gt;Yoon, H. S.&lt;/author&gt;&lt;author&gt;Swift, K.&lt;/author&gt;&lt;author&gt;Matayoshi, E. D.&lt;/author&gt;&lt;author&gt;Oltersdorf, T.&lt;/author&gt;&lt;author&gt;Fesik, S. W.&lt;/author&gt;&lt;/authors&gt;&lt;/contributors&gt;&lt;auth-address&gt;Pharmaceutical Discovery Division, Abbott Laboratories, Abbott Park, IL 60064, USA.&lt;/auth-address&gt;&lt;titles&gt;&lt;title&gt;Solution structure of the antiapoptotic protein bcl-2&lt;/title&gt;&lt;secondary-title&gt;Proc Natl Acad Sci U S A&lt;/secondary-title&gt;&lt;/titles&gt;&lt;periodical&gt;&lt;full-title&gt;Proc Natl Acad Sci U S A&lt;/full-title&gt;&lt;/periodical&gt;&lt;pages&gt;3012-7&lt;/pages&gt;&lt;volume&gt;98&lt;/volume&gt;&lt;number&gt;6&lt;/number&gt;&lt;keywords&gt;&lt;keyword&gt;Amino Acid Sequence&lt;/keyword&gt;&lt;keyword&gt;Models, Molecular&lt;/keyword&gt;&lt;keyword&gt;Molecular Sequence Data&lt;/keyword&gt;&lt;keyword&gt;Nuclear Magnetic Resonance, Biomolecular/methods&lt;/keyword&gt;&lt;keyword&gt;Protein Isoforms/chemistry/genetics&lt;/keyword&gt;&lt;keyword&gt;Protein Structure, Tertiary&lt;/keyword&gt;&lt;keyword&gt;Proto-Oncogene Proteins c-bcl-2/*chemistry/genetics&lt;/keyword&gt;&lt;keyword&gt;Recombinant Fusion Proteins/chemistry/genetics&lt;/keyword&gt;&lt;keyword&gt;Solutions&lt;/keyword&gt;&lt;keyword&gt;bcl-X Protein&lt;/keyword&gt;&lt;/keywords&gt;&lt;dates&gt;&lt;year&gt;2001&lt;/year&gt;&lt;pub-dates&gt;&lt;date&gt;Mar 13&lt;/date&gt;&lt;/pub-dates&gt;&lt;/dates&gt;&lt;isbn&gt;0027-8424 (Print)&amp;#xD;0027-8424 (Linking)&lt;/isbn&gt;&lt;accession-num&gt;11248023&lt;/accession-num&gt;&lt;urls&gt;&lt;related-urls&gt;&lt;url&gt;http://www.ncbi.nlm.nih.gov/pubmed/11248023&lt;/url&gt;&lt;/related-urls&gt;&lt;/urls&gt;&lt;custom2&gt;PMC30598&lt;/custom2&gt;&lt;electronic-resource-num&gt;10.1073/pnas.041619798&lt;/electronic-resource-num&gt;&lt;/record&gt;&lt;/Cite&gt;&lt;/EndNote&gt;</w:instrText>
      </w:r>
      <w:r w:rsidRPr="00AA248A">
        <w:rPr>
          <w:rFonts w:cstheme="minorHAnsi"/>
          <w:color w:val="000000" w:themeColor="text1"/>
          <w:sz w:val="22"/>
          <w:szCs w:val="22"/>
        </w:rPr>
        <w:fldChar w:fldCharType="separate"/>
      </w:r>
      <w:r w:rsidRPr="00AA248A">
        <w:rPr>
          <w:rFonts w:cstheme="minorHAnsi"/>
          <w:noProof/>
          <w:color w:val="000000" w:themeColor="text1"/>
          <w:sz w:val="22"/>
          <w:szCs w:val="22"/>
          <w:vertAlign w:val="superscript"/>
        </w:rPr>
        <w:t>1</w:t>
      </w:r>
      <w:r w:rsidRPr="00AA248A">
        <w:rPr>
          <w:rFonts w:cstheme="minorHAnsi"/>
          <w:color w:val="000000" w:themeColor="text1"/>
          <w:sz w:val="22"/>
          <w:szCs w:val="22"/>
        </w:rPr>
        <w:fldChar w:fldCharType="end"/>
      </w:r>
      <w:r w:rsidRPr="00AA248A">
        <w:rPr>
          <w:rFonts w:cstheme="minorHAnsi"/>
          <w:color w:val="000000" w:themeColor="text1"/>
          <w:sz w:val="22"/>
          <w:szCs w:val="22"/>
        </w:rPr>
        <w:t xml:space="preserve">. All experiments were double referenced using a buffer solution and BimBH3-4A </w:t>
      </w:r>
      <w:r w:rsidRPr="00AA248A">
        <w:rPr>
          <w:rFonts w:cstheme="minorHAnsi"/>
          <w:sz w:val="22"/>
          <w:szCs w:val="22"/>
        </w:rPr>
        <w:t xml:space="preserve">(h1-4 position in the BH3 motif mutated to alanine) </w:t>
      </w:r>
      <w:r w:rsidRPr="00AA248A">
        <w:rPr>
          <w:rFonts w:cstheme="minorHAnsi"/>
          <w:color w:val="000000" w:themeColor="text1"/>
          <w:sz w:val="22"/>
          <w:szCs w:val="22"/>
        </w:rPr>
        <w:t>as a peptide that does not bind BCL-2. Direct binding experiments were performed with approximately 200 RU peptide coupled to the chip with 180 sec injections and 1000 sec dissociations at 30 uL min</w:t>
      </w:r>
      <w:r w:rsidRPr="00AA248A">
        <w:rPr>
          <w:rFonts w:cstheme="minorHAnsi"/>
          <w:color w:val="000000" w:themeColor="text1"/>
          <w:sz w:val="22"/>
          <w:szCs w:val="22"/>
          <w:vertAlign w:val="superscript"/>
        </w:rPr>
        <w:t xml:space="preserve">-1 </w:t>
      </w:r>
      <w:r w:rsidRPr="00AA248A">
        <w:rPr>
          <w:rFonts w:cstheme="minorHAnsi"/>
          <w:color w:val="000000" w:themeColor="text1"/>
          <w:sz w:val="22"/>
          <w:szCs w:val="22"/>
        </w:rPr>
        <w:t xml:space="preserve">flowrate, and BCL2 concentrations in the range 0 – 63 nM. Direct binding data were fitted to a 1:1 kinetic binding model in BIAcore4000 BIAevaluation software (GE healthcare) deriving on and off rates and binding constants. Experiments were repeated with 3 independent purifications of BCL2 and mutants on independent flow cells on different days. Steady-state competition experiments were performed with </w:t>
      </w:r>
      <w:r w:rsidRPr="00AA248A">
        <w:rPr>
          <w:rFonts w:cstheme="minorHAnsi"/>
          <w:sz w:val="22"/>
          <w:szCs w:val="22"/>
        </w:rPr>
        <w:t>~2000 RU of immobilised BH3 peptides</w:t>
      </w:r>
      <w:r w:rsidRPr="00AA248A">
        <w:rPr>
          <w:rFonts w:cstheme="minorHAnsi"/>
          <w:color w:val="000000" w:themeColor="text1"/>
          <w:sz w:val="22"/>
          <w:szCs w:val="22"/>
        </w:rPr>
        <w:t xml:space="preserve"> as ligand, using various BCL2 concentrations in the range 0-250 nM combined with Venetoclax at 0, 20, 40 or 60 nM as the analyte solutions. Experiments were performed with a 10 uL min</w:t>
      </w:r>
      <w:r w:rsidRPr="00AA248A">
        <w:rPr>
          <w:rFonts w:cstheme="minorHAnsi"/>
          <w:color w:val="000000" w:themeColor="text1"/>
          <w:sz w:val="22"/>
          <w:szCs w:val="22"/>
          <w:vertAlign w:val="superscript"/>
        </w:rPr>
        <w:t xml:space="preserve">-1 </w:t>
      </w:r>
      <w:r w:rsidRPr="00AA248A">
        <w:rPr>
          <w:rFonts w:cstheme="minorHAnsi"/>
          <w:color w:val="000000" w:themeColor="text1"/>
          <w:sz w:val="22"/>
          <w:szCs w:val="22"/>
        </w:rPr>
        <w:t xml:space="preserve">flowrate with 600 sec injections and 30 sec dissociation. Responses at the end of the injection phase were derived by affinity analysis in Biacore 4000 BIAevaluation software and values plotted as a function of BCL2 and Venetoclax concentration in Prism 7.0d for mac (GraphPad Software, La Jolla </w:t>
      </w:r>
      <w:r w:rsidRPr="00AA248A">
        <w:rPr>
          <w:rFonts w:cstheme="minorHAnsi"/>
          <w:color w:val="000000" w:themeColor="text1"/>
          <w:sz w:val="22"/>
          <w:szCs w:val="22"/>
        </w:rPr>
        <w:lastRenderedPageBreak/>
        <w:t>California USA). Data were fitted to a steady-state competitive equation</w:t>
      </w:r>
      <w:r w:rsidRPr="00AA248A">
        <w:rPr>
          <w:rFonts w:cstheme="minorHAnsi"/>
          <w:color w:val="000000" w:themeColor="text1"/>
          <w:sz w:val="22"/>
          <w:szCs w:val="22"/>
        </w:rPr>
        <w:fldChar w:fldCharType="begin"/>
      </w:r>
      <w:r w:rsidRPr="00AA248A">
        <w:rPr>
          <w:rFonts w:cstheme="minorHAnsi"/>
          <w:color w:val="000000" w:themeColor="text1"/>
          <w:sz w:val="22"/>
          <w:szCs w:val="22"/>
        </w:rPr>
        <w:instrText xml:space="preserve"> ADDIN EN.CITE &lt;EndNote&gt;&lt;Cite&gt;&lt;Author&gt;de Mol&lt;/Author&gt;&lt;Year&gt;2010&lt;/Year&gt;&lt;RecNum&gt;29&lt;/RecNum&gt;&lt;DisplayText&gt;&lt;style face="superscript"&gt;2&lt;/style&gt;&lt;/DisplayText&gt;&lt;record&gt;&lt;rec-number&gt;29&lt;/rec-number&gt;&lt;foreign-keys&gt;&lt;key app="EN" db-id="rr2pr2zelsvr59etpfpxz507xs9e5z5vfdew" timestamp="1537491256"&gt;29&lt;/key&gt;&lt;/foreign-keys&gt;&lt;ref-type name="Journal Article"&gt;17&lt;/ref-type&gt;&lt;contributors&gt;&lt;authors&gt;&lt;author&gt;de Mol, N. J.&lt;/author&gt;&lt;/authors&gt;&lt;/contributors&gt;&lt;auth-address&gt;Department of Medicinal Chemistry and Chemical Biology, Utrecht Institute for Pharmaceutical Sciences, Utrecht, The Netherlands.&lt;/auth-address&gt;&lt;titles&gt;&lt;title&gt;Affinity constants for small molecules from SPR competition experiments&lt;/title&gt;&lt;secondary-title&gt;Methods Mol Biol&lt;/secondary-title&gt;&lt;/titles&gt;&lt;periodical&gt;&lt;full-title&gt;Methods Mol Biol&lt;/full-title&gt;&lt;/periodical&gt;&lt;pages&gt;101-11&lt;/pages&gt;&lt;volume&gt;627&lt;/volume&gt;&lt;keywords&gt;&lt;keyword&gt;Antibodies/analysis/metabolism&lt;/keyword&gt;&lt;keyword&gt;*Binding, Competitive&lt;/keyword&gt;&lt;keyword&gt;Drug Evaluation, Preclinical&lt;/keyword&gt;&lt;keyword&gt;Ligands&lt;/keyword&gt;&lt;keyword&gt;Macromolecular Substances/analysis/metabolism&lt;/keyword&gt;&lt;keyword&gt;Reproducibility of Results&lt;/keyword&gt;&lt;keyword&gt;Solutions&lt;/keyword&gt;&lt;keyword&gt;Surface Plasmon Resonance/instrumentation/*methods&lt;/keyword&gt;&lt;keyword&gt;Surface Properties&lt;/keyword&gt;&lt;keyword&gt;Thermodynamics&lt;/keyword&gt;&lt;/keywords&gt;&lt;dates&gt;&lt;year&gt;2010&lt;/year&gt;&lt;/dates&gt;&lt;isbn&gt;1940-6029 (Electronic)&amp;#xD;1064-3745 (Linking)&lt;/isbn&gt;&lt;accession-num&gt;20217616&lt;/accession-num&gt;&lt;urls&gt;&lt;related-urls&gt;&lt;url&gt;http://www.ncbi.nlm.nih.gov/pubmed/20217616&lt;/url&gt;&lt;/related-urls&gt;&lt;/urls&gt;&lt;electronic-resource-num&gt;10.1007/978-1-60761-670-2_6&lt;/electronic-resource-num&gt;&lt;/record&gt;&lt;/Cite&gt;&lt;/EndNote&gt;</w:instrText>
      </w:r>
      <w:r w:rsidRPr="00AA248A">
        <w:rPr>
          <w:rFonts w:cstheme="minorHAnsi"/>
          <w:color w:val="000000" w:themeColor="text1"/>
          <w:sz w:val="22"/>
          <w:szCs w:val="22"/>
        </w:rPr>
        <w:fldChar w:fldCharType="separate"/>
      </w:r>
      <w:r w:rsidRPr="00AA248A">
        <w:rPr>
          <w:rFonts w:cstheme="minorHAnsi"/>
          <w:noProof/>
          <w:color w:val="000000" w:themeColor="text1"/>
          <w:sz w:val="22"/>
          <w:szCs w:val="22"/>
          <w:vertAlign w:val="superscript"/>
        </w:rPr>
        <w:t>2</w:t>
      </w:r>
      <w:r w:rsidRPr="00AA248A">
        <w:rPr>
          <w:rFonts w:cstheme="minorHAnsi"/>
          <w:color w:val="000000" w:themeColor="text1"/>
          <w:sz w:val="22"/>
          <w:szCs w:val="22"/>
        </w:rPr>
        <w:fldChar w:fldCharType="end"/>
      </w:r>
      <w:r w:rsidRPr="00AA248A">
        <w:rPr>
          <w:rFonts w:cstheme="minorHAnsi"/>
          <w:color w:val="000000" w:themeColor="text1"/>
          <w:sz w:val="22"/>
          <w:szCs w:val="22"/>
        </w:rPr>
        <w:t xml:space="preserve"> (below) where </w:t>
      </w:r>
      <w:r w:rsidRPr="00AA248A">
        <w:rPr>
          <w:rFonts w:cstheme="minorHAnsi"/>
          <w:i/>
          <w:color w:val="000000" w:themeColor="text1"/>
          <w:sz w:val="22"/>
          <w:szCs w:val="22"/>
        </w:rPr>
        <w:t>R</w:t>
      </w:r>
      <w:r w:rsidRPr="00AA248A">
        <w:rPr>
          <w:rFonts w:cstheme="minorHAnsi"/>
          <w:i/>
          <w:color w:val="000000" w:themeColor="text1"/>
          <w:sz w:val="22"/>
          <w:szCs w:val="22"/>
          <w:vertAlign w:val="subscript"/>
        </w:rPr>
        <w:t>max</w:t>
      </w:r>
      <w:r w:rsidRPr="00AA248A">
        <w:rPr>
          <w:rFonts w:cstheme="minorHAnsi"/>
          <w:color w:val="000000" w:themeColor="text1"/>
          <w:sz w:val="22"/>
          <w:szCs w:val="22"/>
        </w:rPr>
        <w:t xml:space="preserve"> and </w:t>
      </w:r>
      <w:r w:rsidRPr="00AA248A">
        <w:rPr>
          <w:rFonts w:cstheme="minorHAnsi"/>
          <w:i/>
          <w:color w:val="000000" w:themeColor="text1"/>
          <w:sz w:val="22"/>
          <w:szCs w:val="22"/>
        </w:rPr>
        <w:t>K</w:t>
      </w:r>
      <w:r w:rsidRPr="00AA248A">
        <w:rPr>
          <w:rFonts w:cstheme="minorHAnsi"/>
          <w:i/>
          <w:color w:val="000000" w:themeColor="text1"/>
          <w:sz w:val="22"/>
          <w:szCs w:val="22"/>
          <w:vertAlign w:val="subscript"/>
        </w:rPr>
        <w:t>D</w:t>
      </w:r>
      <w:r w:rsidRPr="00AA248A">
        <w:rPr>
          <w:rFonts w:cstheme="minorHAnsi"/>
          <w:i/>
          <w:color w:val="000000" w:themeColor="text1"/>
          <w:sz w:val="22"/>
          <w:szCs w:val="22"/>
        </w:rPr>
        <w:t xml:space="preserve"> </w:t>
      </w:r>
      <w:r w:rsidRPr="00AA248A">
        <w:rPr>
          <w:rFonts w:cstheme="minorHAnsi"/>
          <w:color w:val="000000" w:themeColor="text1"/>
          <w:sz w:val="22"/>
          <w:szCs w:val="22"/>
        </w:rPr>
        <w:t>for BimBH3 binding were derived from</w:t>
      </w:r>
      <w:r w:rsidRPr="00AA248A">
        <w:rPr>
          <w:rFonts w:cstheme="minorHAnsi"/>
          <w:i/>
          <w:color w:val="000000" w:themeColor="text1"/>
          <w:sz w:val="22"/>
          <w:szCs w:val="22"/>
        </w:rPr>
        <w:t xml:space="preserve"> </w:t>
      </w:r>
      <w:r w:rsidRPr="00AA248A">
        <w:rPr>
          <w:rFonts w:cstheme="minorHAnsi"/>
          <w:color w:val="000000" w:themeColor="text1"/>
          <w:sz w:val="22"/>
          <w:szCs w:val="22"/>
        </w:rPr>
        <w:t xml:space="preserve">a 1 site specific binding model in Prism 7.0d fixed for each experiment and simultaneously fitting a shared </w:t>
      </w:r>
      <w:r w:rsidRPr="00AA248A">
        <w:rPr>
          <w:rFonts w:cstheme="minorHAnsi"/>
          <w:i/>
          <w:color w:val="000000" w:themeColor="text1"/>
          <w:sz w:val="22"/>
          <w:szCs w:val="22"/>
        </w:rPr>
        <w:t>K</w:t>
      </w:r>
      <w:r w:rsidRPr="00AA248A">
        <w:rPr>
          <w:rFonts w:cstheme="minorHAnsi"/>
          <w:i/>
          <w:color w:val="000000" w:themeColor="text1"/>
          <w:sz w:val="22"/>
          <w:szCs w:val="22"/>
          <w:vertAlign w:val="subscript"/>
        </w:rPr>
        <w:t>I</w:t>
      </w:r>
      <w:r w:rsidRPr="00AA248A">
        <w:rPr>
          <w:rFonts w:cstheme="minorHAnsi"/>
          <w:color w:val="000000" w:themeColor="text1"/>
          <w:sz w:val="22"/>
          <w:szCs w:val="22"/>
        </w:rPr>
        <w:t xml:space="preserve"> for each Venetoclax concentration 0, 20, 40 and 60 nM. Experiments were performed with independent batches of BCL2 on independent days. Steady-state competition equation:</w:t>
      </w:r>
    </w:p>
    <w:p w14:paraId="2093F4F5" w14:textId="77777777" w:rsidR="00B03BE4" w:rsidRPr="00AA248A" w:rsidRDefault="00B03BE4" w:rsidP="00B03BE4">
      <w:pPr>
        <w:spacing w:line="480" w:lineRule="auto"/>
        <w:rPr>
          <w:color w:val="000000" w:themeColor="text1"/>
          <w:sz w:val="22"/>
          <w:szCs w:val="22"/>
        </w:rPr>
      </w:pPr>
      <m:oMathPara>
        <m:oMath>
          <m:r>
            <w:rPr>
              <w:rFonts w:ascii="Cambria Math" w:hAnsi="Cambria Math"/>
              <w:color w:val="000000" w:themeColor="text1"/>
              <w:sz w:val="20"/>
              <w:szCs w:val="20"/>
            </w:rPr>
            <m:t>R=</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R</m:t>
              </m:r>
            </m:e>
            <m:sub>
              <m:r>
                <w:rPr>
                  <w:rFonts w:ascii="Cambria Math" w:hAnsi="Cambria Math"/>
                  <w:color w:val="000000" w:themeColor="text1"/>
                  <w:sz w:val="22"/>
                  <w:szCs w:val="22"/>
                </w:rPr>
                <m:t xml:space="preserve">max </m:t>
              </m:r>
            </m:sub>
          </m:sSub>
          <m:r>
            <w:rPr>
              <w:rFonts w:ascii="Cambria Math" w:hAnsi="Cambria Math"/>
              <w:color w:val="000000" w:themeColor="text1"/>
              <w:sz w:val="22"/>
              <w:szCs w:val="22"/>
            </w:rPr>
            <m:t xml:space="preserve">. </m:t>
          </m:r>
          <m:f>
            <m:fPr>
              <m:ctrlPr>
                <w:rPr>
                  <w:rFonts w:ascii="Cambria Math" w:hAnsi="Cambria Math"/>
                  <w:i/>
                  <w:color w:val="000000" w:themeColor="text1"/>
                  <w:sz w:val="22"/>
                  <w:szCs w:val="22"/>
                </w:rPr>
              </m:ctrlPr>
            </m:fPr>
            <m:num>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BCL2</m:t>
                  </m:r>
                </m:e>
              </m:d>
              <m:r>
                <w:rPr>
                  <w:rFonts w:ascii="Cambria Math" w:hAnsi="Cambria Math"/>
                  <w:color w:val="000000" w:themeColor="text1"/>
                  <w:sz w:val="22"/>
                  <w:szCs w:val="22"/>
                </w:rPr>
                <m:t xml:space="preserve">- </m:t>
              </m:r>
              <m:f>
                <m:fPr>
                  <m:ctrlPr>
                    <w:rPr>
                      <w:rFonts w:ascii="Cambria Math" w:hAnsi="Cambria Math"/>
                      <w:i/>
                      <w:color w:val="000000" w:themeColor="text1"/>
                      <w:sz w:val="22"/>
                      <w:szCs w:val="22"/>
                    </w:rPr>
                  </m:ctrlPr>
                </m:fPr>
                <m:num>
                  <m:d>
                    <m:dPr>
                      <m:ctrlPr>
                        <w:rPr>
                          <w:rFonts w:ascii="Cambria Math" w:hAnsi="Cambria Math"/>
                          <w:i/>
                          <w:color w:val="000000" w:themeColor="text1"/>
                          <w:sz w:val="22"/>
                          <w:szCs w:val="22"/>
                        </w:rPr>
                      </m:ctrlPr>
                    </m:dPr>
                    <m:e>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BCL2</m:t>
                          </m:r>
                        </m:e>
                      </m:d>
                      <m:r>
                        <w:rPr>
                          <w:rFonts w:ascii="Cambria Math" w:hAnsi="Cambria Math"/>
                          <w:color w:val="000000" w:themeColor="text1"/>
                          <w:sz w:val="22"/>
                          <w:szCs w:val="22"/>
                        </w:rPr>
                        <m:t>+</m:t>
                      </m:r>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VEN</m:t>
                          </m:r>
                        </m:e>
                      </m:d>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I</m:t>
                          </m:r>
                        </m:sub>
                      </m:sSub>
                    </m:e>
                  </m:d>
                  <m:r>
                    <w:rPr>
                      <w:rFonts w:ascii="Cambria Math" w:hAnsi="Cambria Math"/>
                      <w:color w:val="000000" w:themeColor="text1"/>
                      <w:sz w:val="22"/>
                      <w:szCs w:val="22"/>
                    </w:rPr>
                    <m:t xml:space="preserve">± </m:t>
                  </m:r>
                  <m:rad>
                    <m:radPr>
                      <m:degHide m:val="1"/>
                      <m:ctrlPr>
                        <w:rPr>
                          <w:rFonts w:ascii="Cambria Math" w:hAnsi="Cambria Math"/>
                          <w:i/>
                          <w:color w:val="000000" w:themeColor="text1"/>
                          <w:sz w:val="22"/>
                          <w:szCs w:val="22"/>
                        </w:rPr>
                      </m:ctrlPr>
                    </m:radPr>
                    <m:deg/>
                    <m:e>
                      <m:sSup>
                        <m:sSupPr>
                          <m:ctrlPr>
                            <w:rPr>
                              <w:rFonts w:ascii="Cambria Math" w:hAnsi="Cambria Math"/>
                              <w:i/>
                              <w:color w:val="000000" w:themeColor="text1"/>
                              <w:sz w:val="22"/>
                              <w:szCs w:val="22"/>
                            </w:rPr>
                          </m:ctrlPr>
                        </m:sSupPr>
                        <m:e>
                          <m:d>
                            <m:dPr>
                              <m:ctrlPr>
                                <w:rPr>
                                  <w:rFonts w:ascii="Cambria Math" w:hAnsi="Cambria Math"/>
                                  <w:i/>
                                  <w:color w:val="000000" w:themeColor="text1"/>
                                  <w:sz w:val="22"/>
                                  <w:szCs w:val="22"/>
                                </w:rPr>
                              </m:ctrlPr>
                            </m:dPr>
                            <m:e>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BCL2</m:t>
                                  </m:r>
                                </m:e>
                              </m:d>
                              <m:r>
                                <w:rPr>
                                  <w:rFonts w:ascii="Cambria Math" w:hAnsi="Cambria Math"/>
                                  <w:color w:val="000000" w:themeColor="text1"/>
                                  <w:sz w:val="22"/>
                                  <w:szCs w:val="22"/>
                                </w:rPr>
                                <m:t>+</m:t>
                              </m:r>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VEN</m:t>
                                  </m:r>
                                </m:e>
                              </m:d>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I</m:t>
                                  </m:r>
                                </m:sub>
                              </m:sSub>
                            </m:e>
                          </m:d>
                        </m:e>
                        <m:sup>
                          <m:r>
                            <w:rPr>
                              <w:rFonts w:ascii="Cambria Math" w:hAnsi="Cambria Math"/>
                              <w:color w:val="000000" w:themeColor="text1"/>
                              <w:sz w:val="22"/>
                              <w:szCs w:val="22"/>
                            </w:rPr>
                            <m:t>2</m:t>
                          </m:r>
                        </m:sup>
                      </m:sSup>
                      <m:r>
                        <w:rPr>
                          <w:rFonts w:ascii="Cambria Math" w:hAnsi="Cambria Math"/>
                          <w:color w:val="000000" w:themeColor="text1"/>
                          <w:sz w:val="22"/>
                          <w:szCs w:val="22"/>
                        </w:rPr>
                        <m:t>-4.(</m:t>
                      </m:r>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BCL2</m:t>
                          </m:r>
                        </m:e>
                      </m:d>
                      <m:r>
                        <w:rPr>
                          <w:rFonts w:ascii="Cambria Math" w:hAnsi="Cambria Math"/>
                          <w:color w:val="000000" w:themeColor="text1"/>
                          <w:sz w:val="22"/>
                          <w:szCs w:val="22"/>
                        </w:rPr>
                        <m:t>.[VEN]</m:t>
                      </m:r>
                    </m:e>
                  </m:rad>
                </m:num>
                <m:den>
                  <m:r>
                    <w:rPr>
                      <w:rFonts w:ascii="Cambria Math" w:hAnsi="Cambria Math"/>
                      <w:color w:val="000000" w:themeColor="text1"/>
                      <w:sz w:val="22"/>
                      <w:szCs w:val="22"/>
                    </w:rPr>
                    <m:t>2</m:t>
                  </m:r>
                </m:den>
              </m:f>
            </m:num>
            <m:den>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D</m:t>
                  </m:r>
                </m:sub>
              </m:sSub>
              <m:r>
                <w:rPr>
                  <w:rFonts w:ascii="Cambria Math" w:hAnsi="Cambria Math"/>
                  <w:color w:val="000000" w:themeColor="text1"/>
                  <w:sz w:val="22"/>
                  <w:szCs w:val="22"/>
                </w:rPr>
                <m:t xml:space="preserve">+ </m:t>
              </m:r>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BCL2</m:t>
                  </m:r>
                </m:e>
              </m:d>
              <m:r>
                <w:rPr>
                  <w:rFonts w:ascii="Cambria Math" w:hAnsi="Cambria Math"/>
                  <w:color w:val="000000" w:themeColor="text1"/>
                  <w:sz w:val="22"/>
                  <w:szCs w:val="22"/>
                </w:rPr>
                <m:t xml:space="preserve">- </m:t>
              </m:r>
              <m:f>
                <m:fPr>
                  <m:ctrlPr>
                    <w:rPr>
                      <w:rFonts w:ascii="Cambria Math" w:hAnsi="Cambria Math"/>
                      <w:i/>
                      <w:color w:val="000000" w:themeColor="text1"/>
                      <w:sz w:val="22"/>
                      <w:szCs w:val="22"/>
                    </w:rPr>
                  </m:ctrlPr>
                </m:fPr>
                <m:num>
                  <m:d>
                    <m:dPr>
                      <m:ctrlPr>
                        <w:rPr>
                          <w:rFonts w:ascii="Cambria Math" w:hAnsi="Cambria Math"/>
                          <w:i/>
                          <w:color w:val="000000" w:themeColor="text1"/>
                          <w:sz w:val="22"/>
                          <w:szCs w:val="22"/>
                        </w:rPr>
                      </m:ctrlPr>
                    </m:dPr>
                    <m:e>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BCL2</m:t>
                          </m:r>
                        </m:e>
                      </m:d>
                      <m:r>
                        <w:rPr>
                          <w:rFonts w:ascii="Cambria Math" w:hAnsi="Cambria Math"/>
                          <w:color w:val="000000" w:themeColor="text1"/>
                          <w:sz w:val="22"/>
                          <w:szCs w:val="22"/>
                        </w:rPr>
                        <m:t>+</m:t>
                      </m:r>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VEN</m:t>
                          </m:r>
                        </m:e>
                      </m:d>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I</m:t>
                          </m:r>
                        </m:sub>
                      </m:sSub>
                    </m:e>
                  </m:d>
                  <m:r>
                    <w:rPr>
                      <w:rFonts w:ascii="Cambria Math" w:hAnsi="Cambria Math"/>
                      <w:color w:val="000000" w:themeColor="text1"/>
                      <w:sz w:val="22"/>
                      <w:szCs w:val="22"/>
                    </w:rPr>
                    <m:t xml:space="preserve">± </m:t>
                  </m:r>
                  <m:rad>
                    <m:radPr>
                      <m:degHide m:val="1"/>
                      <m:ctrlPr>
                        <w:rPr>
                          <w:rFonts w:ascii="Cambria Math" w:hAnsi="Cambria Math"/>
                          <w:i/>
                          <w:color w:val="000000" w:themeColor="text1"/>
                          <w:sz w:val="22"/>
                          <w:szCs w:val="22"/>
                        </w:rPr>
                      </m:ctrlPr>
                    </m:radPr>
                    <m:deg/>
                    <m:e>
                      <m:sSup>
                        <m:sSupPr>
                          <m:ctrlPr>
                            <w:rPr>
                              <w:rFonts w:ascii="Cambria Math" w:hAnsi="Cambria Math"/>
                              <w:i/>
                              <w:color w:val="000000" w:themeColor="text1"/>
                              <w:sz w:val="22"/>
                              <w:szCs w:val="22"/>
                            </w:rPr>
                          </m:ctrlPr>
                        </m:sSupPr>
                        <m:e>
                          <m:d>
                            <m:dPr>
                              <m:ctrlPr>
                                <w:rPr>
                                  <w:rFonts w:ascii="Cambria Math" w:hAnsi="Cambria Math"/>
                                  <w:i/>
                                  <w:color w:val="000000" w:themeColor="text1"/>
                                  <w:sz w:val="22"/>
                                  <w:szCs w:val="22"/>
                                </w:rPr>
                              </m:ctrlPr>
                            </m:dPr>
                            <m:e>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BCL2</m:t>
                                  </m:r>
                                </m:e>
                              </m:d>
                              <m:r>
                                <w:rPr>
                                  <w:rFonts w:ascii="Cambria Math" w:hAnsi="Cambria Math"/>
                                  <w:color w:val="000000" w:themeColor="text1"/>
                                  <w:sz w:val="22"/>
                                  <w:szCs w:val="22"/>
                                </w:rPr>
                                <m:t>+</m:t>
                              </m:r>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VEN</m:t>
                                  </m:r>
                                </m:e>
                              </m:d>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I</m:t>
                                  </m:r>
                                </m:sub>
                              </m:sSub>
                            </m:e>
                          </m:d>
                        </m:e>
                        <m:sup>
                          <m:r>
                            <w:rPr>
                              <w:rFonts w:ascii="Cambria Math" w:hAnsi="Cambria Math"/>
                              <w:color w:val="000000" w:themeColor="text1"/>
                              <w:sz w:val="22"/>
                              <w:szCs w:val="22"/>
                            </w:rPr>
                            <m:t>2</m:t>
                          </m:r>
                        </m:sup>
                      </m:sSup>
                      <m:r>
                        <w:rPr>
                          <w:rFonts w:ascii="Cambria Math" w:hAnsi="Cambria Math"/>
                          <w:color w:val="000000" w:themeColor="text1"/>
                          <w:sz w:val="22"/>
                          <w:szCs w:val="22"/>
                        </w:rPr>
                        <m:t>-4.(</m:t>
                      </m:r>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BCL2</m:t>
                          </m:r>
                        </m:e>
                      </m:d>
                      <m:r>
                        <w:rPr>
                          <w:rFonts w:ascii="Cambria Math" w:hAnsi="Cambria Math"/>
                          <w:color w:val="000000" w:themeColor="text1"/>
                          <w:sz w:val="22"/>
                          <w:szCs w:val="22"/>
                        </w:rPr>
                        <m:t>.[VEN]</m:t>
                      </m:r>
                    </m:e>
                  </m:rad>
                </m:num>
                <m:den>
                  <m:r>
                    <w:rPr>
                      <w:rFonts w:ascii="Cambria Math" w:hAnsi="Cambria Math"/>
                      <w:color w:val="000000" w:themeColor="text1"/>
                      <w:sz w:val="22"/>
                      <w:szCs w:val="22"/>
                    </w:rPr>
                    <m:t>2</m:t>
                  </m:r>
                </m:den>
              </m:f>
            </m:den>
          </m:f>
        </m:oMath>
      </m:oMathPara>
    </w:p>
    <w:p w14:paraId="2D14B6BF" w14:textId="55C1C0ED" w:rsidR="00B03BE4" w:rsidRPr="00AA248A" w:rsidRDefault="00B03BE4" w:rsidP="008F49DC">
      <w:pPr>
        <w:spacing w:after="120" w:line="480" w:lineRule="auto"/>
        <w:rPr>
          <w:rFonts w:cstheme="minorHAnsi"/>
          <w:color w:val="000000" w:themeColor="text1"/>
          <w:sz w:val="22"/>
          <w:szCs w:val="22"/>
        </w:rPr>
      </w:pPr>
      <w:r w:rsidRPr="00AA248A">
        <w:rPr>
          <w:rFonts w:cstheme="minorHAnsi"/>
          <w:i/>
          <w:color w:val="000000" w:themeColor="text1"/>
          <w:sz w:val="22"/>
          <w:szCs w:val="22"/>
        </w:rPr>
        <w:t>R</w:t>
      </w:r>
      <w:r w:rsidRPr="00AA248A">
        <w:rPr>
          <w:rFonts w:cstheme="minorHAnsi"/>
          <w:color w:val="000000" w:themeColor="text1"/>
          <w:sz w:val="22"/>
          <w:szCs w:val="22"/>
        </w:rPr>
        <w:t xml:space="preserve"> = response, </w:t>
      </w:r>
      <w:r w:rsidRPr="00AA248A">
        <w:rPr>
          <w:rFonts w:cstheme="minorHAnsi"/>
          <w:i/>
          <w:color w:val="000000" w:themeColor="text1"/>
          <w:sz w:val="22"/>
          <w:szCs w:val="22"/>
        </w:rPr>
        <w:t>R</w:t>
      </w:r>
      <w:r w:rsidRPr="00AA248A">
        <w:rPr>
          <w:rFonts w:cstheme="minorHAnsi"/>
          <w:i/>
          <w:color w:val="000000" w:themeColor="text1"/>
          <w:sz w:val="22"/>
          <w:szCs w:val="22"/>
          <w:vertAlign w:val="subscript"/>
        </w:rPr>
        <w:t>max</w:t>
      </w:r>
      <w:r w:rsidRPr="00AA248A">
        <w:rPr>
          <w:rFonts w:cstheme="minorHAnsi"/>
          <w:color w:val="000000" w:themeColor="text1"/>
          <w:sz w:val="22"/>
          <w:szCs w:val="22"/>
        </w:rPr>
        <w:t xml:space="preserve"> = fixed maximal response, </w:t>
      </w:r>
      <w:r w:rsidRPr="00AA248A">
        <w:rPr>
          <w:rFonts w:cstheme="minorHAnsi"/>
          <w:i/>
          <w:color w:val="000000" w:themeColor="text1"/>
          <w:sz w:val="22"/>
          <w:szCs w:val="22"/>
        </w:rPr>
        <w:t>[BCL2]</w:t>
      </w:r>
      <w:r w:rsidRPr="00AA248A">
        <w:rPr>
          <w:rFonts w:cstheme="minorHAnsi"/>
          <w:color w:val="000000" w:themeColor="text1"/>
          <w:sz w:val="22"/>
          <w:szCs w:val="22"/>
        </w:rPr>
        <w:t xml:space="preserve"> = fixed BCL2 concentration, </w:t>
      </w:r>
      <w:r w:rsidRPr="00AA248A">
        <w:rPr>
          <w:rFonts w:cstheme="minorHAnsi"/>
          <w:i/>
          <w:color w:val="000000" w:themeColor="text1"/>
          <w:sz w:val="22"/>
          <w:szCs w:val="22"/>
        </w:rPr>
        <w:t>[VEN]</w:t>
      </w:r>
      <w:r w:rsidRPr="00AA248A">
        <w:rPr>
          <w:rFonts w:cstheme="minorHAnsi"/>
          <w:color w:val="000000" w:themeColor="text1"/>
          <w:sz w:val="22"/>
          <w:szCs w:val="22"/>
        </w:rPr>
        <w:t xml:space="preserve"> = fixed Venetoclax concentration, </w:t>
      </w:r>
      <w:r w:rsidRPr="00AA248A">
        <w:rPr>
          <w:rFonts w:cstheme="minorHAnsi"/>
          <w:i/>
          <w:color w:val="000000" w:themeColor="text1"/>
          <w:sz w:val="22"/>
          <w:szCs w:val="22"/>
        </w:rPr>
        <w:t>K</w:t>
      </w:r>
      <w:r w:rsidRPr="00AA248A">
        <w:rPr>
          <w:rFonts w:cstheme="minorHAnsi"/>
          <w:i/>
          <w:color w:val="000000" w:themeColor="text1"/>
          <w:sz w:val="22"/>
          <w:szCs w:val="22"/>
          <w:vertAlign w:val="subscript"/>
        </w:rPr>
        <w:t>D</w:t>
      </w:r>
      <w:r w:rsidRPr="00AA248A">
        <w:rPr>
          <w:rFonts w:cstheme="minorHAnsi"/>
          <w:color w:val="000000" w:themeColor="text1"/>
          <w:sz w:val="22"/>
          <w:szCs w:val="22"/>
        </w:rPr>
        <w:t xml:space="preserve"> = fixed BimBH3 peptide apparent steady-state binding constant, </w:t>
      </w:r>
      <w:r w:rsidRPr="00AA248A">
        <w:rPr>
          <w:rFonts w:cstheme="minorHAnsi"/>
          <w:i/>
          <w:color w:val="000000" w:themeColor="text1"/>
          <w:sz w:val="22"/>
          <w:szCs w:val="22"/>
        </w:rPr>
        <w:t>K</w:t>
      </w:r>
      <w:r w:rsidRPr="00AA248A">
        <w:rPr>
          <w:rFonts w:cstheme="minorHAnsi"/>
          <w:i/>
          <w:color w:val="000000" w:themeColor="text1"/>
          <w:sz w:val="22"/>
          <w:szCs w:val="22"/>
          <w:vertAlign w:val="subscript"/>
        </w:rPr>
        <w:t>I</w:t>
      </w:r>
      <w:r w:rsidRPr="00AA248A">
        <w:rPr>
          <w:rFonts w:cstheme="minorHAnsi"/>
          <w:color w:val="000000" w:themeColor="text1"/>
          <w:sz w:val="22"/>
          <w:szCs w:val="22"/>
          <w:vertAlign w:val="subscript"/>
        </w:rPr>
        <w:t xml:space="preserve"> </w:t>
      </w:r>
      <w:r w:rsidRPr="00AA248A">
        <w:rPr>
          <w:rFonts w:cstheme="minorHAnsi"/>
          <w:color w:val="000000" w:themeColor="text1"/>
          <w:sz w:val="22"/>
          <w:szCs w:val="22"/>
        </w:rPr>
        <w:t>= fitted equilibrium binding constant for Venetoclax.</w:t>
      </w:r>
    </w:p>
    <w:p w14:paraId="0EB37CC8" w14:textId="77777777" w:rsidR="00B03BE4" w:rsidRPr="008F49DC" w:rsidRDefault="00B03BE4" w:rsidP="00B03BE4">
      <w:pPr>
        <w:pStyle w:val="p1"/>
        <w:spacing w:line="480" w:lineRule="auto"/>
        <w:jc w:val="both"/>
        <w:rPr>
          <w:rFonts w:asciiTheme="minorHAnsi" w:hAnsiTheme="minorHAnsi" w:cs="Arial"/>
          <w:i/>
          <w:sz w:val="22"/>
          <w:szCs w:val="22"/>
        </w:rPr>
      </w:pPr>
      <w:r w:rsidRPr="008F49DC">
        <w:rPr>
          <w:rFonts w:asciiTheme="minorHAnsi" w:hAnsiTheme="minorHAnsi" w:cs="Arial"/>
          <w:bCs/>
          <w:i/>
          <w:color w:val="222222"/>
          <w:sz w:val="22"/>
          <w:szCs w:val="22"/>
        </w:rPr>
        <w:t>Co</w:t>
      </w:r>
      <w:r w:rsidRPr="008F49DC">
        <w:rPr>
          <w:rFonts w:asciiTheme="minorHAnsi" w:hAnsiTheme="minorHAnsi" w:cs="Arial"/>
          <w:i/>
          <w:color w:val="222222"/>
          <w:sz w:val="22"/>
          <w:szCs w:val="22"/>
          <w:shd w:val="clear" w:color="auto" w:fill="FFFFFF"/>
        </w:rPr>
        <w:t>-</w:t>
      </w:r>
      <w:r w:rsidRPr="008F49DC">
        <w:rPr>
          <w:rFonts w:asciiTheme="minorHAnsi" w:hAnsiTheme="minorHAnsi" w:cs="Arial"/>
          <w:bCs/>
          <w:i/>
          <w:color w:val="222222"/>
          <w:sz w:val="22"/>
          <w:szCs w:val="22"/>
        </w:rPr>
        <w:t xml:space="preserve">immunoprecipitation </w:t>
      </w:r>
    </w:p>
    <w:p w14:paraId="5EAA1802" w14:textId="6128AF23" w:rsidR="00B03BE4" w:rsidRPr="008F49DC" w:rsidRDefault="00B03BE4" w:rsidP="008F49DC">
      <w:pPr>
        <w:spacing w:after="120" w:line="480" w:lineRule="auto"/>
        <w:jc w:val="both"/>
        <w:rPr>
          <w:rFonts w:cs="Arial"/>
          <w:color w:val="000000" w:themeColor="text1"/>
          <w:sz w:val="22"/>
          <w:szCs w:val="22"/>
        </w:rPr>
      </w:pPr>
      <w:r w:rsidRPr="00AA248A">
        <w:rPr>
          <w:rFonts w:cs="Arial"/>
          <w:color w:val="000000"/>
          <w:sz w:val="22"/>
          <w:szCs w:val="22"/>
        </w:rPr>
        <w:t>2x10</w:t>
      </w:r>
      <w:r w:rsidRPr="00AA248A">
        <w:rPr>
          <w:rFonts w:cs="Arial"/>
          <w:color w:val="000000"/>
          <w:sz w:val="22"/>
          <w:szCs w:val="22"/>
          <w:vertAlign w:val="superscript"/>
        </w:rPr>
        <w:t xml:space="preserve">7 </w:t>
      </w:r>
      <w:r w:rsidRPr="00AA248A">
        <w:rPr>
          <w:rFonts w:cs="Arial"/>
          <w:color w:val="000000"/>
          <w:sz w:val="22"/>
          <w:szCs w:val="22"/>
        </w:rPr>
        <w:t xml:space="preserve">KMS-12-PE cells expressing FLAG-BCL2 or the BCL2 mutants were treated with increasing concentrations of </w:t>
      </w:r>
      <w:r w:rsidRPr="00AA248A">
        <w:rPr>
          <w:rFonts w:eastAsia="Calibri" w:cs="Arial"/>
          <w:color w:val="000000" w:themeColor="text1"/>
          <w:sz w:val="22"/>
          <w:szCs w:val="22"/>
        </w:rPr>
        <w:t xml:space="preserve">venetoclax or the DMSO control </w:t>
      </w:r>
      <w:r w:rsidRPr="00AA248A">
        <w:rPr>
          <w:rFonts w:cs="Arial"/>
          <w:bCs/>
          <w:sz w:val="22"/>
          <w:szCs w:val="22"/>
        </w:rPr>
        <w:t xml:space="preserve">in the presence of 25μM pan-caspase inhibitor </w:t>
      </w:r>
      <w:r w:rsidRPr="00AA248A">
        <w:rPr>
          <w:rFonts w:cs="Arial"/>
          <w:sz w:val="22"/>
          <w:szCs w:val="22"/>
        </w:rPr>
        <w:t xml:space="preserve">Q-VD-OPH </w:t>
      </w:r>
      <w:r w:rsidRPr="00AA248A">
        <w:rPr>
          <w:rFonts w:cs="Arial"/>
          <w:bCs/>
          <w:sz w:val="22"/>
          <w:szCs w:val="22"/>
        </w:rPr>
        <w:t>(MP Biomedicals) for 6 hours.  Cells were then harvested, washed twice with PBS</w:t>
      </w:r>
      <w:r w:rsidRPr="00AA248A">
        <w:rPr>
          <w:rFonts w:cs="Arial"/>
          <w:color w:val="000000"/>
          <w:sz w:val="22"/>
          <w:szCs w:val="22"/>
        </w:rPr>
        <w:t xml:space="preserve"> and lysed in 500μl ONYX lysis Buffer </w:t>
      </w:r>
      <w:r w:rsidRPr="00AA248A">
        <w:rPr>
          <w:rFonts w:cs="Arial"/>
          <w:color w:val="000000" w:themeColor="text1"/>
          <w:sz w:val="22"/>
          <w:szCs w:val="22"/>
        </w:rPr>
        <w:t xml:space="preserve">(20mM Tris-HCl pH 7.4, 135mM NaCl, 1.5 mM MgCl2, 1mM EDTA, 10% glycerol) containing 1% Triton X-100 and complete protease inhibitors (Roche). </w:t>
      </w:r>
      <w:r w:rsidRPr="00AA248A">
        <w:rPr>
          <w:rFonts w:cs="Arial"/>
          <w:color w:val="000000"/>
          <w:sz w:val="22"/>
          <w:szCs w:val="22"/>
        </w:rPr>
        <w:t xml:space="preserve"> </w:t>
      </w:r>
      <w:r w:rsidRPr="00AA248A">
        <w:rPr>
          <w:rFonts w:cs="Arial"/>
          <w:color w:val="000000" w:themeColor="text1"/>
          <w:sz w:val="22"/>
          <w:szCs w:val="22"/>
        </w:rPr>
        <w:t>Protein content was quantified using the Bradford assay (Bio-Rad). Equivalent amount of total protein lysates was then incubated with anti-FLAG antibody (</w:t>
      </w:r>
      <w:r w:rsidRPr="00AA248A">
        <w:rPr>
          <w:rFonts w:cs="Arial"/>
          <w:color w:val="000000"/>
          <w:sz w:val="22"/>
          <w:szCs w:val="22"/>
        </w:rPr>
        <w:t>clone 9H1, WEHI</w:t>
      </w:r>
      <w:r w:rsidRPr="00AA248A">
        <w:rPr>
          <w:rFonts w:cs="Arial"/>
          <w:color w:val="000000" w:themeColor="text1"/>
          <w:sz w:val="22"/>
          <w:szCs w:val="22"/>
        </w:rPr>
        <w:t xml:space="preserve">) at </w:t>
      </w:r>
      <w:r w:rsidRPr="00AA248A">
        <w:rPr>
          <w:rFonts w:cs="Arial"/>
          <w:color w:val="000000"/>
          <w:sz w:val="22"/>
          <w:szCs w:val="22"/>
        </w:rPr>
        <w:t>4°C for 3h followed by the incubation of protein G-sepharose beads (</w:t>
      </w:r>
      <w:r w:rsidRPr="00AA248A">
        <w:rPr>
          <w:rFonts w:cs="Arial"/>
          <w:bCs/>
          <w:sz w:val="22"/>
          <w:szCs w:val="22"/>
        </w:rPr>
        <w:t>GE Healthcare</w:t>
      </w:r>
      <w:r w:rsidRPr="00AA248A">
        <w:rPr>
          <w:rFonts w:cs="Arial"/>
          <w:color w:val="000000"/>
          <w:sz w:val="22"/>
          <w:szCs w:val="22"/>
        </w:rPr>
        <w:t>) at 4°C overnight. Beads were then collected by spin at 3,000rpm at 4°C</w:t>
      </w:r>
      <w:r w:rsidRPr="00AA248A">
        <w:rPr>
          <w:rFonts w:cs="Arial"/>
          <w:bCs/>
          <w:sz w:val="22"/>
          <w:szCs w:val="22"/>
        </w:rPr>
        <w:t xml:space="preserve"> for </w:t>
      </w:r>
      <w:r w:rsidRPr="00AA248A">
        <w:rPr>
          <w:rFonts w:cs="Arial"/>
          <w:color w:val="000000"/>
          <w:sz w:val="22"/>
          <w:szCs w:val="22"/>
        </w:rPr>
        <w:t>1min and washed with PBS for 5 times. Bound proteins were eluted with 100μl 2x SDS reducing buffer</w:t>
      </w:r>
      <w:r w:rsidRPr="00AA248A">
        <w:rPr>
          <w:rStyle w:val="apple-converted-space"/>
          <w:rFonts w:cs="Arial"/>
          <w:color w:val="000000"/>
          <w:sz w:val="22"/>
          <w:szCs w:val="22"/>
        </w:rPr>
        <w:t xml:space="preserve"> boiled </w:t>
      </w:r>
      <w:r w:rsidRPr="00AA248A">
        <w:rPr>
          <w:rFonts w:cs="Arial"/>
          <w:color w:val="000000"/>
          <w:sz w:val="22"/>
          <w:szCs w:val="22"/>
        </w:rPr>
        <w:t xml:space="preserve">at 95°C for 10 mins. An aliquot of total protein lysates was spared, </w:t>
      </w:r>
      <w:r w:rsidRPr="00AA248A">
        <w:rPr>
          <w:rFonts w:cs="Arial"/>
          <w:color w:val="000000" w:themeColor="text1"/>
          <w:sz w:val="22"/>
          <w:szCs w:val="22"/>
        </w:rPr>
        <w:t>diluted with 4XSDS reducing buffer at a 3:1 ratio, denatured at 95</w:t>
      </w:r>
      <w:r w:rsidRPr="00AA248A">
        <w:rPr>
          <w:rFonts w:cs="Arial"/>
          <w:color w:val="000000" w:themeColor="text1"/>
          <w:sz w:val="22"/>
          <w:szCs w:val="22"/>
        </w:rPr>
        <w:sym w:font="Symbol" w:char="F0B0"/>
      </w:r>
      <w:r w:rsidRPr="00AA248A">
        <w:rPr>
          <w:rFonts w:cs="Arial"/>
          <w:color w:val="000000" w:themeColor="text1"/>
          <w:sz w:val="22"/>
          <w:szCs w:val="22"/>
        </w:rPr>
        <w:t>C for 10min and served for loading control.  The amount of immunoprecipitated and/or total level of BIM (clone 3C5, WEHI, 1:1000), BAX (clone 21C10, WEHI, 1:1000), BAK (clone 7D10, WEHI, 1:1000), FLAG (</w:t>
      </w:r>
      <w:r w:rsidRPr="00AA248A">
        <w:rPr>
          <w:rFonts w:cs="Arial"/>
          <w:color w:val="000000"/>
          <w:sz w:val="22"/>
          <w:szCs w:val="22"/>
        </w:rPr>
        <w:t>clone 9H1, WEHI, 1:1000</w:t>
      </w:r>
      <w:r w:rsidRPr="00AA248A">
        <w:rPr>
          <w:rFonts w:cs="Arial"/>
          <w:color w:val="000000" w:themeColor="text1"/>
          <w:sz w:val="22"/>
          <w:szCs w:val="22"/>
        </w:rPr>
        <w:t>), HSP70 (clone N6, WEHI, 1:5000) was then determined by immuno</w:t>
      </w:r>
      <w:r w:rsidR="004E5E26">
        <w:rPr>
          <w:rFonts w:cs="Arial"/>
          <w:color w:val="000000" w:themeColor="text1"/>
          <w:sz w:val="22"/>
          <w:szCs w:val="22"/>
        </w:rPr>
        <w:t>blotting</w:t>
      </w:r>
      <w:r w:rsidRPr="00AA248A">
        <w:rPr>
          <w:rFonts w:cs="Arial"/>
          <w:color w:val="000000" w:themeColor="text1"/>
          <w:sz w:val="22"/>
          <w:szCs w:val="22"/>
        </w:rPr>
        <w:t>.</w:t>
      </w:r>
    </w:p>
    <w:p w14:paraId="3E67E828" w14:textId="77777777" w:rsidR="00B03BE4" w:rsidRPr="008F49DC" w:rsidRDefault="00B03BE4" w:rsidP="00B03BE4">
      <w:pPr>
        <w:spacing w:line="480" w:lineRule="auto"/>
        <w:jc w:val="both"/>
        <w:rPr>
          <w:rFonts w:cstheme="minorHAnsi"/>
          <w:i/>
          <w:sz w:val="22"/>
          <w:szCs w:val="22"/>
          <w:lang w:val="en-AU"/>
        </w:rPr>
      </w:pPr>
      <w:r w:rsidRPr="008F49DC">
        <w:rPr>
          <w:rFonts w:cstheme="minorHAnsi"/>
          <w:i/>
          <w:sz w:val="22"/>
          <w:szCs w:val="22"/>
          <w:lang w:val="en-AU"/>
        </w:rPr>
        <w:lastRenderedPageBreak/>
        <w:t>Mass cytometry</w:t>
      </w:r>
    </w:p>
    <w:p w14:paraId="0B174BBB" w14:textId="078180C4" w:rsidR="00B03BE4" w:rsidRPr="00AA248A" w:rsidRDefault="002351F2" w:rsidP="008F49DC">
      <w:pPr>
        <w:spacing w:after="120" w:line="480" w:lineRule="auto"/>
        <w:jc w:val="both"/>
        <w:rPr>
          <w:sz w:val="22"/>
          <w:szCs w:val="22"/>
          <w:lang w:val="en-AU"/>
        </w:rPr>
      </w:pPr>
      <w:r>
        <w:rPr>
          <w:sz w:val="22"/>
          <w:szCs w:val="22"/>
          <w:lang w:val="en-AU"/>
        </w:rPr>
        <w:t>After incubation</w:t>
      </w:r>
      <w:r w:rsidR="00B03BE4" w:rsidRPr="00AA248A">
        <w:rPr>
          <w:sz w:val="22"/>
          <w:szCs w:val="22"/>
          <w:lang w:val="en-AU"/>
        </w:rPr>
        <w:t xml:space="preserve"> with cisplatin to allow detection of non-viable cells by mass cytometry</w:t>
      </w:r>
      <w:r>
        <w:rPr>
          <w:sz w:val="22"/>
          <w:szCs w:val="22"/>
          <w:lang w:val="en-AU"/>
        </w:rPr>
        <w:t>, c</w:t>
      </w:r>
      <w:r w:rsidR="00B03BE4" w:rsidRPr="00AA248A">
        <w:rPr>
          <w:sz w:val="22"/>
          <w:szCs w:val="22"/>
          <w:lang w:val="en-AU"/>
        </w:rPr>
        <w:t>ells were fixed with paraformaldehyde (PFA: Electron Microscopy Sciences, Hatfield, PA, USA) at a concentration of 1.6%(v/v) for 10 minutes at room temperature. Cells were pelleted and washed once with cell staining medium (CSM; PBS with 0.5% BSA and 0.02% sodium azide) to remove residual PFA and stored at -80</w:t>
      </w:r>
      <w:r w:rsidR="00B03BE4" w:rsidRPr="00AA248A">
        <w:rPr>
          <w:sz w:val="22"/>
          <w:szCs w:val="22"/>
          <w:lang w:val="en-AU"/>
        </w:rPr>
        <w:sym w:font="Symbol" w:char="F0B0"/>
      </w:r>
      <w:r w:rsidR="00B03BE4" w:rsidRPr="00AA248A">
        <w:rPr>
          <w:sz w:val="22"/>
          <w:szCs w:val="22"/>
          <w:lang w:val="en-AU"/>
        </w:rPr>
        <w:t>C.</w:t>
      </w:r>
    </w:p>
    <w:p w14:paraId="60B9094E" w14:textId="0285145A" w:rsidR="00B03BE4" w:rsidRPr="008F49DC" w:rsidRDefault="00B03BE4" w:rsidP="008F49DC">
      <w:pPr>
        <w:spacing w:after="120" w:line="480" w:lineRule="auto"/>
        <w:jc w:val="both"/>
        <w:rPr>
          <w:sz w:val="22"/>
          <w:szCs w:val="22"/>
          <w:lang w:val="en-AU"/>
        </w:rPr>
      </w:pPr>
      <w:r w:rsidRPr="00AA248A">
        <w:rPr>
          <w:sz w:val="22"/>
          <w:szCs w:val="22"/>
          <w:lang w:val="en-AU"/>
        </w:rPr>
        <w:t>Cell samples for batch analysis were barcoded using the 20-plex palladium barcoding kit according to manufacturer’s instructions (Fluidigm, South San Francisco, CA, USA). Following barcoding, cells were pelleted and washed once with CSM to remove residual PFA. Cells were then permeabilized at 4</w:t>
      </w:r>
      <w:r w:rsidRPr="00AA248A">
        <w:rPr>
          <w:sz w:val="22"/>
          <w:szCs w:val="22"/>
          <w:lang w:val="en-AU"/>
        </w:rPr>
        <w:sym w:font="Symbol" w:char="F0B0"/>
      </w:r>
      <w:r w:rsidRPr="00AA248A">
        <w:rPr>
          <w:sz w:val="22"/>
          <w:szCs w:val="22"/>
          <w:lang w:val="en-AU"/>
        </w:rPr>
        <w:t>C with methanol for 10 min. Cells were washed three times with CSM and stained with anti-BCL2</w:t>
      </w:r>
      <w:r w:rsidRPr="00AA248A">
        <w:rPr>
          <w:sz w:val="22"/>
          <w:szCs w:val="22"/>
          <w:vertAlign w:val="superscript"/>
          <w:lang w:val="en-AU"/>
        </w:rPr>
        <w:t>157</w:t>
      </w:r>
      <w:r w:rsidRPr="00AA248A">
        <w:rPr>
          <w:sz w:val="22"/>
          <w:szCs w:val="22"/>
          <w:lang w:val="en-AU"/>
        </w:rPr>
        <w:t>Gd (clone 100, WEHI), anti-MCL1</w:t>
      </w:r>
      <w:r w:rsidRPr="00AA248A">
        <w:rPr>
          <w:sz w:val="22"/>
          <w:szCs w:val="22"/>
          <w:vertAlign w:val="superscript"/>
          <w:lang w:val="en-AU"/>
        </w:rPr>
        <w:t>160</w:t>
      </w:r>
      <w:r w:rsidRPr="00AA248A">
        <w:rPr>
          <w:sz w:val="22"/>
          <w:szCs w:val="22"/>
          <w:lang w:val="en-AU"/>
        </w:rPr>
        <w:t>Gd (Clone Y37, Abcam), anti-BCLxL</w:t>
      </w:r>
      <w:r w:rsidRPr="00AA248A">
        <w:rPr>
          <w:sz w:val="22"/>
          <w:szCs w:val="22"/>
          <w:vertAlign w:val="superscript"/>
          <w:lang w:val="en-AU"/>
        </w:rPr>
        <w:t>153</w:t>
      </w:r>
      <w:r w:rsidRPr="00AA248A">
        <w:rPr>
          <w:sz w:val="22"/>
          <w:szCs w:val="22"/>
          <w:lang w:val="en-AU"/>
        </w:rPr>
        <w:t>Eu (Clone E18, Abcam), anti-BIM</w:t>
      </w:r>
      <w:r w:rsidRPr="00AA248A">
        <w:rPr>
          <w:sz w:val="22"/>
          <w:szCs w:val="22"/>
          <w:vertAlign w:val="superscript"/>
          <w:lang w:val="en-AU"/>
        </w:rPr>
        <w:t>165</w:t>
      </w:r>
      <w:r w:rsidRPr="00AA248A">
        <w:rPr>
          <w:sz w:val="22"/>
          <w:szCs w:val="22"/>
          <w:lang w:val="en-AU"/>
        </w:rPr>
        <w:t>Ho (Clone 3C5, WEHI) and anti-BAX</w:t>
      </w:r>
      <w:r w:rsidRPr="00AA248A">
        <w:rPr>
          <w:sz w:val="22"/>
          <w:szCs w:val="22"/>
          <w:vertAlign w:val="superscript"/>
          <w:lang w:val="en-AU"/>
        </w:rPr>
        <w:t>154</w:t>
      </w:r>
      <w:r w:rsidRPr="00AA248A">
        <w:rPr>
          <w:sz w:val="22"/>
          <w:szCs w:val="22"/>
          <w:lang w:val="en-AU"/>
        </w:rPr>
        <w:t xml:space="preserve">Sm (Clone 1B4, WEHI) for 30 min at room temperature. Cells were washed with CSM, then stained with 125nM </w:t>
      </w:r>
      <w:r w:rsidRPr="00AA248A">
        <w:rPr>
          <w:sz w:val="22"/>
          <w:szCs w:val="22"/>
          <w:vertAlign w:val="superscript"/>
          <w:lang w:val="en-AU"/>
        </w:rPr>
        <w:t>191</w:t>
      </w:r>
      <w:r w:rsidRPr="00AA248A">
        <w:rPr>
          <w:sz w:val="22"/>
          <w:szCs w:val="22"/>
          <w:lang w:val="en-AU"/>
        </w:rPr>
        <w:t>Ir/</w:t>
      </w:r>
      <w:r w:rsidRPr="00AA248A">
        <w:rPr>
          <w:sz w:val="22"/>
          <w:szCs w:val="22"/>
          <w:vertAlign w:val="superscript"/>
          <w:lang w:val="en-AU"/>
        </w:rPr>
        <w:t>193</w:t>
      </w:r>
      <w:r w:rsidRPr="00AA248A">
        <w:rPr>
          <w:sz w:val="22"/>
          <w:szCs w:val="22"/>
          <w:lang w:val="en-AU"/>
        </w:rPr>
        <w:t>Ir DNA intercalator (Fluidigm, South San Francisco, CA, USA) in PBS with 1.6% PFA at 4</w:t>
      </w:r>
      <w:r w:rsidRPr="00AA248A">
        <w:rPr>
          <w:sz w:val="22"/>
          <w:szCs w:val="22"/>
          <w:lang w:val="en-AU"/>
        </w:rPr>
        <w:sym w:font="Symbol" w:char="F0B0"/>
      </w:r>
      <w:r w:rsidRPr="00AA248A">
        <w:rPr>
          <w:sz w:val="22"/>
          <w:szCs w:val="22"/>
          <w:lang w:val="en-AU"/>
        </w:rPr>
        <w:t>C overnight. Cells were washed once with CSM, washed three times with double-distilled water and filtered to remove aggregates and resuspended with EQ normalisation beads immediately before analysis using a Helios mass cytometer (Fluidigm, South San Francisco, CA, USA). Throughout the analysis, cells were maintained at 4</w:t>
      </w:r>
      <w:r w:rsidRPr="00AA248A">
        <w:rPr>
          <w:sz w:val="22"/>
          <w:szCs w:val="22"/>
          <w:lang w:val="en-AU"/>
        </w:rPr>
        <w:sym w:font="Symbol" w:char="F0B0"/>
      </w:r>
      <w:r w:rsidRPr="00AA248A">
        <w:rPr>
          <w:sz w:val="22"/>
          <w:szCs w:val="22"/>
          <w:lang w:val="en-AU"/>
        </w:rPr>
        <w:t>C and introduced at a constant rate of ~300 cells/sec.</w:t>
      </w:r>
    </w:p>
    <w:p w14:paraId="0F7AA476" w14:textId="415CE57E" w:rsidR="00B03BE4" w:rsidRPr="00205EB9" w:rsidRDefault="00205EB9" w:rsidP="00B03BE4">
      <w:pPr>
        <w:spacing w:line="480" w:lineRule="auto"/>
        <w:rPr>
          <w:rFonts w:cstheme="minorHAnsi"/>
          <w:b/>
          <w:lang w:val="en-AU"/>
        </w:rPr>
      </w:pPr>
      <w:r w:rsidRPr="00205EB9">
        <w:rPr>
          <w:rFonts w:cstheme="minorHAnsi"/>
          <w:b/>
          <w:lang w:val="en-AU"/>
        </w:rPr>
        <w:t>Supplementary References</w:t>
      </w:r>
    </w:p>
    <w:p w14:paraId="6F03FBBC" w14:textId="77777777" w:rsidR="00B03BE4" w:rsidRPr="0047262D" w:rsidRDefault="00B03BE4" w:rsidP="00B03BE4">
      <w:pPr>
        <w:pStyle w:val="EndNoteBibliography"/>
      </w:pPr>
      <w:r>
        <w:rPr>
          <w:lang w:val="en-AU"/>
        </w:rPr>
        <w:fldChar w:fldCharType="begin"/>
      </w:r>
      <w:r>
        <w:rPr>
          <w:lang w:val="en-AU"/>
        </w:rPr>
        <w:instrText xml:space="preserve"> ADDIN EN.REFLIST </w:instrText>
      </w:r>
      <w:r>
        <w:rPr>
          <w:lang w:val="en-AU"/>
        </w:rPr>
        <w:fldChar w:fldCharType="separate"/>
      </w:r>
      <w:r w:rsidRPr="0047262D">
        <w:t>1.</w:t>
      </w:r>
      <w:r w:rsidRPr="0047262D">
        <w:tab/>
        <w:t xml:space="preserve">Petros AM, Medek A, Nettesheim DG, et al. Solution structure of the antiapoptotic protein bcl-2. </w:t>
      </w:r>
      <w:r w:rsidRPr="0047262D">
        <w:rPr>
          <w:i/>
        </w:rPr>
        <w:t>Proc Natl Acad Sci U S A</w:t>
      </w:r>
      <w:r w:rsidRPr="0047262D">
        <w:t xml:space="preserve"> 2001; </w:t>
      </w:r>
      <w:r w:rsidRPr="0047262D">
        <w:rPr>
          <w:b/>
        </w:rPr>
        <w:t>98</w:t>
      </w:r>
      <w:r w:rsidRPr="0047262D">
        <w:t>(6): 3012-7.</w:t>
      </w:r>
    </w:p>
    <w:p w14:paraId="06DD5655" w14:textId="77777777" w:rsidR="00B03BE4" w:rsidRPr="0047262D" w:rsidRDefault="00B03BE4" w:rsidP="00B03BE4">
      <w:pPr>
        <w:pStyle w:val="EndNoteBibliography"/>
      </w:pPr>
      <w:r w:rsidRPr="0047262D">
        <w:t>2.</w:t>
      </w:r>
      <w:r w:rsidRPr="0047262D">
        <w:tab/>
        <w:t xml:space="preserve">de Mol NJ. Affinity constants for small molecules from SPR competition experiments. </w:t>
      </w:r>
      <w:r w:rsidRPr="0047262D">
        <w:rPr>
          <w:i/>
        </w:rPr>
        <w:t>Methods Mol Biol</w:t>
      </w:r>
      <w:r w:rsidRPr="0047262D">
        <w:t xml:space="preserve"> 2010; </w:t>
      </w:r>
      <w:r w:rsidRPr="0047262D">
        <w:rPr>
          <w:b/>
        </w:rPr>
        <w:t>627</w:t>
      </w:r>
      <w:r w:rsidRPr="0047262D">
        <w:t>: 101-11.</w:t>
      </w:r>
    </w:p>
    <w:p w14:paraId="103F45B0" w14:textId="3172B1EB" w:rsidR="00AD4670" w:rsidRPr="00D7791F" w:rsidRDefault="00B03BE4" w:rsidP="008F49DC">
      <w:pPr>
        <w:spacing w:line="480" w:lineRule="auto"/>
        <w:rPr>
          <w:lang w:val="en-AU"/>
        </w:rPr>
      </w:pPr>
      <w:r>
        <w:rPr>
          <w:lang w:val="en-AU"/>
        </w:rPr>
        <w:fldChar w:fldCharType="end"/>
      </w:r>
    </w:p>
    <w:sectPr w:rsidR="00AD4670" w:rsidRPr="00D7791F" w:rsidSect="00B03BE4">
      <w:pgSz w:w="11900" w:h="16840"/>
      <w:pgMar w:top="1440" w:right="1134"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09F85" w14:textId="77777777" w:rsidR="001764A9" w:rsidRDefault="001764A9" w:rsidP="00205EB9">
      <w:r>
        <w:separator/>
      </w:r>
    </w:p>
  </w:endnote>
  <w:endnote w:type="continuationSeparator" w:id="0">
    <w:p w14:paraId="26BEA10D" w14:textId="77777777" w:rsidR="001764A9" w:rsidRDefault="001764A9" w:rsidP="00205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090282"/>
      <w:docPartObj>
        <w:docPartGallery w:val="Page Numbers (Bottom of Page)"/>
        <w:docPartUnique/>
      </w:docPartObj>
    </w:sdtPr>
    <w:sdtEndPr>
      <w:rPr>
        <w:rStyle w:val="PageNumber"/>
      </w:rPr>
    </w:sdtEndPr>
    <w:sdtContent>
      <w:p w14:paraId="39FF5FB3" w14:textId="4BF2D54A" w:rsidR="00205EB9" w:rsidRDefault="00205EB9" w:rsidP="007551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2C9FE8" w14:textId="77777777" w:rsidR="00205EB9" w:rsidRDefault="00205EB9" w:rsidP="00205E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26209559"/>
      <w:docPartObj>
        <w:docPartGallery w:val="Page Numbers (Bottom of Page)"/>
        <w:docPartUnique/>
      </w:docPartObj>
    </w:sdtPr>
    <w:sdtEndPr>
      <w:rPr>
        <w:rStyle w:val="PageNumber"/>
      </w:rPr>
    </w:sdtEndPr>
    <w:sdtContent>
      <w:p w14:paraId="1E8E89A3" w14:textId="4A9B42C2" w:rsidR="00205EB9" w:rsidRDefault="00205EB9" w:rsidP="007551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57AE7">
          <w:rPr>
            <w:rStyle w:val="PageNumber"/>
            <w:noProof/>
          </w:rPr>
          <w:t>7</w:t>
        </w:r>
        <w:r>
          <w:rPr>
            <w:rStyle w:val="PageNumber"/>
          </w:rPr>
          <w:fldChar w:fldCharType="end"/>
        </w:r>
      </w:p>
    </w:sdtContent>
  </w:sdt>
  <w:p w14:paraId="3C803C1A" w14:textId="77777777" w:rsidR="00205EB9" w:rsidRDefault="00205EB9" w:rsidP="00205EB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BB825" w14:textId="77777777" w:rsidR="001764A9" w:rsidRDefault="001764A9" w:rsidP="00205EB9">
      <w:r>
        <w:separator/>
      </w:r>
    </w:p>
  </w:footnote>
  <w:footnote w:type="continuationSeparator" w:id="0">
    <w:p w14:paraId="682350D6" w14:textId="77777777" w:rsidR="001764A9" w:rsidRDefault="001764A9" w:rsidP="00205EB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w Roberts">
    <w15:presenceInfo w15:providerId="None" w15:userId="Andrew Rober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91F"/>
    <w:rsid w:val="000000FA"/>
    <w:rsid w:val="0000731C"/>
    <w:rsid w:val="00007499"/>
    <w:rsid w:val="0003560C"/>
    <w:rsid w:val="00061EF1"/>
    <w:rsid w:val="00062571"/>
    <w:rsid w:val="000A25F5"/>
    <w:rsid w:val="000B5C00"/>
    <w:rsid w:val="000C617B"/>
    <w:rsid w:val="000C68F0"/>
    <w:rsid w:val="000D2D7F"/>
    <w:rsid w:val="000F148D"/>
    <w:rsid w:val="00101419"/>
    <w:rsid w:val="00101EC2"/>
    <w:rsid w:val="00122DA8"/>
    <w:rsid w:val="00123317"/>
    <w:rsid w:val="00127F33"/>
    <w:rsid w:val="001515CC"/>
    <w:rsid w:val="00152CFA"/>
    <w:rsid w:val="0015608B"/>
    <w:rsid w:val="00157203"/>
    <w:rsid w:val="00163B3A"/>
    <w:rsid w:val="001764A9"/>
    <w:rsid w:val="00195902"/>
    <w:rsid w:val="001A56B8"/>
    <w:rsid w:val="00205EB9"/>
    <w:rsid w:val="00213949"/>
    <w:rsid w:val="002351F2"/>
    <w:rsid w:val="00241683"/>
    <w:rsid w:val="002443D5"/>
    <w:rsid w:val="00252DEA"/>
    <w:rsid w:val="002676E3"/>
    <w:rsid w:val="00293AE0"/>
    <w:rsid w:val="002A3BD3"/>
    <w:rsid w:val="002C1451"/>
    <w:rsid w:val="002E5D36"/>
    <w:rsid w:val="002F34DF"/>
    <w:rsid w:val="00301695"/>
    <w:rsid w:val="003042ED"/>
    <w:rsid w:val="00307752"/>
    <w:rsid w:val="003153F8"/>
    <w:rsid w:val="00316287"/>
    <w:rsid w:val="00343F49"/>
    <w:rsid w:val="0034579A"/>
    <w:rsid w:val="00347D61"/>
    <w:rsid w:val="00355D0A"/>
    <w:rsid w:val="0036607C"/>
    <w:rsid w:val="003921FB"/>
    <w:rsid w:val="003F1411"/>
    <w:rsid w:val="004020E1"/>
    <w:rsid w:val="004067AB"/>
    <w:rsid w:val="004253D1"/>
    <w:rsid w:val="004314FE"/>
    <w:rsid w:val="004356D9"/>
    <w:rsid w:val="00436956"/>
    <w:rsid w:val="004A42CE"/>
    <w:rsid w:val="004A6DFD"/>
    <w:rsid w:val="004E387C"/>
    <w:rsid w:val="004E5E26"/>
    <w:rsid w:val="004E615A"/>
    <w:rsid w:val="00530F60"/>
    <w:rsid w:val="005325AD"/>
    <w:rsid w:val="00554606"/>
    <w:rsid w:val="00580237"/>
    <w:rsid w:val="0058254D"/>
    <w:rsid w:val="005A11AE"/>
    <w:rsid w:val="005A47FE"/>
    <w:rsid w:val="005B06C0"/>
    <w:rsid w:val="005B39B7"/>
    <w:rsid w:val="005C409A"/>
    <w:rsid w:val="005D1C8A"/>
    <w:rsid w:val="005D5228"/>
    <w:rsid w:val="005E136B"/>
    <w:rsid w:val="005E3FE2"/>
    <w:rsid w:val="005F1111"/>
    <w:rsid w:val="005F3BB7"/>
    <w:rsid w:val="0063050A"/>
    <w:rsid w:val="00636DE7"/>
    <w:rsid w:val="0065082D"/>
    <w:rsid w:val="006512B1"/>
    <w:rsid w:val="00677260"/>
    <w:rsid w:val="00681A3E"/>
    <w:rsid w:val="00685535"/>
    <w:rsid w:val="0068607E"/>
    <w:rsid w:val="006B3736"/>
    <w:rsid w:val="006B7EF8"/>
    <w:rsid w:val="006C46E4"/>
    <w:rsid w:val="006C4898"/>
    <w:rsid w:val="006D459D"/>
    <w:rsid w:val="006F352D"/>
    <w:rsid w:val="00707BBE"/>
    <w:rsid w:val="00712C6B"/>
    <w:rsid w:val="00714D5C"/>
    <w:rsid w:val="00733084"/>
    <w:rsid w:val="00757EBB"/>
    <w:rsid w:val="00764710"/>
    <w:rsid w:val="00796EE7"/>
    <w:rsid w:val="007A33EB"/>
    <w:rsid w:val="007B1876"/>
    <w:rsid w:val="007B3827"/>
    <w:rsid w:val="007D69ED"/>
    <w:rsid w:val="007E37A8"/>
    <w:rsid w:val="00811D5B"/>
    <w:rsid w:val="008135B0"/>
    <w:rsid w:val="00836858"/>
    <w:rsid w:val="00836F11"/>
    <w:rsid w:val="008432AD"/>
    <w:rsid w:val="00866564"/>
    <w:rsid w:val="0087176D"/>
    <w:rsid w:val="0087598D"/>
    <w:rsid w:val="00884F83"/>
    <w:rsid w:val="008A1349"/>
    <w:rsid w:val="008B5D70"/>
    <w:rsid w:val="008D5AC2"/>
    <w:rsid w:val="008F082F"/>
    <w:rsid w:val="008F3ACC"/>
    <w:rsid w:val="008F49DC"/>
    <w:rsid w:val="008F7770"/>
    <w:rsid w:val="00903065"/>
    <w:rsid w:val="00935602"/>
    <w:rsid w:val="00935971"/>
    <w:rsid w:val="009927DF"/>
    <w:rsid w:val="009B4092"/>
    <w:rsid w:val="009E36A1"/>
    <w:rsid w:val="009F74B1"/>
    <w:rsid w:val="00A00E0B"/>
    <w:rsid w:val="00A32E0D"/>
    <w:rsid w:val="00A637E8"/>
    <w:rsid w:val="00AA067A"/>
    <w:rsid w:val="00AD1D90"/>
    <w:rsid w:val="00AD4670"/>
    <w:rsid w:val="00AF26EB"/>
    <w:rsid w:val="00B03BE4"/>
    <w:rsid w:val="00B06FFB"/>
    <w:rsid w:val="00B117AB"/>
    <w:rsid w:val="00B168D6"/>
    <w:rsid w:val="00B732EC"/>
    <w:rsid w:val="00B848F0"/>
    <w:rsid w:val="00B84D74"/>
    <w:rsid w:val="00B97AE0"/>
    <w:rsid w:val="00BA5A7B"/>
    <w:rsid w:val="00BC139A"/>
    <w:rsid w:val="00BE380B"/>
    <w:rsid w:val="00BE6A73"/>
    <w:rsid w:val="00BF1335"/>
    <w:rsid w:val="00BF42CB"/>
    <w:rsid w:val="00C2120D"/>
    <w:rsid w:val="00C32573"/>
    <w:rsid w:val="00C35371"/>
    <w:rsid w:val="00C35DD1"/>
    <w:rsid w:val="00C52D1A"/>
    <w:rsid w:val="00C57AE7"/>
    <w:rsid w:val="00C82913"/>
    <w:rsid w:val="00C90BE2"/>
    <w:rsid w:val="00C96610"/>
    <w:rsid w:val="00CA7EFC"/>
    <w:rsid w:val="00CC5323"/>
    <w:rsid w:val="00D11EFF"/>
    <w:rsid w:val="00D12CF5"/>
    <w:rsid w:val="00D159D6"/>
    <w:rsid w:val="00D23191"/>
    <w:rsid w:val="00D75CF4"/>
    <w:rsid w:val="00D7791F"/>
    <w:rsid w:val="00D839F2"/>
    <w:rsid w:val="00D97086"/>
    <w:rsid w:val="00DA5394"/>
    <w:rsid w:val="00DB4DB6"/>
    <w:rsid w:val="00DE54AA"/>
    <w:rsid w:val="00E0483E"/>
    <w:rsid w:val="00E07368"/>
    <w:rsid w:val="00E411CD"/>
    <w:rsid w:val="00E512A1"/>
    <w:rsid w:val="00E6128A"/>
    <w:rsid w:val="00E9273F"/>
    <w:rsid w:val="00EA01CF"/>
    <w:rsid w:val="00EC3BA9"/>
    <w:rsid w:val="00F1249F"/>
    <w:rsid w:val="00F224A9"/>
    <w:rsid w:val="00F34E08"/>
    <w:rsid w:val="00F3702D"/>
    <w:rsid w:val="00F7442E"/>
    <w:rsid w:val="00F94A1F"/>
    <w:rsid w:val="00FA54B7"/>
    <w:rsid w:val="00FC2F52"/>
    <w:rsid w:val="00FE4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E08B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2913"/>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3BE4"/>
    <w:rPr>
      <w:color w:val="0563C1" w:themeColor="hyperlink"/>
      <w:u w:val="single"/>
    </w:rPr>
  </w:style>
  <w:style w:type="character" w:customStyle="1" w:styleId="apple-converted-space">
    <w:name w:val="apple-converted-space"/>
    <w:basedOn w:val="DefaultParagraphFont"/>
    <w:rsid w:val="00B03BE4"/>
  </w:style>
  <w:style w:type="paragraph" w:customStyle="1" w:styleId="p1">
    <w:name w:val="p1"/>
    <w:basedOn w:val="Normal"/>
    <w:rsid w:val="00B03BE4"/>
    <w:rPr>
      <w:rFonts w:ascii="Helvetica" w:eastAsia="Times New Roman" w:hAnsi="Helvetica" w:cs="Times New Roman"/>
      <w:sz w:val="13"/>
      <w:szCs w:val="13"/>
      <w:lang w:val="en-AU" w:eastAsia="zh-CN"/>
    </w:rPr>
  </w:style>
  <w:style w:type="paragraph" w:customStyle="1" w:styleId="EndNoteBibliography">
    <w:name w:val="EndNote Bibliography"/>
    <w:basedOn w:val="Normal"/>
    <w:link w:val="EndNoteBibliographyChar"/>
    <w:rsid w:val="00B03BE4"/>
    <w:rPr>
      <w:rFonts w:ascii="Calibri" w:hAnsi="Calibri"/>
      <w:noProof/>
      <w:lang w:val="en-US"/>
    </w:rPr>
  </w:style>
  <w:style w:type="character" w:customStyle="1" w:styleId="EndNoteBibliographyChar">
    <w:name w:val="EndNote Bibliography Char"/>
    <w:basedOn w:val="DefaultParagraphFont"/>
    <w:link w:val="EndNoteBibliography"/>
    <w:rsid w:val="00B03BE4"/>
    <w:rPr>
      <w:rFonts w:ascii="Calibri" w:hAnsi="Calibri"/>
      <w:noProof/>
      <w:lang w:val="en-US"/>
    </w:rPr>
  </w:style>
  <w:style w:type="paragraph" w:styleId="Footer">
    <w:name w:val="footer"/>
    <w:basedOn w:val="Normal"/>
    <w:link w:val="FooterChar"/>
    <w:uiPriority w:val="99"/>
    <w:unhideWhenUsed/>
    <w:rsid w:val="00205EB9"/>
    <w:pPr>
      <w:tabs>
        <w:tab w:val="center" w:pos="4513"/>
        <w:tab w:val="right" w:pos="9026"/>
      </w:tabs>
    </w:pPr>
  </w:style>
  <w:style w:type="character" w:customStyle="1" w:styleId="FooterChar">
    <w:name w:val="Footer Char"/>
    <w:basedOn w:val="DefaultParagraphFont"/>
    <w:link w:val="Footer"/>
    <w:uiPriority w:val="99"/>
    <w:rsid w:val="00205EB9"/>
  </w:style>
  <w:style w:type="character" w:styleId="PageNumber">
    <w:name w:val="page number"/>
    <w:basedOn w:val="DefaultParagraphFont"/>
    <w:uiPriority w:val="99"/>
    <w:semiHidden/>
    <w:unhideWhenUsed/>
    <w:rsid w:val="00205EB9"/>
  </w:style>
  <w:style w:type="paragraph" w:styleId="BalloonText">
    <w:name w:val="Balloon Text"/>
    <w:basedOn w:val="Normal"/>
    <w:link w:val="BalloonTextChar"/>
    <w:uiPriority w:val="99"/>
    <w:semiHidden/>
    <w:unhideWhenUsed/>
    <w:rsid w:val="007E37A8"/>
    <w:rPr>
      <w:rFonts w:ascii="Tahoma" w:hAnsi="Tahoma" w:cs="Tahoma"/>
      <w:sz w:val="16"/>
      <w:szCs w:val="16"/>
    </w:rPr>
  </w:style>
  <w:style w:type="character" w:customStyle="1" w:styleId="BalloonTextChar">
    <w:name w:val="Balloon Text Char"/>
    <w:basedOn w:val="DefaultParagraphFont"/>
    <w:link w:val="BalloonText"/>
    <w:uiPriority w:val="99"/>
    <w:semiHidden/>
    <w:rsid w:val="007E37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2913"/>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3BE4"/>
    <w:rPr>
      <w:color w:val="0563C1" w:themeColor="hyperlink"/>
      <w:u w:val="single"/>
    </w:rPr>
  </w:style>
  <w:style w:type="character" w:customStyle="1" w:styleId="apple-converted-space">
    <w:name w:val="apple-converted-space"/>
    <w:basedOn w:val="DefaultParagraphFont"/>
    <w:rsid w:val="00B03BE4"/>
  </w:style>
  <w:style w:type="paragraph" w:customStyle="1" w:styleId="p1">
    <w:name w:val="p1"/>
    <w:basedOn w:val="Normal"/>
    <w:rsid w:val="00B03BE4"/>
    <w:rPr>
      <w:rFonts w:ascii="Helvetica" w:eastAsia="Times New Roman" w:hAnsi="Helvetica" w:cs="Times New Roman"/>
      <w:sz w:val="13"/>
      <w:szCs w:val="13"/>
      <w:lang w:val="en-AU" w:eastAsia="zh-CN"/>
    </w:rPr>
  </w:style>
  <w:style w:type="paragraph" w:customStyle="1" w:styleId="EndNoteBibliography">
    <w:name w:val="EndNote Bibliography"/>
    <w:basedOn w:val="Normal"/>
    <w:link w:val="EndNoteBibliographyChar"/>
    <w:rsid w:val="00B03BE4"/>
    <w:rPr>
      <w:rFonts w:ascii="Calibri" w:hAnsi="Calibri"/>
      <w:noProof/>
      <w:lang w:val="en-US"/>
    </w:rPr>
  </w:style>
  <w:style w:type="character" w:customStyle="1" w:styleId="EndNoteBibliographyChar">
    <w:name w:val="EndNote Bibliography Char"/>
    <w:basedOn w:val="DefaultParagraphFont"/>
    <w:link w:val="EndNoteBibliography"/>
    <w:rsid w:val="00B03BE4"/>
    <w:rPr>
      <w:rFonts w:ascii="Calibri" w:hAnsi="Calibri"/>
      <w:noProof/>
      <w:lang w:val="en-US"/>
    </w:rPr>
  </w:style>
  <w:style w:type="paragraph" w:styleId="Footer">
    <w:name w:val="footer"/>
    <w:basedOn w:val="Normal"/>
    <w:link w:val="FooterChar"/>
    <w:uiPriority w:val="99"/>
    <w:unhideWhenUsed/>
    <w:rsid w:val="00205EB9"/>
    <w:pPr>
      <w:tabs>
        <w:tab w:val="center" w:pos="4513"/>
        <w:tab w:val="right" w:pos="9026"/>
      </w:tabs>
    </w:pPr>
  </w:style>
  <w:style w:type="character" w:customStyle="1" w:styleId="FooterChar">
    <w:name w:val="Footer Char"/>
    <w:basedOn w:val="DefaultParagraphFont"/>
    <w:link w:val="Footer"/>
    <w:uiPriority w:val="99"/>
    <w:rsid w:val="00205EB9"/>
  </w:style>
  <w:style w:type="character" w:styleId="PageNumber">
    <w:name w:val="page number"/>
    <w:basedOn w:val="DefaultParagraphFont"/>
    <w:uiPriority w:val="99"/>
    <w:semiHidden/>
    <w:unhideWhenUsed/>
    <w:rsid w:val="00205EB9"/>
  </w:style>
  <w:style w:type="paragraph" w:styleId="BalloonText">
    <w:name w:val="Balloon Text"/>
    <w:basedOn w:val="Normal"/>
    <w:link w:val="BalloonTextChar"/>
    <w:uiPriority w:val="99"/>
    <w:semiHidden/>
    <w:unhideWhenUsed/>
    <w:rsid w:val="007E37A8"/>
    <w:rPr>
      <w:rFonts w:ascii="Tahoma" w:hAnsi="Tahoma" w:cs="Tahoma"/>
      <w:sz w:val="16"/>
      <w:szCs w:val="16"/>
    </w:rPr>
  </w:style>
  <w:style w:type="character" w:customStyle="1" w:styleId="BalloonTextChar">
    <w:name w:val="Balloon Text Char"/>
    <w:basedOn w:val="DefaultParagraphFont"/>
    <w:link w:val="BalloonText"/>
    <w:uiPriority w:val="99"/>
    <w:semiHidden/>
    <w:rsid w:val="007E37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34114">
      <w:bodyDiv w:val="1"/>
      <w:marLeft w:val="0"/>
      <w:marRight w:val="0"/>
      <w:marTop w:val="0"/>
      <w:marBottom w:val="0"/>
      <w:divBdr>
        <w:top w:val="none" w:sz="0" w:space="0" w:color="auto"/>
        <w:left w:val="none" w:sz="0" w:space="0" w:color="auto"/>
        <w:bottom w:val="none" w:sz="0" w:space="0" w:color="auto"/>
        <w:right w:val="none" w:sz="0" w:space="0" w:color="auto"/>
      </w:divBdr>
    </w:div>
    <w:div w:id="168714291">
      <w:bodyDiv w:val="1"/>
      <w:marLeft w:val="0"/>
      <w:marRight w:val="0"/>
      <w:marTop w:val="0"/>
      <w:marBottom w:val="0"/>
      <w:divBdr>
        <w:top w:val="none" w:sz="0" w:space="0" w:color="auto"/>
        <w:left w:val="none" w:sz="0" w:space="0" w:color="auto"/>
        <w:bottom w:val="none" w:sz="0" w:space="0" w:color="auto"/>
        <w:right w:val="none" w:sz="0" w:space="0" w:color="auto"/>
      </w:divBdr>
    </w:div>
    <w:div w:id="216206219">
      <w:bodyDiv w:val="1"/>
      <w:marLeft w:val="0"/>
      <w:marRight w:val="0"/>
      <w:marTop w:val="0"/>
      <w:marBottom w:val="0"/>
      <w:divBdr>
        <w:top w:val="none" w:sz="0" w:space="0" w:color="auto"/>
        <w:left w:val="none" w:sz="0" w:space="0" w:color="auto"/>
        <w:bottom w:val="none" w:sz="0" w:space="0" w:color="auto"/>
        <w:right w:val="none" w:sz="0" w:space="0" w:color="auto"/>
      </w:divBdr>
    </w:div>
    <w:div w:id="1217277847">
      <w:bodyDiv w:val="1"/>
      <w:marLeft w:val="0"/>
      <w:marRight w:val="0"/>
      <w:marTop w:val="0"/>
      <w:marBottom w:val="0"/>
      <w:divBdr>
        <w:top w:val="none" w:sz="0" w:space="0" w:color="auto"/>
        <w:left w:val="none" w:sz="0" w:space="0" w:color="auto"/>
        <w:bottom w:val="none" w:sz="0" w:space="0" w:color="auto"/>
        <w:right w:val="none" w:sz="0" w:space="0" w:color="auto"/>
      </w:divBdr>
    </w:div>
    <w:div w:id="202986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3048</Words>
  <Characters>17377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Peter MacCallum Cancer Centre</Company>
  <LinksUpToDate>false</LinksUpToDate>
  <CharactersWithSpaces>20385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Roberts</dc:creator>
  <cp:lastModifiedBy>Blombery Piers</cp:lastModifiedBy>
  <cp:revision>2</cp:revision>
  <cp:lastPrinted>2018-09-23T04:20:00Z</cp:lastPrinted>
  <dcterms:created xsi:type="dcterms:W3CDTF">2018-11-27T01:16:00Z</dcterms:created>
  <dcterms:modified xsi:type="dcterms:W3CDTF">2018-11-27T01:16:00Z</dcterms:modified>
</cp:coreProperties>
</file>