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DA699" w14:textId="77777777" w:rsidR="00055222" w:rsidRPr="00055222" w:rsidRDefault="00FD588D" w:rsidP="006D13CC">
      <w:pPr>
        <w:spacing w:line="480" w:lineRule="auto"/>
        <w:rPr>
          <w:b/>
          <w:sz w:val="24"/>
          <w:szCs w:val="24"/>
        </w:rPr>
      </w:pPr>
      <w:r w:rsidRPr="00055222">
        <w:rPr>
          <w:b/>
          <w:sz w:val="24"/>
          <w:szCs w:val="24"/>
        </w:rPr>
        <w:t>A MUTATION IN HISTONE H2B REPRESENTS A NEW CLASS OF ONCOGENIC DRIVER</w:t>
      </w:r>
    </w:p>
    <w:p w14:paraId="2B0D0324" w14:textId="77777777" w:rsidR="00055222" w:rsidRPr="00055222" w:rsidRDefault="00055222" w:rsidP="006D13CC">
      <w:pPr>
        <w:spacing w:line="480" w:lineRule="auto"/>
      </w:pPr>
      <w:r>
        <w:t xml:space="preserve">Richard L. Bennett, Aditya Bele, Eliza C. Small, Christine M. Will, Behnam </w:t>
      </w:r>
      <w:proofErr w:type="spellStart"/>
      <w:r>
        <w:t>Nabet</w:t>
      </w:r>
      <w:proofErr w:type="spellEnd"/>
      <w:r>
        <w:t xml:space="preserve">, Jon A. Oyer, Xiaoxiao Huang, Rajarshi P. Ghosh, Adrian T. </w:t>
      </w:r>
      <w:proofErr w:type="spellStart"/>
      <w:r>
        <w:t>Grzybowski</w:t>
      </w:r>
      <w:proofErr w:type="spellEnd"/>
      <w:r>
        <w:t xml:space="preserve">, Tao Yu, </w:t>
      </w:r>
      <w:proofErr w:type="spellStart"/>
      <w:r>
        <w:t>Qiao</w:t>
      </w:r>
      <w:proofErr w:type="spellEnd"/>
      <w:r>
        <w:t xml:space="preserve"> Zhang, Alberto Riva, Tanmay P. </w:t>
      </w:r>
      <w:proofErr w:type="spellStart"/>
      <w:r>
        <w:t>Lele</w:t>
      </w:r>
      <w:proofErr w:type="spellEnd"/>
      <w:r w:rsidRPr="00055222">
        <w:t>, Geor</w:t>
      </w:r>
      <w:r>
        <w:t>ge C. Schatz, Neil L. Kelleher,</w:t>
      </w:r>
      <w:r w:rsidRPr="00055222">
        <w:t xml:space="preserve"> Al</w:t>
      </w:r>
      <w:r>
        <w:t xml:space="preserve">exander J. </w:t>
      </w:r>
      <w:proofErr w:type="spellStart"/>
      <w:r>
        <w:t>Ruthenburg</w:t>
      </w:r>
      <w:proofErr w:type="spellEnd"/>
      <w:r>
        <w:t xml:space="preserve">, Jan </w:t>
      </w:r>
      <w:proofErr w:type="spellStart"/>
      <w:r>
        <w:t>Liphardt</w:t>
      </w:r>
      <w:proofErr w:type="spellEnd"/>
      <w:r>
        <w:t xml:space="preserve"> and Jonathan D. Licht</w:t>
      </w:r>
    </w:p>
    <w:p w14:paraId="2D3E4177" w14:textId="77777777" w:rsidR="00055222" w:rsidRDefault="00055222" w:rsidP="006D13CC">
      <w:pPr>
        <w:spacing w:line="480" w:lineRule="auto"/>
      </w:pPr>
    </w:p>
    <w:p w14:paraId="48622D59" w14:textId="77777777" w:rsidR="00CA63E5" w:rsidRPr="006D13CC" w:rsidRDefault="00FD588D" w:rsidP="006D13CC">
      <w:pPr>
        <w:spacing w:line="480" w:lineRule="auto"/>
        <w:rPr>
          <w:b/>
          <w:sz w:val="24"/>
          <w:szCs w:val="24"/>
        </w:rPr>
      </w:pPr>
      <w:r>
        <w:rPr>
          <w:b/>
          <w:sz w:val="24"/>
          <w:szCs w:val="24"/>
        </w:rPr>
        <w:t>SUPPLEMENTAL METHODS</w:t>
      </w:r>
    </w:p>
    <w:p w14:paraId="7972953B" w14:textId="77777777" w:rsidR="00A54E87" w:rsidRPr="00A54E87" w:rsidRDefault="00A54E87" w:rsidP="006D13CC">
      <w:pPr>
        <w:spacing w:line="480" w:lineRule="auto"/>
        <w:rPr>
          <w:b/>
        </w:rPr>
      </w:pPr>
      <w:r w:rsidRPr="00A54E87">
        <w:rPr>
          <w:b/>
        </w:rPr>
        <w:t>Histone Preparation and Mass Spectrometry Analysis</w:t>
      </w:r>
    </w:p>
    <w:p w14:paraId="3BD3F9D6" w14:textId="77777777" w:rsidR="00A54E87" w:rsidRDefault="00A54E87" w:rsidP="008575BA">
      <w:pPr>
        <w:spacing w:line="480" w:lineRule="auto"/>
        <w:jc w:val="both"/>
      </w:pPr>
      <w:r>
        <w:t xml:space="preserve">Histone proteins were acid extracted from isolated nuclei, digested with trypsin and chemically derivatized using propionic anhydride (1). The resulting peptides were resuspended in 0.1% TFA and analyzed on a triple </w:t>
      </w:r>
      <w:proofErr w:type="spellStart"/>
      <w:r>
        <w:t>quardrupole</w:t>
      </w:r>
      <w:proofErr w:type="spellEnd"/>
      <w:r>
        <w:t xml:space="preserve"> (</w:t>
      </w:r>
      <w:proofErr w:type="spellStart"/>
      <w:r>
        <w:t>QqQ</w:t>
      </w:r>
      <w:proofErr w:type="spellEnd"/>
      <w:r>
        <w:t>) mass spectrometer (</w:t>
      </w:r>
      <w:proofErr w:type="spellStart"/>
      <w:r>
        <w:t>Thermo</w:t>
      </w:r>
      <w:proofErr w:type="spellEnd"/>
      <w:r>
        <w:t xml:space="preserve"> Fisher Scientific TSQ Quantum) directly coupled with </w:t>
      </w:r>
      <w:proofErr w:type="spellStart"/>
      <w:r>
        <w:t>Dionex</w:t>
      </w:r>
      <w:proofErr w:type="spellEnd"/>
      <w:r>
        <w:t xml:space="preserve"> </w:t>
      </w:r>
      <w:proofErr w:type="spellStart"/>
      <w:r>
        <w:t>UltiMate</w:t>
      </w:r>
      <w:proofErr w:type="spellEnd"/>
      <w:r>
        <w:t xml:space="preserve"> 3000 </w:t>
      </w:r>
      <w:proofErr w:type="spellStart"/>
      <w:r>
        <w:t>nano</w:t>
      </w:r>
      <w:proofErr w:type="spellEnd"/>
      <w:r>
        <w:t xml:space="preserve">-LC system using the selected reaction monitoring method (2). Raw MS files were imported and analyzed using Skyline software with </w:t>
      </w:r>
      <w:proofErr w:type="spellStart"/>
      <w:r>
        <w:t>Savitzky-Golay</w:t>
      </w:r>
      <w:proofErr w:type="spellEnd"/>
      <w:r>
        <w:t xml:space="preserve"> smoothing (3). Peptide peak areas from Skyline were used to determine the relative abundance of each histone modification. The relative levels of specific modified peptides were calculated by dividing peak area against the total of all modified peptides sharing the same sequence.</w:t>
      </w:r>
    </w:p>
    <w:p w14:paraId="4E2454E4" w14:textId="615FC770" w:rsidR="00A54E87" w:rsidRDefault="00A54E87" w:rsidP="008575BA">
      <w:pPr>
        <w:spacing w:line="480" w:lineRule="auto"/>
        <w:jc w:val="both"/>
      </w:pPr>
      <w:r>
        <w:t xml:space="preserve">1. Garcia BA, </w:t>
      </w:r>
      <w:proofErr w:type="spellStart"/>
      <w:r>
        <w:t>Mollah</w:t>
      </w:r>
      <w:proofErr w:type="spellEnd"/>
      <w:r>
        <w:t xml:space="preserve"> S, </w:t>
      </w:r>
      <w:proofErr w:type="spellStart"/>
      <w:r>
        <w:t>Ueberheide</w:t>
      </w:r>
      <w:proofErr w:type="spellEnd"/>
      <w:r>
        <w:t xml:space="preserve"> BM, et al. Chemical derivatization of histones for facilitated analysis by mass spectrometry. Nature </w:t>
      </w:r>
      <w:r w:rsidR="008575BA">
        <w:t>P</w:t>
      </w:r>
      <w:r>
        <w:t xml:space="preserve">rotocols </w:t>
      </w:r>
      <w:proofErr w:type="gramStart"/>
      <w:r>
        <w:t>2007;2:933</w:t>
      </w:r>
      <w:proofErr w:type="gramEnd"/>
      <w:r>
        <w:t>-8.</w:t>
      </w:r>
    </w:p>
    <w:p w14:paraId="62D999F9" w14:textId="77777777" w:rsidR="00A54E87" w:rsidRDefault="00A54E87" w:rsidP="008575BA">
      <w:pPr>
        <w:spacing w:line="480" w:lineRule="auto"/>
        <w:jc w:val="both"/>
      </w:pPr>
      <w:r>
        <w:t xml:space="preserve">2. Zheng Y, Sweet SM, Popovic R, et al. Total kinetic analysis reveals how combinatorial methylation patterns are established on lysines 27 and 36 of histone H3. Proceedings of the National Academy of Sciences of the United States of America </w:t>
      </w:r>
      <w:proofErr w:type="gramStart"/>
      <w:r>
        <w:t>2012;109:13549</w:t>
      </w:r>
      <w:proofErr w:type="gramEnd"/>
      <w:r>
        <w:t>-54.</w:t>
      </w:r>
    </w:p>
    <w:p w14:paraId="50F4DBEB" w14:textId="77777777" w:rsidR="00055222" w:rsidRDefault="00A54E87" w:rsidP="008575BA">
      <w:pPr>
        <w:spacing w:line="480" w:lineRule="auto"/>
        <w:jc w:val="both"/>
      </w:pPr>
      <w:r>
        <w:lastRenderedPageBreak/>
        <w:t xml:space="preserve">3. MacLean B, </w:t>
      </w:r>
      <w:proofErr w:type="spellStart"/>
      <w:r>
        <w:t>Tomazela</w:t>
      </w:r>
      <w:proofErr w:type="spellEnd"/>
      <w:r>
        <w:t xml:space="preserve"> DM, Shulman N, et al. Skyline: an open source document editor for creating and analyzing targeted proteomics experiments. Bioinformatics </w:t>
      </w:r>
      <w:proofErr w:type="gramStart"/>
      <w:r>
        <w:t>2010;26:966</w:t>
      </w:r>
      <w:proofErr w:type="gramEnd"/>
      <w:r>
        <w:t>-8.</w:t>
      </w:r>
    </w:p>
    <w:p w14:paraId="5CA5A6E1" w14:textId="77777777" w:rsidR="00A54E87" w:rsidRDefault="00A54E87">
      <w:r>
        <w:br w:type="page"/>
      </w:r>
    </w:p>
    <w:p w14:paraId="59FFDDC7" w14:textId="77777777" w:rsidR="003A5513" w:rsidRDefault="003A5513" w:rsidP="003A5513">
      <w:pPr>
        <w:spacing w:after="0" w:line="480" w:lineRule="auto"/>
        <w:rPr>
          <w:rFonts w:eastAsia="MS Mincho" w:cs="Times New Roman"/>
          <w:sz w:val="24"/>
          <w:szCs w:val="24"/>
        </w:rPr>
      </w:pPr>
    </w:p>
    <w:p w14:paraId="47EC058B" w14:textId="77777777" w:rsidR="003A5513" w:rsidRDefault="005173C2" w:rsidP="003A5513">
      <w:pPr>
        <w:spacing w:after="0" w:line="480" w:lineRule="auto"/>
        <w:rPr>
          <w:rFonts w:eastAsia="MS Mincho" w:cs="Times New Roman"/>
          <w:sz w:val="24"/>
          <w:szCs w:val="24"/>
        </w:rPr>
      </w:pPr>
      <w:r>
        <w:rPr>
          <w:rFonts w:eastAsia="MS Mincho" w:cs="Times New Roman"/>
          <w:noProof/>
          <w:sz w:val="24"/>
          <w:szCs w:val="24"/>
        </w:rPr>
        <w:drawing>
          <wp:inline distT="0" distB="0" distL="0" distR="0" wp14:anchorId="12482CCE" wp14:editId="75EBA1DD">
            <wp:extent cx="5991225" cy="215220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26265" cy="2164796"/>
                    </a:xfrm>
                    <a:prstGeom prst="rect">
                      <a:avLst/>
                    </a:prstGeom>
                    <a:noFill/>
                  </pic:spPr>
                </pic:pic>
              </a:graphicData>
            </a:graphic>
          </wp:inline>
        </w:drawing>
      </w:r>
    </w:p>
    <w:p w14:paraId="449D6EB3" w14:textId="77777777" w:rsidR="003A5513" w:rsidRPr="001707CF" w:rsidRDefault="003A5513" w:rsidP="003A5513">
      <w:pPr>
        <w:spacing w:after="0" w:line="480" w:lineRule="auto"/>
        <w:rPr>
          <w:rFonts w:eastAsia="MS Mincho" w:cs="Times New Roman"/>
          <w:sz w:val="24"/>
          <w:szCs w:val="24"/>
        </w:rPr>
      </w:pPr>
    </w:p>
    <w:p w14:paraId="66ACB49F" w14:textId="76EFC5A7" w:rsidR="003A5513" w:rsidRPr="001707CF" w:rsidRDefault="003A5513" w:rsidP="003A5513">
      <w:pPr>
        <w:spacing w:after="0" w:line="240" w:lineRule="auto"/>
        <w:jc w:val="both"/>
        <w:rPr>
          <w:rFonts w:eastAsia="MS Mincho" w:cs="Times New Roman"/>
          <w:sz w:val="24"/>
          <w:szCs w:val="24"/>
        </w:rPr>
      </w:pPr>
      <w:r w:rsidRPr="001707CF">
        <w:rPr>
          <w:rFonts w:eastAsia="MS Mincho" w:cs="Times New Roman"/>
          <w:b/>
          <w:sz w:val="24"/>
          <w:szCs w:val="24"/>
        </w:rPr>
        <w:t>Supplementa</w:t>
      </w:r>
      <w:r w:rsidR="00097D7F">
        <w:rPr>
          <w:rFonts w:eastAsia="MS Mincho" w:cs="Times New Roman"/>
          <w:b/>
          <w:sz w:val="24"/>
          <w:szCs w:val="24"/>
        </w:rPr>
        <w:t>l</w:t>
      </w:r>
      <w:r w:rsidRPr="001707CF">
        <w:rPr>
          <w:rFonts w:eastAsia="MS Mincho" w:cs="Times New Roman"/>
          <w:b/>
          <w:sz w:val="24"/>
          <w:szCs w:val="24"/>
        </w:rPr>
        <w:t xml:space="preserve"> Figure </w:t>
      </w:r>
      <w:r w:rsidR="00867946">
        <w:rPr>
          <w:rFonts w:eastAsia="MS Mincho" w:cs="Times New Roman"/>
          <w:b/>
          <w:sz w:val="24"/>
          <w:szCs w:val="24"/>
        </w:rPr>
        <w:t>1</w:t>
      </w:r>
      <w:r w:rsidR="00A51B2D">
        <w:rPr>
          <w:rFonts w:eastAsia="MS Mincho" w:cs="Times New Roman"/>
          <w:b/>
          <w:sz w:val="24"/>
          <w:szCs w:val="24"/>
        </w:rPr>
        <w:t xml:space="preserve">. </w:t>
      </w:r>
      <w:r w:rsidR="005173C2">
        <w:rPr>
          <w:rFonts w:eastAsia="MS Mincho" w:cs="Times New Roman"/>
          <w:b/>
          <w:sz w:val="24"/>
          <w:szCs w:val="24"/>
        </w:rPr>
        <w:t>Analysis of the most common h</w:t>
      </w:r>
      <w:r w:rsidR="005173C2" w:rsidRPr="001707CF">
        <w:rPr>
          <w:rFonts w:eastAsia="MS Mincho" w:cs="Times New Roman"/>
          <w:b/>
          <w:sz w:val="24"/>
          <w:szCs w:val="24"/>
        </w:rPr>
        <w:t>istone H3</w:t>
      </w:r>
      <w:r w:rsidR="005173C2">
        <w:rPr>
          <w:rFonts w:eastAsia="MS Mincho" w:cs="Times New Roman"/>
          <w:b/>
          <w:sz w:val="24"/>
          <w:szCs w:val="24"/>
        </w:rPr>
        <w:t xml:space="preserve"> variant</w:t>
      </w:r>
      <w:r w:rsidR="005173C2" w:rsidRPr="001707CF">
        <w:rPr>
          <w:rFonts w:eastAsia="MS Mincho" w:cs="Times New Roman"/>
          <w:b/>
          <w:sz w:val="24"/>
          <w:szCs w:val="24"/>
        </w:rPr>
        <w:t xml:space="preserve"> missense mutations </w:t>
      </w:r>
      <w:r w:rsidRPr="001707CF">
        <w:rPr>
          <w:rFonts w:eastAsia="MS Mincho" w:cs="Times New Roman"/>
          <w:b/>
          <w:sz w:val="24"/>
          <w:szCs w:val="24"/>
        </w:rPr>
        <w:t>in cancer.</w:t>
      </w:r>
      <w:r w:rsidRPr="001707CF">
        <w:rPr>
          <w:rFonts w:eastAsia="MS Mincho" w:cs="Times New Roman"/>
          <w:sz w:val="24"/>
          <w:szCs w:val="24"/>
        </w:rPr>
        <w:t xml:space="preserve"> </w:t>
      </w:r>
      <w:r w:rsidR="00BE6729">
        <w:rPr>
          <w:rFonts w:eastAsia="MS Mincho" w:cs="Times New Roman"/>
          <w:sz w:val="24"/>
          <w:szCs w:val="24"/>
        </w:rPr>
        <w:t>A c</w:t>
      </w:r>
      <w:r w:rsidRPr="001707CF">
        <w:rPr>
          <w:rFonts w:eastAsia="MS Mincho" w:cs="Times New Roman"/>
          <w:sz w:val="24"/>
          <w:szCs w:val="24"/>
        </w:rPr>
        <w:t>ross cancer mutation summary was performed using the cBioPortal to search 1</w:t>
      </w:r>
      <w:r w:rsidR="00A51B2D">
        <w:rPr>
          <w:rFonts w:eastAsia="MS Mincho" w:cs="Times New Roman"/>
          <w:sz w:val="24"/>
          <w:szCs w:val="24"/>
        </w:rPr>
        <w:t>59</w:t>
      </w:r>
      <w:r w:rsidRPr="001707CF">
        <w:rPr>
          <w:rFonts w:eastAsia="MS Mincho" w:cs="Times New Roman"/>
          <w:sz w:val="24"/>
          <w:szCs w:val="24"/>
        </w:rPr>
        <w:t xml:space="preserve"> non</w:t>
      </w:r>
      <w:r w:rsidR="00A51B2D">
        <w:rPr>
          <w:rFonts w:eastAsia="MS Mincho" w:cs="Times New Roman"/>
          <w:sz w:val="24"/>
          <w:szCs w:val="24"/>
        </w:rPr>
        <w:t>-</w:t>
      </w:r>
      <w:r w:rsidRPr="001707CF">
        <w:rPr>
          <w:rFonts w:eastAsia="MS Mincho" w:cs="Times New Roman"/>
          <w:sz w:val="24"/>
          <w:szCs w:val="24"/>
        </w:rPr>
        <w:t>redundant cancer studies with a total of 4</w:t>
      </w:r>
      <w:r w:rsidR="00A51B2D">
        <w:rPr>
          <w:rFonts w:eastAsia="MS Mincho" w:cs="Times New Roman"/>
          <w:sz w:val="24"/>
          <w:szCs w:val="24"/>
        </w:rPr>
        <w:t>1</w:t>
      </w:r>
      <w:r w:rsidR="00BE74ED">
        <w:rPr>
          <w:rFonts w:eastAsia="MS Mincho" w:cs="Times New Roman"/>
          <w:sz w:val="24"/>
          <w:szCs w:val="24"/>
        </w:rPr>
        <w:t>,</w:t>
      </w:r>
      <w:r w:rsidR="00A51B2D">
        <w:rPr>
          <w:rFonts w:eastAsia="MS Mincho" w:cs="Times New Roman"/>
          <w:sz w:val="24"/>
          <w:szCs w:val="24"/>
        </w:rPr>
        <w:t>738</w:t>
      </w:r>
      <w:r w:rsidRPr="001707CF">
        <w:rPr>
          <w:rFonts w:eastAsia="MS Mincho" w:cs="Times New Roman"/>
          <w:sz w:val="24"/>
          <w:szCs w:val="24"/>
        </w:rPr>
        <w:t xml:space="preserve"> patients. The number of patients reported to have a missense mutation at each amino acid residue position in </w:t>
      </w:r>
      <w:r w:rsidR="00A51B2D">
        <w:rPr>
          <w:rFonts w:eastAsia="MS Mincho" w:cs="Times New Roman"/>
          <w:sz w:val="24"/>
          <w:szCs w:val="24"/>
        </w:rPr>
        <w:t xml:space="preserve">the </w:t>
      </w:r>
      <w:r w:rsidRPr="001707CF">
        <w:rPr>
          <w:rFonts w:eastAsia="MS Mincho" w:cs="Times New Roman"/>
          <w:sz w:val="24"/>
          <w:szCs w:val="24"/>
        </w:rPr>
        <w:t xml:space="preserve">histone </w:t>
      </w:r>
      <w:r w:rsidR="00A51B2D">
        <w:rPr>
          <w:rFonts w:eastAsia="MS Mincho" w:cs="Times New Roman"/>
          <w:sz w:val="24"/>
          <w:szCs w:val="24"/>
        </w:rPr>
        <w:t xml:space="preserve">H3 variants </w:t>
      </w:r>
      <w:r w:rsidRPr="001707CF">
        <w:rPr>
          <w:rFonts w:eastAsia="MS Mincho" w:cs="Times New Roman"/>
          <w:sz w:val="24"/>
          <w:szCs w:val="24"/>
        </w:rPr>
        <w:t>H3.</w:t>
      </w:r>
      <w:r w:rsidR="00A51B2D">
        <w:rPr>
          <w:rFonts w:eastAsia="MS Mincho" w:cs="Times New Roman"/>
          <w:sz w:val="24"/>
          <w:szCs w:val="24"/>
        </w:rPr>
        <w:t>3</w:t>
      </w:r>
      <w:r w:rsidRPr="001707CF">
        <w:rPr>
          <w:rFonts w:eastAsia="MS Mincho" w:cs="Times New Roman"/>
          <w:sz w:val="24"/>
          <w:szCs w:val="24"/>
        </w:rPr>
        <w:t xml:space="preserve"> (H3F3A/B) </w:t>
      </w:r>
      <w:r w:rsidR="00A51B2D">
        <w:rPr>
          <w:rFonts w:eastAsia="MS Mincho" w:cs="Times New Roman"/>
          <w:sz w:val="24"/>
          <w:szCs w:val="24"/>
        </w:rPr>
        <w:t>and CENP</w:t>
      </w:r>
      <w:r w:rsidR="005173C2">
        <w:rPr>
          <w:rFonts w:eastAsia="MS Mincho" w:cs="Times New Roman"/>
          <w:sz w:val="24"/>
          <w:szCs w:val="24"/>
        </w:rPr>
        <w:t>A</w:t>
      </w:r>
      <w:r w:rsidR="00A51B2D">
        <w:rPr>
          <w:rFonts w:eastAsia="MS Mincho" w:cs="Times New Roman"/>
          <w:sz w:val="24"/>
          <w:szCs w:val="24"/>
        </w:rPr>
        <w:t xml:space="preserve"> </w:t>
      </w:r>
      <w:r w:rsidRPr="001707CF">
        <w:rPr>
          <w:rFonts w:eastAsia="MS Mincho" w:cs="Times New Roman"/>
          <w:sz w:val="24"/>
          <w:szCs w:val="24"/>
        </w:rPr>
        <w:t>was graphed. The average number of mutations is indicated for each histone by a red line, and first two standard deviations indicated by the blue shaded boxes. Locations of the most significant mutations (Z score &gt; 2) are indicated.</w:t>
      </w:r>
    </w:p>
    <w:p w14:paraId="0A9A31AC" w14:textId="77777777" w:rsidR="003A5513" w:rsidRDefault="003A5513" w:rsidP="003A5513">
      <w:pPr>
        <w:rPr>
          <w:rFonts w:eastAsia="MS Mincho" w:cs="Times New Roman"/>
          <w:sz w:val="24"/>
          <w:szCs w:val="24"/>
        </w:rPr>
      </w:pPr>
      <w:r>
        <w:rPr>
          <w:rFonts w:eastAsia="MS Mincho" w:cs="Times New Roman"/>
          <w:sz w:val="24"/>
          <w:szCs w:val="24"/>
        </w:rPr>
        <w:br w:type="page"/>
      </w:r>
    </w:p>
    <w:p w14:paraId="58705B44" w14:textId="77777777" w:rsidR="00867946" w:rsidRDefault="00867946" w:rsidP="00867946">
      <w:pPr>
        <w:rPr>
          <w:rFonts w:eastAsia="MS Mincho" w:cs="Times New Roman"/>
          <w:sz w:val="24"/>
          <w:szCs w:val="24"/>
        </w:rPr>
      </w:pPr>
    </w:p>
    <w:p w14:paraId="696A19FD" w14:textId="77777777" w:rsidR="00867946" w:rsidRDefault="00867946" w:rsidP="00867946">
      <w:pPr>
        <w:rPr>
          <w:rFonts w:eastAsia="MS Mincho" w:cs="Times New Roman"/>
          <w:sz w:val="24"/>
          <w:szCs w:val="24"/>
        </w:rPr>
      </w:pPr>
      <w:r>
        <w:rPr>
          <w:rFonts w:eastAsia="MS Mincho" w:cs="Times New Roman"/>
          <w:noProof/>
          <w:sz w:val="24"/>
          <w:szCs w:val="24"/>
        </w:rPr>
        <w:drawing>
          <wp:inline distT="0" distB="0" distL="0" distR="0" wp14:anchorId="6BADA2FA" wp14:editId="7F524F39">
            <wp:extent cx="6061460" cy="3874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6658" cy="3878093"/>
                    </a:xfrm>
                    <a:prstGeom prst="rect">
                      <a:avLst/>
                    </a:prstGeom>
                    <a:noFill/>
                  </pic:spPr>
                </pic:pic>
              </a:graphicData>
            </a:graphic>
          </wp:inline>
        </w:drawing>
      </w:r>
    </w:p>
    <w:p w14:paraId="2673FA65" w14:textId="77777777" w:rsidR="00867946" w:rsidRDefault="00867946" w:rsidP="00867946">
      <w:pPr>
        <w:rPr>
          <w:rFonts w:eastAsia="MS Mincho" w:cs="Times New Roman"/>
          <w:sz w:val="24"/>
          <w:szCs w:val="24"/>
        </w:rPr>
      </w:pPr>
    </w:p>
    <w:p w14:paraId="4A59B55B" w14:textId="77777777" w:rsidR="00867946" w:rsidRDefault="00867946" w:rsidP="002C2F4F">
      <w:pPr>
        <w:jc w:val="both"/>
        <w:rPr>
          <w:rFonts w:eastAsia="MS Mincho" w:cs="Times New Roman"/>
          <w:sz w:val="24"/>
          <w:szCs w:val="24"/>
        </w:rPr>
      </w:pPr>
      <w:r w:rsidRPr="001E2C52">
        <w:rPr>
          <w:rFonts w:eastAsia="MS Mincho" w:cs="Times New Roman"/>
          <w:b/>
          <w:sz w:val="24"/>
          <w:szCs w:val="24"/>
        </w:rPr>
        <w:t xml:space="preserve">Supplemental Figure </w:t>
      </w:r>
      <w:r>
        <w:rPr>
          <w:rFonts w:eastAsia="MS Mincho" w:cs="Times New Roman"/>
          <w:b/>
          <w:sz w:val="24"/>
          <w:szCs w:val="24"/>
        </w:rPr>
        <w:t>2</w:t>
      </w:r>
      <w:r w:rsidRPr="001E2C52">
        <w:rPr>
          <w:rFonts w:eastAsia="MS Mincho" w:cs="Times New Roman"/>
          <w:b/>
          <w:sz w:val="24"/>
          <w:szCs w:val="24"/>
        </w:rPr>
        <w:t>. Single nucleotide polymorphism frequency at amino acid positions found recurrently mutated in cancer</w:t>
      </w:r>
      <w:r>
        <w:rPr>
          <w:rFonts w:eastAsia="MS Mincho" w:cs="Times New Roman"/>
          <w:sz w:val="24"/>
          <w:szCs w:val="24"/>
        </w:rPr>
        <w:t>. The single nucleotide polymorphism database (</w:t>
      </w:r>
      <w:proofErr w:type="spellStart"/>
      <w:r>
        <w:rPr>
          <w:rFonts w:eastAsia="MS Mincho" w:cs="Times New Roman"/>
          <w:sz w:val="24"/>
          <w:szCs w:val="24"/>
        </w:rPr>
        <w:t>dbSNP</w:t>
      </w:r>
      <w:proofErr w:type="spellEnd"/>
      <w:r>
        <w:rPr>
          <w:rFonts w:eastAsia="MS Mincho" w:cs="Times New Roman"/>
          <w:sz w:val="24"/>
          <w:szCs w:val="24"/>
        </w:rPr>
        <w:t xml:space="preserve">) was queried to compare the frequency of single base nucleotide substitutions in histone genes to the frequency found in in the cBioPortal for cancer genomics. Frequencies were compared for each amino acid substitution mutation found most recurrently in cancer. </w:t>
      </w:r>
    </w:p>
    <w:p w14:paraId="6E8F3487" w14:textId="77777777" w:rsidR="00867946" w:rsidRDefault="00867946" w:rsidP="00867946">
      <w:pPr>
        <w:rPr>
          <w:rFonts w:eastAsia="MS Mincho" w:cs="Times New Roman"/>
          <w:sz w:val="24"/>
          <w:szCs w:val="24"/>
        </w:rPr>
      </w:pPr>
      <w:r>
        <w:rPr>
          <w:rFonts w:eastAsia="MS Mincho" w:cs="Times New Roman"/>
          <w:sz w:val="24"/>
          <w:szCs w:val="24"/>
        </w:rPr>
        <w:br w:type="page"/>
      </w:r>
    </w:p>
    <w:p w14:paraId="06DF2265" w14:textId="77777777" w:rsidR="00CE4DAF" w:rsidRDefault="00CE4DAF">
      <w:pPr>
        <w:rPr>
          <w:rFonts w:eastAsia="MS Mincho" w:cs="Times New Roman"/>
          <w:sz w:val="24"/>
          <w:szCs w:val="24"/>
        </w:rPr>
      </w:pPr>
    </w:p>
    <w:p w14:paraId="39374034" w14:textId="77777777" w:rsidR="001707CF" w:rsidRDefault="001707CF" w:rsidP="001707CF">
      <w:pPr>
        <w:spacing w:after="0" w:line="480" w:lineRule="auto"/>
        <w:rPr>
          <w:rFonts w:eastAsia="MS Mincho" w:cs="Times New Roman"/>
          <w:sz w:val="24"/>
          <w:szCs w:val="24"/>
        </w:rPr>
      </w:pPr>
    </w:p>
    <w:p w14:paraId="17A6D79F" w14:textId="77777777" w:rsidR="00A016BA" w:rsidRPr="001707CF" w:rsidRDefault="00A016BA" w:rsidP="001707CF">
      <w:pPr>
        <w:spacing w:after="0" w:line="480" w:lineRule="auto"/>
        <w:rPr>
          <w:rFonts w:eastAsia="MS Mincho" w:cs="Times New Roman"/>
          <w:sz w:val="24"/>
          <w:szCs w:val="24"/>
        </w:rPr>
      </w:pPr>
      <w:r>
        <w:rPr>
          <w:rFonts w:eastAsia="MS Mincho" w:cs="Times New Roman"/>
          <w:noProof/>
          <w:sz w:val="24"/>
          <w:szCs w:val="24"/>
        </w:rPr>
        <w:drawing>
          <wp:inline distT="0" distB="0" distL="0" distR="0" wp14:anchorId="13B62809" wp14:editId="4E2A8B27">
            <wp:extent cx="5926230" cy="3891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7108" cy="3899059"/>
                    </a:xfrm>
                    <a:prstGeom prst="rect">
                      <a:avLst/>
                    </a:prstGeom>
                    <a:noFill/>
                  </pic:spPr>
                </pic:pic>
              </a:graphicData>
            </a:graphic>
          </wp:inline>
        </w:drawing>
      </w:r>
    </w:p>
    <w:p w14:paraId="76AAA23C" w14:textId="77777777" w:rsidR="001707CF" w:rsidRPr="001707CF" w:rsidRDefault="001707CF" w:rsidP="002F7631">
      <w:pPr>
        <w:spacing w:after="0" w:line="240" w:lineRule="auto"/>
        <w:jc w:val="both"/>
        <w:rPr>
          <w:rFonts w:eastAsia="MS Mincho" w:cs="Times New Roman"/>
          <w:sz w:val="24"/>
          <w:szCs w:val="24"/>
        </w:rPr>
      </w:pPr>
      <w:r w:rsidRPr="001707CF">
        <w:rPr>
          <w:rFonts w:eastAsia="MS Mincho" w:cs="Times New Roman"/>
          <w:b/>
          <w:sz w:val="24"/>
          <w:szCs w:val="24"/>
        </w:rPr>
        <w:t>Supplementa</w:t>
      </w:r>
      <w:r w:rsidR="00097D7F">
        <w:rPr>
          <w:rFonts w:eastAsia="MS Mincho" w:cs="Times New Roman"/>
          <w:b/>
          <w:sz w:val="24"/>
          <w:szCs w:val="24"/>
        </w:rPr>
        <w:t>l</w:t>
      </w:r>
      <w:r w:rsidRPr="001707CF">
        <w:rPr>
          <w:rFonts w:eastAsia="MS Mincho" w:cs="Times New Roman"/>
          <w:b/>
          <w:sz w:val="24"/>
          <w:szCs w:val="24"/>
        </w:rPr>
        <w:t xml:space="preserve"> Figure </w:t>
      </w:r>
      <w:r w:rsidR="001E2C52">
        <w:rPr>
          <w:rFonts w:eastAsia="MS Mincho" w:cs="Times New Roman"/>
          <w:b/>
          <w:sz w:val="24"/>
          <w:szCs w:val="24"/>
        </w:rPr>
        <w:t>3</w:t>
      </w:r>
      <w:r w:rsidRPr="001707CF">
        <w:rPr>
          <w:rFonts w:eastAsia="MS Mincho" w:cs="Times New Roman"/>
          <w:b/>
          <w:sz w:val="24"/>
          <w:szCs w:val="24"/>
        </w:rPr>
        <w:t>. Recurrent histone mutations observed in cancer cluster at important structural hotspots of the nucleosome.</w:t>
      </w:r>
      <w:r w:rsidRPr="001707CF">
        <w:rPr>
          <w:rFonts w:eastAsia="MS Mincho" w:cs="Times New Roman"/>
          <w:sz w:val="24"/>
          <w:szCs w:val="24"/>
        </w:rPr>
        <w:t xml:space="preserve">  (A) The H2B residue E76 forms a salt bridge with H4 amino acids R92 and D68 in the nucleosome structure. (B) The Histone H3-H4 interaction depends on a salt bridge formed between amino acid E105 in H3 and G42 in H4. (C) The H2B-E76K mutant (left) disrupts a salt bridge between H2B E76 and H4 R92 in the WT nucleosome crystal structure (right). (D) The molecular dynamics snapshot of H2B/H4 dimer structure with WT in lime green and E76K-mutant in red. Note that the left blue residue was E76 in the WT-H2B and the right blue residue was R92 in the WT-H4. The left orange residue was K76 in the mutant-H2B and the right orange residue was R92 in the mutant-H4.</w:t>
      </w:r>
    </w:p>
    <w:p w14:paraId="0B1ECFD6" w14:textId="77777777" w:rsidR="00CE4DAF" w:rsidRDefault="00CE4DAF">
      <w:pPr>
        <w:rPr>
          <w:rFonts w:eastAsia="MS Mincho" w:cs="Times New Roman"/>
          <w:sz w:val="24"/>
          <w:szCs w:val="24"/>
        </w:rPr>
      </w:pPr>
      <w:r>
        <w:rPr>
          <w:rFonts w:eastAsia="MS Mincho" w:cs="Times New Roman"/>
          <w:sz w:val="24"/>
          <w:szCs w:val="24"/>
        </w:rPr>
        <w:br w:type="page"/>
      </w:r>
    </w:p>
    <w:p w14:paraId="3817F7EB" w14:textId="77777777" w:rsidR="001707CF" w:rsidRDefault="0058290D" w:rsidP="00DB33A7">
      <w:pPr>
        <w:spacing w:after="0" w:line="480" w:lineRule="auto"/>
        <w:jc w:val="center"/>
        <w:rPr>
          <w:rFonts w:eastAsia="MS Mincho" w:cs="Times New Roman"/>
          <w:sz w:val="24"/>
          <w:szCs w:val="24"/>
        </w:rPr>
      </w:pPr>
      <w:r>
        <w:rPr>
          <w:rFonts w:eastAsia="MS Mincho" w:cs="Times New Roman"/>
          <w:noProof/>
          <w:sz w:val="24"/>
          <w:szCs w:val="24"/>
        </w:rPr>
        <w:lastRenderedPageBreak/>
        <w:drawing>
          <wp:inline distT="0" distB="0" distL="0" distR="0" wp14:anchorId="5129459D" wp14:editId="376067D6">
            <wp:extent cx="6223000" cy="447038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6247" cy="4479898"/>
                    </a:xfrm>
                    <a:prstGeom prst="rect">
                      <a:avLst/>
                    </a:prstGeom>
                    <a:noFill/>
                  </pic:spPr>
                </pic:pic>
              </a:graphicData>
            </a:graphic>
          </wp:inline>
        </w:drawing>
      </w:r>
    </w:p>
    <w:p w14:paraId="0A8ECE89" w14:textId="77777777" w:rsidR="00DB33A7" w:rsidRDefault="00DB33A7" w:rsidP="001707CF">
      <w:pPr>
        <w:spacing w:after="0" w:line="480" w:lineRule="auto"/>
        <w:rPr>
          <w:rFonts w:eastAsia="MS Mincho" w:cs="Times New Roman"/>
          <w:sz w:val="24"/>
          <w:szCs w:val="24"/>
        </w:rPr>
      </w:pPr>
    </w:p>
    <w:p w14:paraId="23962148" w14:textId="7F8825B6" w:rsidR="001707CF" w:rsidRPr="001707CF" w:rsidRDefault="001707CF" w:rsidP="00DB33A7">
      <w:pPr>
        <w:spacing w:after="0" w:line="240" w:lineRule="auto"/>
        <w:jc w:val="both"/>
        <w:rPr>
          <w:rFonts w:eastAsia="MS Mincho" w:cs="Times New Roman"/>
          <w:sz w:val="24"/>
          <w:szCs w:val="24"/>
        </w:rPr>
      </w:pPr>
      <w:r w:rsidRPr="001707CF">
        <w:rPr>
          <w:rFonts w:eastAsia="MS Mincho" w:cs="Times New Roman"/>
          <w:b/>
          <w:sz w:val="24"/>
          <w:szCs w:val="24"/>
        </w:rPr>
        <w:t>Supplementa</w:t>
      </w:r>
      <w:r w:rsidR="00097D7F">
        <w:rPr>
          <w:rFonts w:eastAsia="MS Mincho" w:cs="Times New Roman"/>
          <w:b/>
          <w:sz w:val="24"/>
          <w:szCs w:val="24"/>
        </w:rPr>
        <w:t>l</w:t>
      </w:r>
      <w:r w:rsidRPr="001707CF">
        <w:rPr>
          <w:rFonts w:eastAsia="MS Mincho" w:cs="Times New Roman"/>
          <w:b/>
          <w:sz w:val="24"/>
          <w:szCs w:val="24"/>
        </w:rPr>
        <w:t xml:space="preserve"> Figure </w:t>
      </w:r>
      <w:r w:rsidR="001E2C52">
        <w:rPr>
          <w:rFonts w:eastAsia="MS Mincho" w:cs="Times New Roman"/>
          <w:b/>
          <w:sz w:val="24"/>
          <w:szCs w:val="24"/>
        </w:rPr>
        <w:t>4</w:t>
      </w:r>
      <w:r w:rsidRPr="001707CF">
        <w:rPr>
          <w:rFonts w:eastAsia="MS Mincho" w:cs="Times New Roman"/>
          <w:b/>
          <w:sz w:val="24"/>
          <w:szCs w:val="24"/>
        </w:rPr>
        <w:t xml:space="preserve">. Expression and analysis of H2B-E76K in MCF10A cells.  </w:t>
      </w:r>
      <w:r w:rsidRPr="001707CF">
        <w:rPr>
          <w:rFonts w:eastAsia="MS Mincho" w:cs="Times New Roman"/>
          <w:sz w:val="24"/>
          <w:szCs w:val="24"/>
        </w:rPr>
        <w:t>(A) After transduction of Flag-tagged WT or E76K H2B into MCF10A cells, stable expression was measured in nuclear extracts and compared to control, non-transduced, MCF</w:t>
      </w:r>
      <w:r w:rsidR="00826995">
        <w:rPr>
          <w:rFonts w:eastAsia="MS Mincho" w:cs="Times New Roman"/>
          <w:sz w:val="24"/>
          <w:szCs w:val="24"/>
        </w:rPr>
        <w:t>10A lysates by western blotting</w:t>
      </w:r>
      <w:r w:rsidRPr="001707CF">
        <w:rPr>
          <w:rFonts w:eastAsia="MS Mincho" w:cs="Times New Roman"/>
          <w:sz w:val="24"/>
          <w:szCs w:val="24"/>
        </w:rPr>
        <w:t xml:space="preserve">. </w:t>
      </w:r>
      <w:r w:rsidR="006527F9">
        <w:rPr>
          <w:rFonts w:eastAsia="MS Mincho" w:cs="Times New Roman"/>
          <w:sz w:val="24"/>
          <w:szCs w:val="24"/>
        </w:rPr>
        <w:t xml:space="preserve">Bands corresponding to endogenous and exogenous H2B were </w:t>
      </w:r>
      <w:r w:rsidR="00E96471">
        <w:rPr>
          <w:rFonts w:eastAsia="MS Mincho" w:cs="Times New Roman"/>
          <w:sz w:val="24"/>
          <w:szCs w:val="24"/>
        </w:rPr>
        <w:t>visualized using an Odyssey infrared imager (Li</w:t>
      </w:r>
      <w:r w:rsidR="006A41CB">
        <w:rPr>
          <w:rFonts w:eastAsia="MS Mincho" w:cs="Times New Roman"/>
          <w:sz w:val="24"/>
          <w:szCs w:val="24"/>
        </w:rPr>
        <w:t>-C</w:t>
      </w:r>
      <w:r w:rsidR="00E96471">
        <w:rPr>
          <w:rFonts w:eastAsia="MS Mincho" w:cs="Times New Roman"/>
          <w:sz w:val="24"/>
          <w:szCs w:val="24"/>
        </w:rPr>
        <w:t xml:space="preserve">or) and </w:t>
      </w:r>
      <w:r w:rsidR="006527F9">
        <w:rPr>
          <w:rFonts w:eastAsia="MS Mincho" w:cs="Times New Roman"/>
          <w:sz w:val="24"/>
          <w:szCs w:val="24"/>
        </w:rPr>
        <w:t xml:space="preserve">quantified with Image Studio </w:t>
      </w:r>
      <w:r w:rsidR="00E96471">
        <w:rPr>
          <w:rFonts w:eastAsia="MS Mincho" w:cs="Times New Roman"/>
          <w:sz w:val="24"/>
          <w:szCs w:val="24"/>
        </w:rPr>
        <w:t>(Ver. 5.2, Li</w:t>
      </w:r>
      <w:r w:rsidR="006A41CB">
        <w:rPr>
          <w:rFonts w:eastAsia="MS Mincho" w:cs="Times New Roman"/>
          <w:sz w:val="24"/>
          <w:szCs w:val="24"/>
        </w:rPr>
        <w:t>-C</w:t>
      </w:r>
      <w:r w:rsidR="00E96471">
        <w:rPr>
          <w:rFonts w:eastAsia="MS Mincho" w:cs="Times New Roman"/>
          <w:sz w:val="24"/>
          <w:szCs w:val="24"/>
        </w:rPr>
        <w:t>or)</w:t>
      </w:r>
      <w:r w:rsidR="006527F9">
        <w:rPr>
          <w:rFonts w:eastAsia="MS Mincho" w:cs="Times New Roman"/>
          <w:sz w:val="24"/>
          <w:szCs w:val="24"/>
        </w:rPr>
        <w:t xml:space="preserve">. </w:t>
      </w:r>
      <w:r w:rsidRPr="001707CF">
        <w:rPr>
          <w:rFonts w:eastAsia="MS Mincho" w:cs="Times New Roman"/>
          <w:sz w:val="24"/>
          <w:szCs w:val="24"/>
        </w:rPr>
        <w:t xml:space="preserve">(B) </w:t>
      </w:r>
      <w:r w:rsidR="00634C2F">
        <w:rPr>
          <w:rFonts w:eastAsia="MS Mincho" w:cs="Times New Roman"/>
          <w:sz w:val="24"/>
          <w:szCs w:val="24"/>
        </w:rPr>
        <w:t>Relative abundance</w:t>
      </w:r>
      <w:r w:rsidR="00B56FD4">
        <w:rPr>
          <w:rFonts w:eastAsia="MS Mincho" w:cs="Times New Roman"/>
          <w:sz w:val="24"/>
          <w:szCs w:val="24"/>
        </w:rPr>
        <w:t xml:space="preserve"> of exogenous Flag-tagged H2B </w:t>
      </w:r>
      <w:r w:rsidR="00634C2F">
        <w:rPr>
          <w:rFonts w:eastAsia="MS Mincho" w:cs="Times New Roman"/>
          <w:sz w:val="24"/>
          <w:szCs w:val="24"/>
        </w:rPr>
        <w:t xml:space="preserve">compared to total H2B </w:t>
      </w:r>
      <w:r w:rsidR="00B56FD4">
        <w:rPr>
          <w:rFonts w:eastAsia="MS Mincho" w:cs="Times New Roman"/>
          <w:sz w:val="24"/>
          <w:szCs w:val="24"/>
        </w:rPr>
        <w:t xml:space="preserve">in MCF10A cells from two biological replicates. (C) </w:t>
      </w:r>
      <w:r w:rsidRPr="001707CF">
        <w:rPr>
          <w:rFonts w:eastAsia="MS Mincho" w:cs="Times New Roman"/>
          <w:sz w:val="24"/>
          <w:szCs w:val="24"/>
        </w:rPr>
        <w:t>Western blot of nuclear lysates from MCF10A cells expressing cumate-inducible GFP-tagged WT or H2B-E76K measured before and after induction of expression with cumate for 5 days. (</w:t>
      </w:r>
      <w:r w:rsidR="00B56FD4">
        <w:rPr>
          <w:rFonts w:eastAsia="MS Mincho" w:cs="Times New Roman"/>
          <w:sz w:val="24"/>
          <w:szCs w:val="24"/>
        </w:rPr>
        <w:t>D</w:t>
      </w:r>
      <w:r w:rsidRPr="001707CF">
        <w:rPr>
          <w:rFonts w:eastAsia="MS Mincho" w:cs="Times New Roman"/>
          <w:sz w:val="24"/>
          <w:szCs w:val="24"/>
        </w:rPr>
        <w:t>) Flag-tagged WT or H2B-E76K was immuno-precipitated from transduced MCF10A cells and western blotting performed to confirm that mutant H2B remained able to associate with histone H4. IgG, IgG control immunoprecipitation. (</w:t>
      </w:r>
      <w:r w:rsidR="00B56FD4">
        <w:rPr>
          <w:rFonts w:eastAsia="MS Mincho" w:cs="Times New Roman"/>
          <w:sz w:val="24"/>
          <w:szCs w:val="24"/>
        </w:rPr>
        <w:t>E</w:t>
      </w:r>
      <w:r w:rsidRPr="001707CF">
        <w:rPr>
          <w:rFonts w:eastAsia="MS Mincho" w:cs="Times New Roman"/>
          <w:sz w:val="24"/>
          <w:szCs w:val="24"/>
        </w:rPr>
        <w:t xml:space="preserve">) Colony formation was assessed after 14 days growth of MCF10A cells expressing PIK3CA and either WT-H2B or H2B-E76K. </w:t>
      </w:r>
      <w:r w:rsidR="006527F9">
        <w:rPr>
          <w:rFonts w:eastAsia="MS Mincho" w:cs="Times New Roman"/>
          <w:sz w:val="24"/>
          <w:szCs w:val="24"/>
        </w:rPr>
        <w:t>A red circle indicates a representative colony that was counted. A red X indicates an excluded spot that may be due to a gel artifact.</w:t>
      </w:r>
    </w:p>
    <w:p w14:paraId="518793E2" w14:textId="77777777" w:rsidR="00CE4DAF" w:rsidRDefault="00CE4DAF" w:rsidP="00DB33A7">
      <w:pPr>
        <w:spacing w:line="240" w:lineRule="auto"/>
        <w:rPr>
          <w:rFonts w:eastAsia="MS Mincho" w:cs="Times New Roman"/>
          <w:sz w:val="24"/>
          <w:szCs w:val="24"/>
        </w:rPr>
      </w:pPr>
      <w:r>
        <w:rPr>
          <w:rFonts w:eastAsia="MS Mincho" w:cs="Times New Roman"/>
          <w:sz w:val="24"/>
          <w:szCs w:val="24"/>
        </w:rPr>
        <w:br w:type="page"/>
      </w:r>
    </w:p>
    <w:p w14:paraId="59411EF0" w14:textId="77777777" w:rsidR="00333C0E" w:rsidRDefault="00333C0E" w:rsidP="00333C0E">
      <w:pPr>
        <w:rPr>
          <w:rFonts w:eastAsia="MS Mincho" w:cs="Times New Roman"/>
          <w:sz w:val="24"/>
          <w:szCs w:val="24"/>
        </w:rPr>
      </w:pPr>
    </w:p>
    <w:p w14:paraId="324CD539" w14:textId="77777777" w:rsidR="00333C0E" w:rsidRDefault="00333C0E" w:rsidP="00333C0E">
      <w:pPr>
        <w:rPr>
          <w:rFonts w:eastAsia="MS Mincho" w:cs="Times New Roman"/>
          <w:sz w:val="24"/>
          <w:szCs w:val="24"/>
        </w:rPr>
      </w:pPr>
      <w:r>
        <w:rPr>
          <w:rFonts w:eastAsia="MS Mincho" w:cs="Times New Roman"/>
          <w:noProof/>
          <w:sz w:val="24"/>
          <w:szCs w:val="24"/>
        </w:rPr>
        <w:drawing>
          <wp:inline distT="0" distB="0" distL="0" distR="0" wp14:anchorId="087C4161" wp14:editId="21E4E867">
            <wp:extent cx="5993765" cy="1991397"/>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5120" cy="1998492"/>
                    </a:xfrm>
                    <a:prstGeom prst="rect">
                      <a:avLst/>
                    </a:prstGeom>
                    <a:noFill/>
                  </pic:spPr>
                </pic:pic>
              </a:graphicData>
            </a:graphic>
          </wp:inline>
        </w:drawing>
      </w:r>
    </w:p>
    <w:p w14:paraId="489CC519" w14:textId="77777777" w:rsidR="00333C0E" w:rsidRDefault="00333C0E" w:rsidP="00333C0E">
      <w:pPr>
        <w:rPr>
          <w:rFonts w:eastAsia="MS Mincho" w:cs="Times New Roman"/>
          <w:sz w:val="24"/>
          <w:szCs w:val="24"/>
        </w:rPr>
      </w:pPr>
      <w:r>
        <w:rPr>
          <w:rFonts w:eastAsia="MS Mincho" w:cs="Times New Roman"/>
          <w:noProof/>
          <w:sz w:val="24"/>
          <w:szCs w:val="24"/>
        </w:rPr>
        <w:drawing>
          <wp:inline distT="0" distB="0" distL="0" distR="0" wp14:anchorId="65B479CD" wp14:editId="57B1AB20">
            <wp:extent cx="4533900" cy="20313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2477" cy="2057611"/>
                    </a:xfrm>
                    <a:prstGeom prst="rect">
                      <a:avLst/>
                    </a:prstGeom>
                    <a:noFill/>
                  </pic:spPr>
                </pic:pic>
              </a:graphicData>
            </a:graphic>
          </wp:inline>
        </w:drawing>
      </w:r>
    </w:p>
    <w:p w14:paraId="41421E4F" w14:textId="77777777" w:rsidR="00333C0E" w:rsidRDefault="00333C0E" w:rsidP="00333C0E">
      <w:pPr>
        <w:rPr>
          <w:rFonts w:eastAsia="MS Mincho" w:cs="Times New Roman"/>
          <w:sz w:val="24"/>
          <w:szCs w:val="24"/>
        </w:rPr>
      </w:pPr>
      <w:r>
        <w:rPr>
          <w:rFonts w:eastAsia="MS Mincho" w:cs="Times New Roman"/>
          <w:noProof/>
          <w:sz w:val="24"/>
          <w:szCs w:val="24"/>
        </w:rPr>
        <w:drawing>
          <wp:inline distT="0" distB="0" distL="0" distR="0" wp14:anchorId="55FEDBEA" wp14:editId="2D47926D">
            <wp:extent cx="4436526" cy="1952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3295" cy="1960005"/>
                    </a:xfrm>
                    <a:prstGeom prst="rect">
                      <a:avLst/>
                    </a:prstGeom>
                    <a:noFill/>
                  </pic:spPr>
                </pic:pic>
              </a:graphicData>
            </a:graphic>
          </wp:inline>
        </w:drawing>
      </w:r>
    </w:p>
    <w:p w14:paraId="20918874" w14:textId="77777777" w:rsidR="00333C0E" w:rsidRDefault="00333C0E" w:rsidP="00333C0E">
      <w:pPr>
        <w:rPr>
          <w:rFonts w:eastAsia="MS Mincho" w:cs="Times New Roman"/>
          <w:b/>
          <w:sz w:val="24"/>
          <w:szCs w:val="24"/>
        </w:rPr>
      </w:pPr>
    </w:p>
    <w:p w14:paraId="0A2C961F" w14:textId="77777777" w:rsidR="00333C0E" w:rsidRDefault="00333C0E" w:rsidP="00F95A80">
      <w:pPr>
        <w:jc w:val="both"/>
        <w:rPr>
          <w:rFonts w:eastAsia="MS Mincho" w:cs="Times New Roman"/>
          <w:sz w:val="24"/>
          <w:szCs w:val="24"/>
        </w:rPr>
      </w:pPr>
      <w:r w:rsidRPr="00420398">
        <w:rPr>
          <w:rFonts w:eastAsia="MS Mincho" w:cs="Times New Roman"/>
          <w:b/>
          <w:sz w:val="24"/>
          <w:szCs w:val="24"/>
        </w:rPr>
        <w:t>Supplementa</w:t>
      </w:r>
      <w:r>
        <w:rPr>
          <w:rFonts w:eastAsia="MS Mincho" w:cs="Times New Roman"/>
          <w:b/>
          <w:sz w:val="24"/>
          <w:szCs w:val="24"/>
        </w:rPr>
        <w:t>l</w:t>
      </w:r>
      <w:r w:rsidRPr="00420398">
        <w:rPr>
          <w:rFonts w:eastAsia="MS Mincho" w:cs="Times New Roman"/>
          <w:b/>
          <w:sz w:val="24"/>
          <w:szCs w:val="24"/>
        </w:rPr>
        <w:t xml:space="preserve"> Figure </w:t>
      </w:r>
      <w:r>
        <w:rPr>
          <w:rFonts w:eastAsia="MS Mincho" w:cs="Times New Roman"/>
          <w:b/>
          <w:sz w:val="24"/>
          <w:szCs w:val="24"/>
        </w:rPr>
        <w:t>5</w:t>
      </w:r>
      <w:r w:rsidRPr="00420398">
        <w:rPr>
          <w:rFonts w:eastAsia="MS Mincho" w:cs="Times New Roman"/>
          <w:b/>
          <w:sz w:val="24"/>
          <w:szCs w:val="24"/>
        </w:rPr>
        <w:t>. Expression of H2B-E76K does not a</w:t>
      </w:r>
      <w:r>
        <w:rPr>
          <w:rFonts w:eastAsia="MS Mincho" w:cs="Times New Roman"/>
          <w:b/>
          <w:sz w:val="24"/>
          <w:szCs w:val="24"/>
        </w:rPr>
        <w:t>ffect</w:t>
      </w:r>
      <w:r w:rsidRPr="00420398">
        <w:rPr>
          <w:rFonts w:eastAsia="MS Mincho" w:cs="Times New Roman"/>
          <w:b/>
          <w:sz w:val="24"/>
          <w:szCs w:val="24"/>
        </w:rPr>
        <w:t xml:space="preserve"> </w:t>
      </w:r>
      <w:r>
        <w:rPr>
          <w:rFonts w:eastAsia="MS Mincho" w:cs="Times New Roman"/>
          <w:b/>
          <w:sz w:val="24"/>
          <w:szCs w:val="24"/>
        </w:rPr>
        <w:t>common chromatin marks in MCF10A cells</w:t>
      </w:r>
      <w:r>
        <w:rPr>
          <w:rFonts w:eastAsia="MS Mincho" w:cs="Times New Roman"/>
          <w:sz w:val="24"/>
          <w:szCs w:val="24"/>
        </w:rPr>
        <w:t>. Acid extracted histones were digested with trypsin and mass spectrometry was performed to compare the relative abundance of common histone post-translational modifications between cells expressing WT-H2B vs. H2B-E76K.</w:t>
      </w:r>
    </w:p>
    <w:p w14:paraId="6B87DDC7" w14:textId="77777777" w:rsidR="00333C0E" w:rsidRDefault="00333C0E">
      <w:pPr>
        <w:rPr>
          <w:rFonts w:eastAsia="MS Mincho" w:cs="Times New Roman"/>
          <w:sz w:val="24"/>
          <w:szCs w:val="24"/>
        </w:rPr>
      </w:pPr>
      <w:r>
        <w:rPr>
          <w:rFonts w:eastAsia="MS Mincho" w:cs="Times New Roman"/>
          <w:sz w:val="24"/>
          <w:szCs w:val="24"/>
        </w:rPr>
        <w:br w:type="page"/>
      </w:r>
    </w:p>
    <w:p w14:paraId="5654162D" w14:textId="77777777" w:rsidR="001707CF" w:rsidRDefault="001707CF" w:rsidP="001707CF">
      <w:pPr>
        <w:spacing w:after="0" w:line="480" w:lineRule="auto"/>
        <w:jc w:val="both"/>
        <w:rPr>
          <w:rFonts w:eastAsia="MS Mincho" w:cs="Times New Roman"/>
          <w:sz w:val="24"/>
          <w:szCs w:val="24"/>
        </w:rPr>
      </w:pPr>
    </w:p>
    <w:p w14:paraId="72E391FD" w14:textId="77777777" w:rsidR="00A016BA" w:rsidRPr="001707CF" w:rsidRDefault="00A016BA" w:rsidP="001707CF">
      <w:pPr>
        <w:spacing w:after="0" w:line="480" w:lineRule="auto"/>
        <w:jc w:val="both"/>
        <w:rPr>
          <w:rFonts w:eastAsia="MS Mincho" w:cs="Times New Roman"/>
          <w:sz w:val="24"/>
          <w:szCs w:val="24"/>
        </w:rPr>
      </w:pPr>
      <w:r>
        <w:rPr>
          <w:rFonts w:eastAsia="MS Mincho" w:cs="Times New Roman"/>
          <w:noProof/>
          <w:sz w:val="24"/>
          <w:szCs w:val="24"/>
        </w:rPr>
        <w:drawing>
          <wp:inline distT="0" distB="0" distL="0" distR="0" wp14:anchorId="2DC92116" wp14:editId="18071965">
            <wp:extent cx="5893435" cy="2744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1308" cy="2753019"/>
                    </a:xfrm>
                    <a:prstGeom prst="rect">
                      <a:avLst/>
                    </a:prstGeom>
                    <a:noFill/>
                  </pic:spPr>
                </pic:pic>
              </a:graphicData>
            </a:graphic>
          </wp:inline>
        </w:drawing>
      </w:r>
    </w:p>
    <w:p w14:paraId="1F64885B" w14:textId="77777777" w:rsidR="001707CF" w:rsidRPr="001707CF" w:rsidRDefault="001707CF" w:rsidP="002F7631">
      <w:pPr>
        <w:spacing w:after="0" w:line="240" w:lineRule="auto"/>
        <w:jc w:val="both"/>
        <w:rPr>
          <w:rFonts w:eastAsia="MS Mincho" w:cs="Times New Roman"/>
          <w:sz w:val="24"/>
          <w:szCs w:val="24"/>
        </w:rPr>
      </w:pPr>
      <w:r w:rsidRPr="001707CF">
        <w:rPr>
          <w:rFonts w:eastAsia="MS Mincho" w:cs="Times New Roman"/>
          <w:b/>
          <w:sz w:val="24"/>
          <w:szCs w:val="24"/>
        </w:rPr>
        <w:t>Supplementa</w:t>
      </w:r>
      <w:r w:rsidR="00097D7F">
        <w:rPr>
          <w:rFonts w:eastAsia="MS Mincho" w:cs="Times New Roman"/>
          <w:b/>
          <w:sz w:val="24"/>
          <w:szCs w:val="24"/>
        </w:rPr>
        <w:t>l</w:t>
      </w:r>
      <w:r w:rsidRPr="001707CF">
        <w:rPr>
          <w:rFonts w:eastAsia="MS Mincho" w:cs="Times New Roman"/>
          <w:b/>
          <w:sz w:val="24"/>
          <w:szCs w:val="24"/>
        </w:rPr>
        <w:t xml:space="preserve"> Figure </w:t>
      </w:r>
      <w:r w:rsidR="00333C0E">
        <w:rPr>
          <w:rFonts w:eastAsia="MS Mincho" w:cs="Times New Roman"/>
          <w:b/>
          <w:sz w:val="24"/>
          <w:szCs w:val="24"/>
        </w:rPr>
        <w:t>6</w:t>
      </w:r>
      <w:r w:rsidRPr="001707CF">
        <w:rPr>
          <w:rFonts w:eastAsia="MS Mincho" w:cs="Times New Roman"/>
          <w:b/>
          <w:sz w:val="24"/>
          <w:szCs w:val="24"/>
        </w:rPr>
        <w:t>. H2B-E76K has altered chromatin dynamics.</w:t>
      </w:r>
      <w:r w:rsidRPr="001707CF">
        <w:rPr>
          <w:rFonts w:eastAsia="MS Mincho" w:cs="Times New Roman"/>
          <w:sz w:val="24"/>
          <w:szCs w:val="24"/>
        </w:rPr>
        <w:t xml:space="preserve"> (A) FRAP analysis of histone H1-GFP dynamics in MCF10A cells inducibly expressing WT-H2B or H2B-E76K </w:t>
      </w:r>
      <w:proofErr w:type="spellStart"/>
      <w:r w:rsidRPr="001707CF">
        <w:rPr>
          <w:rFonts w:eastAsia="MS Mincho" w:cs="Times New Roman"/>
          <w:sz w:val="24"/>
          <w:szCs w:val="24"/>
        </w:rPr>
        <w:t>mCherry</w:t>
      </w:r>
      <w:proofErr w:type="spellEnd"/>
      <w:r w:rsidRPr="001707CF">
        <w:rPr>
          <w:rFonts w:eastAsia="MS Mincho" w:cs="Times New Roman"/>
          <w:sz w:val="24"/>
          <w:szCs w:val="24"/>
        </w:rPr>
        <w:t xml:space="preserve"> fusions. FRAP curves and corresponding fits of experiments carried out on 5th and 35th day post-cumate induction of WT or E76K H2B </w:t>
      </w:r>
      <w:proofErr w:type="spellStart"/>
      <w:r w:rsidRPr="001707CF">
        <w:rPr>
          <w:rFonts w:eastAsia="MS Mincho" w:cs="Times New Roman"/>
          <w:sz w:val="24"/>
          <w:szCs w:val="24"/>
        </w:rPr>
        <w:t>mCherry</w:t>
      </w:r>
      <w:proofErr w:type="spellEnd"/>
      <w:r w:rsidRPr="001707CF">
        <w:rPr>
          <w:rFonts w:eastAsia="MS Mincho" w:cs="Times New Roman"/>
          <w:sz w:val="24"/>
          <w:szCs w:val="24"/>
        </w:rPr>
        <w:t xml:space="preserve"> cells. Cells were transiently transfected with H1-GFP on the day prior to the experiment. (B) Representative pre-bleach, bleach and post-bleach images of nuclei expressing H1-GFP in cells with WT and E76K H2B </w:t>
      </w:r>
      <w:proofErr w:type="spellStart"/>
      <w:r w:rsidRPr="001707CF">
        <w:rPr>
          <w:rFonts w:eastAsia="MS Mincho" w:cs="Times New Roman"/>
          <w:sz w:val="24"/>
          <w:szCs w:val="24"/>
        </w:rPr>
        <w:t>mCherry</w:t>
      </w:r>
      <w:proofErr w:type="spellEnd"/>
      <w:r w:rsidRPr="001707CF">
        <w:rPr>
          <w:rFonts w:eastAsia="MS Mincho" w:cs="Times New Roman"/>
          <w:sz w:val="24"/>
          <w:szCs w:val="24"/>
        </w:rPr>
        <w:t xml:space="preserve"> background. (C) Mean Square Displacement (MSD) of particles over time and particle trajectory plots for a representative nuclear nanoparticle tracking experiment in MCF10A cells expressing either WT- or E76K-H2B.</w:t>
      </w:r>
    </w:p>
    <w:p w14:paraId="6ECFBED5" w14:textId="77777777" w:rsidR="00CE4DAF" w:rsidRDefault="00CE4DAF">
      <w:pPr>
        <w:rPr>
          <w:rFonts w:eastAsia="MS Mincho" w:cs="Times New Roman"/>
          <w:sz w:val="24"/>
          <w:szCs w:val="24"/>
        </w:rPr>
      </w:pPr>
      <w:r>
        <w:rPr>
          <w:rFonts w:eastAsia="MS Mincho" w:cs="Times New Roman"/>
          <w:sz w:val="24"/>
          <w:szCs w:val="24"/>
        </w:rPr>
        <w:br w:type="page"/>
      </w:r>
    </w:p>
    <w:p w14:paraId="32D8DEED" w14:textId="77777777" w:rsidR="001707CF" w:rsidRDefault="001707CF" w:rsidP="001707CF">
      <w:pPr>
        <w:spacing w:after="0" w:line="480" w:lineRule="auto"/>
        <w:rPr>
          <w:rFonts w:eastAsia="MS Mincho" w:cs="Times New Roman"/>
          <w:sz w:val="24"/>
          <w:szCs w:val="24"/>
        </w:rPr>
      </w:pPr>
    </w:p>
    <w:p w14:paraId="44ECF327" w14:textId="77777777" w:rsidR="008D0909" w:rsidRPr="001707CF" w:rsidRDefault="008D0909" w:rsidP="001707CF">
      <w:pPr>
        <w:spacing w:after="0" w:line="480" w:lineRule="auto"/>
        <w:rPr>
          <w:rFonts w:eastAsia="MS Mincho" w:cs="Times New Roman"/>
          <w:sz w:val="24"/>
          <w:szCs w:val="24"/>
        </w:rPr>
      </w:pPr>
      <w:r>
        <w:rPr>
          <w:rFonts w:eastAsia="MS Mincho" w:cs="Times New Roman"/>
          <w:noProof/>
          <w:sz w:val="24"/>
          <w:szCs w:val="24"/>
        </w:rPr>
        <w:drawing>
          <wp:inline distT="0" distB="0" distL="0" distR="0" wp14:anchorId="6365E758" wp14:editId="576908E3">
            <wp:extent cx="5851525" cy="41912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6061" cy="4201691"/>
                    </a:xfrm>
                    <a:prstGeom prst="rect">
                      <a:avLst/>
                    </a:prstGeom>
                    <a:noFill/>
                  </pic:spPr>
                </pic:pic>
              </a:graphicData>
            </a:graphic>
          </wp:inline>
        </w:drawing>
      </w:r>
    </w:p>
    <w:p w14:paraId="5138FCD4" w14:textId="35D52F6C" w:rsidR="001707CF" w:rsidRPr="00B7592D" w:rsidRDefault="001707CF" w:rsidP="00B7592D">
      <w:pPr>
        <w:rPr>
          <w:rFonts w:ascii="Times New Roman" w:eastAsia="Times New Roman" w:hAnsi="Times New Roman" w:cs="Times New Roman"/>
          <w:sz w:val="24"/>
          <w:szCs w:val="24"/>
        </w:rPr>
      </w:pPr>
      <w:r w:rsidRPr="001707CF">
        <w:rPr>
          <w:rFonts w:eastAsia="MS Mincho" w:cs="Times New Roman"/>
          <w:b/>
          <w:sz w:val="24"/>
          <w:szCs w:val="24"/>
        </w:rPr>
        <w:t>Supplementa</w:t>
      </w:r>
      <w:r w:rsidR="00097D7F">
        <w:rPr>
          <w:rFonts w:eastAsia="MS Mincho" w:cs="Times New Roman"/>
          <w:b/>
          <w:sz w:val="24"/>
          <w:szCs w:val="24"/>
        </w:rPr>
        <w:t>l</w:t>
      </w:r>
      <w:r w:rsidRPr="001707CF">
        <w:rPr>
          <w:rFonts w:eastAsia="MS Mincho" w:cs="Times New Roman"/>
          <w:b/>
          <w:sz w:val="24"/>
          <w:szCs w:val="24"/>
        </w:rPr>
        <w:t xml:space="preserve"> Figure </w:t>
      </w:r>
      <w:r w:rsidR="00333C0E">
        <w:rPr>
          <w:rFonts w:eastAsia="MS Mincho" w:cs="Times New Roman"/>
          <w:b/>
          <w:sz w:val="24"/>
          <w:szCs w:val="24"/>
        </w:rPr>
        <w:t>7</w:t>
      </w:r>
      <w:r w:rsidRPr="001707CF">
        <w:rPr>
          <w:rFonts w:eastAsia="MS Mincho" w:cs="Times New Roman"/>
          <w:b/>
          <w:sz w:val="24"/>
          <w:szCs w:val="24"/>
        </w:rPr>
        <w:t xml:space="preserve">. Effect of H2B-E76K on chromatin accessibility. </w:t>
      </w:r>
      <w:r w:rsidRPr="001707CF">
        <w:rPr>
          <w:rFonts w:eastAsia="MS Mincho" w:cs="Times New Roman"/>
          <w:sz w:val="24"/>
          <w:szCs w:val="24"/>
        </w:rPr>
        <w:t>(A) Heat map of ATAC</w:t>
      </w:r>
      <w:r w:rsidR="00B7592D">
        <w:rPr>
          <w:rFonts w:eastAsia="MS Mincho" w:cs="Times New Roman"/>
          <w:sz w:val="24"/>
          <w:szCs w:val="24"/>
        </w:rPr>
        <w:t>-</w:t>
      </w:r>
      <w:proofErr w:type="spellStart"/>
      <w:r w:rsidR="00B7592D">
        <w:rPr>
          <w:rFonts w:eastAsia="MS Mincho" w:cs="Times New Roman"/>
          <w:sz w:val="24"/>
          <w:szCs w:val="24"/>
        </w:rPr>
        <w:t>S</w:t>
      </w:r>
      <w:r w:rsidRPr="001707CF">
        <w:rPr>
          <w:rFonts w:eastAsia="MS Mincho" w:cs="Times New Roman"/>
          <w:sz w:val="24"/>
          <w:szCs w:val="24"/>
        </w:rPr>
        <w:t>eq</w:t>
      </w:r>
      <w:proofErr w:type="spellEnd"/>
      <w:r w:rsidRPr="001707CF">
        <w:rPr>
          <w:rFonts w:eastAsia="MS Mincho" w:cs="Times New Roman"/>
          <w:sz w:val="24"/>
          <w:szCs w:val="24"/>
        </w:rPr>
        <w:t xml:space="preserve"> peaks that found within</w:t>
      </w:r>
      <w:r w:rsidR="00B7592D">
        <w:rPr>
          <w:rFonts w:eastAsia="MS Mincho" w:cs="Times New Roman"/>
          <w:sz w:val="24"/>
          <w:szCs w:val="24"/>
        </w:rPr>
        <w:t xml:space="preserve"> a</w:t>
      </w:r>
      <w:r w:rsidRPr="00B7592D">
        <w:rPr>
          <w:rFonts w:eastAsia="MS Mincho"/>
          <w:sz w:val="24"/>
          <w:szCs w:val="24"/>
        </w:rPr>
        <w:t xml:space="preserve"> </w:t>
      </w:r>
      <w:r w:rsidR="00B7592D" w:rsidRPr="00B7592D">
        <w:rPr>
          <w:rFonts w:eastAsia="Times New Roman"/>
          <w:color w:val="333333"/>
          <w:sz w:val="24"/>
          <w:szCs w:val="24"/>
        </w:rPr>
        <w:t>±</w:t>
      </w:r>
      <w:r w:rsidR="00B7592D" w:rsidRPr="00B7592D">
        <w:rPr>
          <w:rFonts w:eastAsia="Times New Roman"/>
          <w:sz w:val="24"/>
          <w:szCs w:val="24"/>
        </w:rPr>
        <w:t xml:space="preserve"> </w:t>
      </w:r>
      <w:r w:rsidRPr="001707CF">
        <w:rPr>
          <w:rFonts w:eastAsia="MS Mincho" w:cs="Times New Roman"/>
          <w:sz w:val="24"/>
          <w:szCs w:val="24"/>
        </w:rPr>
        <w:t>2</w:t>
      </w:r>
      <w:bookmarkStart w:id="0" w:name="_GoBack"/>
      <w:bookmarkEnd w:id="0"/>
      <w:r w:rsidRPr="001707CF">
        <w:rPr>
          <w:rFonts w:eastAsia="MS Mincho" w:cs="Times New Roman"/>
          <w:sz w:val="24"/>
          <w:szCs w:val="24"/>
        </w:rPr>
        <w:t>Kb window of MCF10A cells that are modestly higher in MCF10A cells expressing WT H2B compared to cells expressing H2B-E76K. Peaks are ordered by highest ATAC-seq signal to lowest. (B) Comparison of the fraction of ATAC seq peaks that are AT rich (&gt; 60% AT content, red) or GC rich (&gt;60% GC content, blue) in both WT and H2B-E76K MCF10A cells (common peaks) and new peaks found enriched in H2B-E76K cells. (C) Density heat map for the common ATAC-seq peak sizes (Log2 (peak width)) in MCF10A cells expressing E76K-H2B or WT-H2B</w:t>
      </w:r>
      <w:r w:rsidR="002F7631">
        <w:rPr>
          <w:rFonts w:eastAsia="MS Mincho" w:cs="Times New Roman"/>
          <w:sz w:val="24"/>
          <w:szCs w:val="24"/>
        </w:rPr>
        <w:t>.</w:t>
      </w:r>
    </w:p>
    <w:sectPr w:rsidR="001707CF" w:rsidRPr="00B759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222"/>
    <w:rsid w:val="00055222"/>
    <w:rsid w:val="00097D7F"/>
    <w:rsid w:val="000C0B15"/>
    <w:rsid w:val="000F3E55"/>
    <w:rsid w:val="001707CF"/>
    <w:rsid w:val="00194390"/>
    <w:rsid w:val="001C39E8"/>
    <w:rsid w:val="001E2C52"/>
    <w:rsid w:val="002C2F4F"/>
    <w:rsid w:val="002C58A8"/>
    <w:rsid w:val="002F7631"/>
    <w:rsid w:val="00302FD2"/>
    <w:rsid w:val="00333C0E"/>
    <w:rsid w:val="00375888"/>
    <w:rsid w:val="003A5513"/>
    <w:rsid w:val="003E4668"/>
    <w:rsid w:val="00420398"/>
    <w:rsid w:val="005173C2"/>
    <w:rsid w:val="005468CC"/>
    <w:rsid w:val="0058290D"/>
    <w:rsid w:val="00634C2F"/>
    <w:rsid w:val="006350D8"/>
    <w:rsid w:val="006527F9"/>
    <w:rsid w:val="006A41CB"/>
    <w:rsid w:val="006A766C"/>
    <w:rsid w:val="006C6DDB"/>
    <w:rsid w:val="006D13CC"/>
    <w:rsid w:val="00826995"/>
    <w:rsid w:val="00853C82"/>
    <w:rsid w:val="008575BA"/>
    <w:rsid w:val="00867946"/>
    <w:rsid w:val="008A19BE"/>
    <w:rsid w:val="008A7FBF"/>
    <w:rsid w:val="008C4F4A"/>
    <w:rsid w:val="008D0909"/>
    <w:rsid w:val="0094031E"/>
    <w:rsid w:val="009B1955"/>
    <w:rsid w:val="009E256F"/>
    <w:rsid w:val="00A016BA"/>
    <w:rsid w:val="00A51B2D"/>
    <w:rsid w:val="00A54E87"/>
    <w:rsid w:val="00AE4A3E"/>
    <w:rsid w:val="00B56FD4"/>
    <w:rsid w:val="00B7592D"/>
    <w:rsid w:val="00BE6729"/>
    <w:rsid w:val="00BE74ED"/>
    <w:rsid w:val="00BF2471"/>
    <w:rsid w:val="00C178B1"/>
    <w:rsid w:val="00C55152"/>
    <w:rsid w:val="00CA63E5"/>
    <w:rsid w:val="00CD2D6A"/>
    <w:rsid w:val="00CE4DAF"/>
    <w:rsid w:val="00DB33A7"/>
    <w:rsid w:val="00E96471"/>
    <w:rsid w:val="00F63CDB"/>
    <w:rsid w:val="00F95A80"/>
    <w:rsid w:val="00FD5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1711A"/>
  <w15:chartTrackingRefBased/>
  <w15:docId w15:val="{F845CCCD-E486-4E15-A99D-F1D783D82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33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3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04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990</Words>
  <Characters>5645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Florida Academic Health Center</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Bennett, Richard Lynn, II</dc:creator>
  <cp:keywords/>
  <dc:description/>
  <cp:lastModifiedBy>Licht,Jonathan</cp:lastModifiedBy>
  <cp:revision>10</cp:revision>
  <cp:lastPrinted>2019-05-23T14:00:00Z</cp:lastPrinted>
  <dcterms:created xsi:type="dcterms:W3CDTF">2019-06-21T17:58:00Z</dcterms:created>
  <dcterms:modified xsi:type="dcterms:W3CDTF">2019-06-24T20:23:00Z</dcterms:modified>
</cp:coreProperties>
</file>