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6" w:rsidRPr="007E1A50" w:rsidRDefault="00095C46" w:rsidP="00095C46">
      <w:pPr>
        <w:tabs>
          <w:tab w:val="left" w:pos="2600"/>
        </w:tabs>
        <w:rPr>
          <w:rFonts w:ascii="Arial" w:hAnsi="Arial" w:cs="Arial"/>
          <w:b/>
          <w:u w:val="single"/>
        </w:rPr>
      </w:pPr>
      <w:r w:rsidRPr="007E1A50">
        <w:rPr>
          <w:rFonts w:ascii="Arial" w:hAnsi="Arial" w:cs="Arial"/>
          <w:b/>
          <w:u w:val="single"/>
        </w:rPr>
        <w:t xml:space="preserve">Supplementary Table 1. </w:t>
      </w:r>
    </w:p>
    <w:p w:rsidR="00095C46" w:rsidRDefault="00095C46" w:rsidP="00095C4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Pr="00B039F4">
        <w:rPr>
          <w:rFonts w:ascii="Arial" w:hAnsi="Arial" w:cs="Arial"/>
          <w:b/>
          <w:color w:val="000000"/>
        </w:rPr>
        <w:t>roteins significantly altered in aged fibroblasts.</w:t>
      </w:r>
    </w:p>
    <w:p w:rsidR="00095C46" w:rsidRPr="00271410" w:rsidRDefault="00095C46" w:rsidP="00095C4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2831"/>
        <w:gridCol w:w="2767"/>
        <w:gridCol w:w="1368"/>
      </w:tblGrid>
      <w:tr w:rsidR="00095C46" w:rsidRPr="00B039F4" w:rsidTr="000E0804">
        <w:trPr>
          <w:trHeight w:val="16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 names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Uniprot Protein IDs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Protein Descriptions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Fold c</w:t>
            </w:r>
            <w:r w:rsidRPr="00B039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hange in</w:t>
            </w:r>
            <w:r w:rsidRPr="00B039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old (L) compared to young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(h)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SYCP1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B7ZLS9;Q15431;Q9H2G7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Synaptonemal complex protein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21.83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AOC1, ABP1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C9J690;P19801-2;D3DX01;P19801;D3DX03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Amine oxidase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8.45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DSG1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Q02413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Desmoglein-1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8.28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Q08554;Q9HB00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Desmocollin-1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7.55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FBLN1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P23142;P23142-3;F8W7M9;Q8NBH6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Fibulin-1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7.37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P00813;F5GWI4;F5GXW0;F5GYD4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Adenosine deaminase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PRKDC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P78527;P78527-2;E7EUY0;B4DL41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DNA-dependent protein kinase catalytic subunit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KPRP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Q5T749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Keratinocyte proline-rich protein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TNXB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P22105;E7EPZ9;E7EPQ1;E7EU03;E7EWZ8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Tenascin-X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IGFBP2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P18065;C9JMY1;Q59FF1;H7C1H0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Insulin-like growth factor-binding protein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CXCL1;CXCL2;CXCL3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P09341;P19875;P19876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Growth-regulated alpha protein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PSG4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Q00888;Q6P520;Q00888-2;B3KQL2;E7EX79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Pregnancy-specific beta-1-glycoprotein 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4.27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DSP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P15924;D7RX09;P15924-2;B4E2A0;H7BYR0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Desmoplakin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RARRES2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Q99969;C9J8S2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Retinoic acid receptor responder protein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WISP2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O76076;Q6PEG3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WNT1-inducible-signaling pathway protein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3.85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PI16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Q6UXB8;B2R701;Q6UXB8-2;B4E1P4;B4DXZ3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Peptidase inhibitor 16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MYH10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F8VTL3;P35580-3;F8W6L6;P35580-2;B2RWP9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Myosin-10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3.56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DPP4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P27487;F8WE17;F8WBB6;H7C1N5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Dipeptidyl peptidase 4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CSTA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P01040;C9J0E4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Cystatin-A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P10909-5;P10909;E7ETA7;H0YC35;B4DW11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Clusterin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COL15A1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P39059;B3KTP7;F5H1A4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Collagen alpha-1(XV) chain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CDC42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B4E1U9;B4DMH5;B7ZAY4;E7ETU3;P60953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cDNA FLJ54776, highly similar to Cell division control protein 42 homolog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ADH1A;ADH1B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P00325;P07327;F5HB16;A8MYN5;B4E2R9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Alcohol dehydrogenase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AGT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P01019;Q53GY3;Q53YY1;Q86U78;B4E1B3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Angiotensinogen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BASP1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P80723;P80723-2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Brain acid soluble protein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YBX3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P16989;P16989-2;P16989-3;Q96GD7;Q59EB5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DNA-binding protein A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PDLIM5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Q96HC4;D6RB78;Q96HC4-4;B7Z8X5;E9PBF5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PDZ and LIM domain protein 5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S100A10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D3DV26;P60903;Q6FGE5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S100 calcium binding protein A10 (Annexin II ligand, calpactin I, light polypeptide (P11))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P55268;Q15483;Q8N9Q8;E7EMH6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Laminin subunit beta-2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GAA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P10253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Lysosomal alpha-glucosidase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FAP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Q12884;B4DLR2;B2RD89;C9J131;H0YG61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Seprase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ASAH1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D3DSQ1;A8K0B6;Q53H01;B3KUZ6;Q96AS2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N-acylsphingosine amidohydrolase (Acid ceramidase)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COX5B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P10606;Q6FHM4;Q6FHJ9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COX5B protein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COA6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Q5JTJ3-2;Q5JTJ3;B4DM08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Cytochrome c oxidase assembly factor 6 homolog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APLP2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Q06481;H7BXI4;Q06481-3;Q06481-2;Q06481-4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Amyloid-like protein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PCNP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Q8WW12;Q53GF3;Q8WW12-2;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PEST proteolytic signal-containing nuclear protein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KHDRBS1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B2R7B5;Q07666;B4DDX2;E7ET98;B4E043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 domain-containing, RNA-binding, signal transduction-associated protein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PCBP2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Q15366;Q61990;G1S7I4;Q15366-4;B4DXP5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Poly(rC)-binding protein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TCEAL3;TCEAL5;TCEAL6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Q969E4;Q5H9L2;Q6IPX3;F5H6U1;Q6IPX3-2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Transcription elongation factor A protein-like 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FUS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Q13344;P35637;Q8TBR3;A8K4H1;P35637-2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RNA-binding protein FUS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IGF2R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P11717;Q59EZ3;Q13660;Q13661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Cation-independent mannose-6-phosphate receptor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SFRP2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Q96HF1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Secreted frizzled-related protein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MARCKS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P29966;Q6NVI1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Myristoylated alanine-rich C-kinase substrate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HDLBP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B2R5V9;Q00341;B4DTQ2;E7EM71;H0Y394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Vigilin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FBLN1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B4DUV1;B1AHL2;P23142-4;B1AHM9;B1AHM7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cDNA FLJ53207, highly similar to Homo sapiens fibulin 1 (FBLN1)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DHX9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Q08211;F5GXA5;Q6PJK6;Q58F26;B3KU66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ATP-dependent RNA helicase A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ACLY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P53396;P53396-2;B4E3P0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ATP-citrate synthase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-1.70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A6NHF2;B4DLJ9;P43251;B7Z7C9;C9JSN9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Biotinidase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GPC4;GPC6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Q9Y625;B4E2M1;O75487;Q86SV6;F5H5T3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Glypican-6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MFAP2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P55001;P55001-2;P55001-3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Microfibrillar-associated protein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-1.76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VPS26A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O75436;F5H4L7;A8MZ56;B4DLT1;A8K3C1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Vacuolar protein sorting-associated protein 26A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-1.77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DDAH2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O95865;H0Y7N1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(g)</w:t>
            </w: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(g)</w:t>
            </w: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-dimethylarginine dimethylaminohydrolase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-1.77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GDI2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B4DLV7;E7EU23;P50395;P50395-2;Q5SX87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 GDP dissociation inhibitor beta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PLAUR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Q03405;Q03405-3;Q03405-2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Urokinase plasminogen activator surface receptor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ANXA2;ANXA2P2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P07355;H0YN42;A6NMY6;H0YMU9;H0YM50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Annexin A2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DKK1;DKK2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O94907;Q9UBU2;D6RCC2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Dickkopf-related protein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-1.80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RGMB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Q6NW40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RGM domain family member B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CPPED1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Q9BRF8;Q9BRF8-2;B3KSL3;B4DQ68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Calcineurin-like phosphoesterase domain-containing protein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PLOD2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O00469;B4DHG3;E7ETU9;B3KWS3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Procollagen-lysine,2-oxoglutarate 5-dioxygenase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-1.85</w:t>
            </w:r>
          </w:p>
        </w:tc>
      </w:tr>
      <w:tr w:rsidR="00095C46" w:rsidRPr="00B039F4" w:rsidTr="000E0804">
        <w:trPr>
          <w:trHeight w:val="840"/>
        </w:trPr>
        <w:tc>
          <w:tcPr>
            <w:tcW w:w="1797" w:type="dxa"/>
            <w:shd w:val="clear" w:color="auto" w:fill="auto"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ENPP1, DKFZp686P13218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P22413;B2RBY8;E9PE72;Q7Z3P5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Ectonucleotide pyrophosphatase/phosphodiesterase family member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-1.85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COL4A1;COL4A5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P02462;P02462-2;F8WEC9;Q59F15;A7MBN3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Collagen alpha-1(IV) chain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-1.87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PCOLCE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Q15113;A4D2D2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Procollagen C-endopeptidase enhancer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LOXL2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Q9Y4K0;B4DDQ4;H0YAR1;E5RFY0;E5RHH3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Lysyl oxidase homolog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MMP10;MMP3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P08254;H7C139;P09238;F5GYX7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Stromelysin-1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POSTN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Q15063-3;C0IMJ3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Isoform 3 of Periostin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PRDX6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P30041;A4UCS6;B4DUK1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Peroxiredoxin-6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SOD3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B2R9V7;P08294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Superoxide dismutase [Cu-Zn]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COTL1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Q14019;H3BT58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Coactosin-like protein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PFN2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D3DNI3;D3DNI2;B4DNH1;G5E9Q6;P35080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PTGDS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H0Y5A1;P41222;F8W7I2;Q5SQ12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Prostaglandin-H2 D-isomerase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SSC5D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A1L4H1;A1L4H1-2;F5GZN4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Soluble scavenger receptor cysteine-rich domain-containing protein SSC5D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-2.17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STC1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B2R6I6;P52823;B4DN22;Q71UE5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Stanniocalcin-1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-2.17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CTHRC1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Q96CG8;G3V141;F8WAA6;Q96CG8-2;E5RK99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Collagen triple helix repeat-containing protein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-2.26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SERPINF1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P36955;I3L3M1;I3L4N7;I3L107;I3L4Z0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Pigment epithelium-derived factor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-2.29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DKK3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Q9UBP4;F6SYF8;E7EUD0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Dickkopf-related protein 3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-2.32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LGALS3BP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Q08380;B4DVE1;B4DDG4;B3KP88;B4DWA8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Galectin-3-binding protein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-2.36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MMP1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P03956;Q53FK3;Q53G96;Q5TZP0;Q53G75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Interstitial collagenase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COL6A3;DKFZp686K04147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P12111;P12111-2;E7ENL6;E9PGQ9;B4E3U5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Collagen alpha-3(VI) chain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-2.75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FDPS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P14324;B3KMW3;Q14329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Farnesyl pyrophosphate synthase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-2.78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UCHL1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P09936;D6R956;B2RD14;D6RE83;A6NLJ7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Ubiquitin carboxyl-terminal hydrolase isozyme L1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HMCN1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Q96RW7;Q96RW7-2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Hemicentin-1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-2.83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GAS6, DKFZp666G247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Q14393;Q14393-2;Q14393-3;B3KRQ7;Q658L2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 arrest-specific protein 6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-2.95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CPXM2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B4E3Q2;Q8N436;B4E1X6;E7EUK5;H0YFY5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Carboxypeptidase X (M14 family), member 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-3.07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MDK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E9PLM6;P21741;E9PPJ5;Q2LEK4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Midkine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PTN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P21246;C9JR52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Pleiotrophin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SERPINB7,  DKFZp686D06190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A8K3Q8;A8K4B1;O75635;B4DUW8;F5GZC0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cDNA FLJ75069, highly similar to Homo sapiens serpin peptidase inhibitor, clade B (ovalbumin), member 7 (SERPINB7), mRNA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-4.05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AGRN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O00468;B3KMM7;E9PD05;H0Y5U1;Q15952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-4.56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MFGE8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Q08431;B3KTQ2;F5H7N9;B4E396;F5GZN3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Lactadherin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-5.14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FBN2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P35556;D6RJI3;P35556-2;E9PHW4;Q8WYH1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Fibrillin-2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-5.61</w:t>
            </w:r>
          </w:p>
        </w:tc>
      </w:tr>
      <w:tr w:rsidR="00095C46" w:rsidRPr="00B039F4" w:rsidTr="000E0804">
        <w:trPr>
          <w:trHeight w:val="280"/>
        </w:trPr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HAPLN1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P10915;D6RBS1;D6RG04;D6RAK7;D6RFI7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Hyaluronan and proteoglycan link protein 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095C46" w:rsidRPr="00B039F4" w:rsidRDefault="00095C46" w:rsidP="000E080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-35.95</w:t>
            </w:r>
          </w:p>
        </w:tc>
      </w:tr>
    </w:tbl>
    <w:p w:rsidR="00095C46" w:rsidRDefault="00095C46" w:rsidP="00095C46">
      <w:pPr>
        <w:jc w:val="both"/>
        <w:rPr>
          <w:rFonts w:ascii="Arial" w:hAnsi="Arial"/>
          <w:sz w:val="22"/>
          <w:szCs w:val="22"/>
        </w:rPr>
      </w:pPr>
    </w:p>
    <w:p w:rsidR="00095C46" w:rsidRDefault="00095C46" w:rsidP="00095C46">
      <w:pPr>
        <w:jc w:val="both"/>
        <w:rPr>
          <w:rFonts w:ascii="Arial" w:hAnsi="Arial"/>
          <w:sz w:val="22"/>
          <w:szCs w:val="22"/>
        </w:rPr>
      </w:pPr>
    </w:p>
    <w:p w:rsidR="00095C46" w:rsidRDefault="00095C46" w:rsidP="00095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95C46" w:rsidRPr="007E1A50" w:rsidRDefault="00095C46" w:rsidP="00095C46">
      <w:pPr>
        <w:tabs>
          <w:tab w:val="left" w:pos="26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Supplementary Table 2</w:t>
      </w:r>
      <w:r w:rsidRPr="007E1A50">
        <w:rPr>
          <w:rFonts w:ascii="Arial" w:hAnsi="Arial" w:cs="Arial"/>
          <w:b/>
          <w:u w:val="single"/>
        </w:rPr>
        <w:t xml:space="preserve">. </w:t>
      </w:r>
    </w:p>
    <w:p w:rsidR="00095C46" w:rsidRDefault="00095C46" w:rsidP="00095C4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Quantification of CD4/ CD8 staining in melanoma patient samples</w:t>
      </w:r>
      <w:r w:rsidRPr="00B039F4">
        <w:rPr>
          <w:rFonts w:ascii="Arial" w:hAnsi="Arial" w:cs="Arial"/>
          <w:b/>
          <w:color w:val="000000"/>
        </w:rPr>
        <w:t>.</w:t>
      </w:r>
    </w:p>
    <w:p w:rsidR="00095C46" w:rsidRDefault="00095C46" w:rsidP="00095C4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767"/>
        <w:gridCol w:w="2027"/>
        <w:gridCol w:w="1710"/>
        <w:gridCol w:w="1350"/>
      </w:tblGrid>
      <w:tr w:rsidR="00095C46" w:rsidRPr="00F2541B" w:rsidTr="000E0804">
        <w:tc>
          <w:tcPr>
            <w:tcW w:w="8208" w:type="dxa"/>
            <w:gridSpan w:val="5"/>
          </w:tcPr>
          <w:p w:rsidR="00095C46" w:rsidRPr="00F2541B" w:rsidRDefault="00095C46" w:rsidP="000E0804">
            <w:pPr>
              <w:keepNext/>
              <w:keepLines/>
              <w:tabs>
                <w:tab w:val="left" w:pos="2600"/>
              </w:tabs>
              <w:spacing w:before="200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 w:rsidRPr="00F2541B">
              <w:rPr>
                <w:rFonts w:ascii="Arial" w:hAnsi="Arial" w:cs="Arial"/>
                <w:b/>
                <w:sz w:val="20"/>
                <w:szCs w:val="20"/>
              </w:rPr>
              <w:t>Patient Samples</w:t>
            </w:r>
          </w:p>
        </w:tc>
      </w:tr>
      <w:tr w:rsidR="00095C46" w:rsidRPr="00F2541B" w:rsidTr="000E0804">
        <w:tc>
          <w:tcPr>
            <w:tcW w:w="3121" w:type="dxa"/>
            <w:gridSpan w:val="2"/>
            <w:vMerge w:val="restart"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gridSpan w:val="2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135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095C46" w:rsidRPr="00F2541B" w:rsidTr="000E0804">
        <w:tc>
          <w:tcPr>
            <w:tcW w:w="3121" w:type="dxa"/>
            <w:gridSpan w:val="2"/>
            <w:vMerge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&lt;60</w:t>
            </w:r>
          </w:p>
        </w:tc>
        <w:tc>
          <w:tcPr>
            <w:tcW w:w="171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&gt;60</w:t>
            </w:r>
          </w:p>
        </w:tc>
        <w:tc>
          <w:tcPr>
            <w:tcW w:w="135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095C46" w:rsidRPr="00F2541B" w:rsidTr="000E0804">
        <w:tc>
          <w:tcPr>
            <w:tcW w:w="1354" w:type="dxa"/>
            <w:vMerge w:val="restart"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1767" w:type="dxa"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Intratumoral</w:t>
            </w:r>
          </w:p>
        </w:tc>
        <w:tc>
          <w:tcPr>
            <w:tcW w:w="2027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5/18 (27.8%)</w:t>
            </w:r>
          </w:p>
        </w:tc>
        <w:tc>
          <w:tcPr>
            <w:tcW w:w="171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0/8 (0.0%)</w:t>
            </w:r>
          </w:p>
        </w:tc>
        <w:tc>
          <w:tcPr>
            <w:tcW w:w="135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95C46" w:rsidRPr="00F2541B" w:rsidTr="000E0804">
        <w:tc>
          <w:tcPr>
            <w:tcW w:w="1354" w:type="dxa"/>
            <w:vMerge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Peritumoral</w:t>
            </w:r>
          </w:p>
        </w:tc>
        <w:tc>
          <w:tcPr>
            <w:tcW w:w="2027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13/18 (72.2%)</w:t>
            </w:r>
          </w:p>
        </w:tc>
        <w:tc>
          <w:tcPr>
            <w:tcW w:w="171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8/8 (100.0%)</w:t>
            </w:r>
          </w:p>
        </w:tc>
        <w:tc>
          <w:tcPr>
            <w:tcW w:w="135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</w:tr>
      <w:tr w:rsidR="00095C46" w:rsidRPr="00F2541B" w:rsidTr="000E0804">
        <w:tc>
          <w:tcPr>
            <w:tcW w:w="1354" w:type="dxa"/>
            <w:vMerge w:val="restart"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CD8</w:t>
            </w:r>
          </w:p>
        </w:tc>
        <w:tc>
          <w:tcPr>
            <w:tcW w:w="1767" w:type="dxa"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Intratumoral</w:t>
            </w:r>
          </w:p>
        </w:tc>
        <w:tc>
          <w:tcPr>
            <w:tcW w:w="2027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12/18 (66.7%)</w:t>
            </w:r>
          </w:p>
        </w:tc>
        <w:tc>
          <w:tcPr>
            <w:tcW w:w="171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4/4 (50.0%)</w:t>
            </w:r>
          </w:p>
        </w:tc>
        <w:tc>
          <w:tcPr>
            <w:tcW w:w="135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0.420</w:t>
            </w:r>
          </w:p>
        </w:tc>
      </w:tr>
      <w:tr w:rsidR="00095C46" w:rsidRPr="00F2541B" w:rsidTr="000E0804">
        <w:tc>
          <w:tcPr>
            <w:tcW w:w="1354" w:type="dxa"/>
            <w:vMerge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095C46" w:rsidRPr="00F2541B" w:rsidRDefault="00095C46" w:rsidP="000E0804">
            <w:pPr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Peritumoral</w:t>
            </w:r>
          </w:p>
        </w:tc>
        <w:tc>
          <w:tcPr>
            <w:tcW w:w="2027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17/18 (94.4%)</w:t>
            </w:r>
          </w:p>
        </w:tc>
        <w:tc>
          <w:tcPr>
            <w:tcW w:w="171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8/8 (100.0%)</w:t>
            </w:r>
          </w:p>
        </w:tc>
        <w:tc>
          <w:tcPr>
            <w:tcW w:w="1350" w:type="dxa"/>
          </w:tcPr>
          <w:p w:rsidR="00095C46" w:rsidRPr="00F2541B" w:rsidRDefault="00095C46" w:rsidP="000E0804">
            <w:pPr>
              <w:tabs>
                <w:tab w:val="left" w:pos="2600"/>
              </w:tabs>
              <w:jc w:val="center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F2541B">
              <w:rPr>
                <w:rFonts w:ascii="Arial" w:hAnsi="Arial" w:cs="Arial"/>
                <w:sz w:val="20"/>
                <w:szCs w:val="20"/>
              </w:rPr>
              <w:t>0.497</w:t>
            </w:r>
          </w:p>
        </w:tc>
      </w:tr>
    </w:tbl>
    <w:p w:rsidR="00095C46" w:rsidRPr="00F2541B" w:rsidRDefault="00095C46" w:rsidP="00095C46">
      <w:pPr>
        <w:tabs>
          <w:tab w:val="left" w:pos="2600"/>
        </w:tabs>
        <w:rPr>
          <w:rFonts w:ascii="Arial" w:hAnsi="Arial" w:cs="Arial"/>
          <w:sz w:val="20"/>
          <w:szCs w:val="20"/>
        </w:rPr>
      </w:pPr>
    </w:p>
    <w:p w:rsidR="00B96812" w:rsidRDefault="00B96812">
      <w:bookmarkStart w:id="0" w:name="_GoBack"/>
      <w:bookmarkEnd w:id="0"/>
    </w:p>
    <w:sectPr w:rsidR="00B96812" w:rsidSect="004F63F1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32" w:rsidRDefault="00095C46" w:rsidP="00C1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432" w:rsidRDefault="00095C46" w:rsidP="00C12E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32" w:rsidRDefault="00095C46" w:rsidP="00C1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5432" w:rsidRDefault="00095C46" w:rsidP="00C12EB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46"/>
    <w:rsid w:val="00095C46"/>
    <w:rsid w:val="006561AB"/>
    <w:rsid w:val="00B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7D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4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5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46"/>
    <w:rPr>
      <w:rFonts w:eastAsiaTheme="minorHAnsi"/>
    </w:rPr>
  </w:style>
  <w:style w:type="table" w:styleId="TableGrid">
    <w:name w:val="Table Grid"/>
    <w:basedOn w:val="TableNormal"/>
    <w:uiPriority w:val="39"/>
    <w:rsid w:val="00095C4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95C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4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5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46"/>
    <w:rPr>
      <w:rFonts w:eastAsiaTheme="minorHAnsi"/>
    </w:rPr>
  </w:style>
  <w:style w:type="table" w:styleId="TableGrid">
    <w:name w:val="Table Grid"/>
    <w:basedOn w:val="TableNormal"/>
    <w:uiPriority w:val="39"/>
    <w:rsid w:val="00095C4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9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6048</Characters>
  <Application>Microsoft Macintosh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Ashani Weeraratna</dc:creator>
  <cp:keywords/>
  <dc:description/>
  <cp:lastModifiedBy>Ashani Weeraratna</cp:lastModifiedBy>
  <cp:revision>1</cp:revision>
  <dcterms:created xsi:type="dcterms:W3CDTF">2018-09-15T13:39:00Z</dcterms:created>
  <dcterms:modified xsi:type="dcterms:W3CDTF">2018-09-15T13:40:00Z</dcterms:modified>
</cp:coreProperties>
</file>