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1E2D" w:rsidRPr="00AB3364" w:rsidRDefault="00ED1E2D" w:rsidP="00ED1E2D">
      <w:pPr>
        <w:pStyle w:val="Normal1"/>
        <w:spacing w:line="480" w:lineRule="auto"/>
        <w:rPr>
          <w:rFonts w:asciiTheme="minorHAnsi" w:hAnsiTheme="minorHAnsi" w:cstheme="minorHAnsi"/>
          <w:b/>
          <w:bCs/>
          <w:sz w:val="24"/>
          <w:szCs w:val="24"/>
        </w:rPr>
      </w:pPr>
      <w:r w:rsidRPr="00AB3364">
        <w:rPr>
          <w:rFonts w:asciiTheme="minorHAnsi" w:hAnsiTheme="minorHAnsi" w:cstheme="minorHAnsi"/>
          <w:b/>
          <w:bCs/>
          <w:sz w:val="24"/>
          <w:szCs w:val="24"/>
        </w:rPr>
        <w:t xml:space="preserve">Figure S1.  </w:t>
      </w:r>
      <w:r w:rsidRPr="00AB3364">
        <w:rPr>
          <w:rFonts w:asciiTheme="minorHAnsi" w:hAnsiTheme="minorHAnsi" w:cstheme="minorHAnsi"/>
          <w:b/>
          <w:bCs/>
          <w:i/>
          <w:iCs/>
          <w:sz w:val="24"/>
          <w:szCs w:val="24"/>
        </w:rPr>
        <w:t>NRG1</w:t>
      </w:r>
      <w:r w:rsidRPr="00AB3364">
        <w:rPr>
          <w:rFonts w:asciiTheme="minorHAnsi" w:hAnsiTheme="minorHAnsi" w:cstheme="minorHAnsi"/>
          <w:b/>
          <w:bCs/>
          <w:sz w:val="24"/>
          <w:szCs w:val="24"/>
        </w:rPr>
        <w:t xml:space="preserve"> is overexpressed in HCC-95 and MDA-MB-175-VII cells.  A</w:t>
      </w:r>
      <w:r w:rsidRPr="00AB3364">
        <w:rPr>
          <w:rFonts w:asciiTheme="minorHAnsi" w:hAnsiTheme="minorHAnsi" w:cstheme="minorHAnsi"/>
          <w:sz w:val="24"/>
          <w:szCs w:val="24"/>
        </w:rPr>
        <w:t xml:space="preserve">. Targeted RNA sequencing (MSK-Solid Fusion Assay) was used to profile MDA-MB-175-VII and HCC-95 cell lines for fusions. No fusion was detected in HCC-95 whereas a </w:t>
      </w:r>
      <w:r w:rsidRPr="00AB3364">
        <w:rPr>
          <w:rFonts w:asciiTheme="minorHAnsi" w:hAnsiTheme="minorHAnsi" w:cstheme="minorHAnsi"/>
          <w:i/>
          <w:iCs/>
          <w:sz w:val="24"/>
          <w:szCs w:val="24"/>
        </w:rPr>
        <w:t>DOC4-NRG1</w:t>
      </w:r>
      <w:r w:rsidRPr="00AB3364">
        <w:rPr>
          <w:rFonts w:asciiTheme="minorHAnsi" w:hAnsiTheme="minorHAnsi" w:cstheme="minorHAnsi"/>
          <w:sz w:val="24"/>
          <w:szCs w:val="24"/>
        </w:rPr>
        <w:t xml:space="preserve"> fusion was identified in MDA-MB-175-VII. </w:t>
      </w:r>
      <w:r w:rsidRPr="00AB3364">
        <w:rPr>
          <w:rFonts w:asciiTheme="minorHAnsi" w:hAnsiTheme="minorHAnsi" w:cstheme="minorHAnsi"/>
          <w:b/>
          <w:bCs/>
          <w:sz w:val="24"/>
          <w:szCs w:val="24"/>
        </w:rPr>
        <w:t>B.</w:t>
      </w:r>
      <w:r w:rsidRPr="00AB3364">
        <w:rPr>
          <w:rFonts w:asciiTheme="minorHAnsi" w:hAnsiTheme="minorHAnsi" w:cstheme="minorHAnsi"/>
          <w:i/>
          <w:iCs/>
          <w:sz w:val="24"/>
          <w:szCs w:val="24"/>
        </w:rPr>
        <w:t xml:space="preserve"> </w:t>
      </w:r>
      <w:r w:rsidRPr="00AB3364">
        <w:rPr>
          <w:rFonts w:asciiTheme="minorHAnsi" w:eastAsia="Calibri" w:hAnsiTheme="minorHAnsi" w:cstheme="minorHAnsi"/>
          <w:sz w:val="24"/>
          <w:szCs w:val="24"/>
        </w:rPr>
        <w:t xml:space="preserve">Gene expression microarray data (Illumina HumanWG-6 v2.0) for 67 NSCLC cell lines was downloaded from the Gene Expression Omnibus (GEO, Accession number Series GSE32989). Log2 intensity values for </w:t>
      </w:r>
      <w:r w:rsidRPr="00AB3364">
        <w:rPr>
          <w:rFonts w:asciiTheme="minorHAnsi" w:eastAsia="Calibri" w:hAnsiTheme="minorHAnsi" w:cstheme="minorHAnsi"/>
          <w:i/>
          <w:iCs/>
          <w:sz w:val="24"/>
          <w:szCs w:val="24"/>
        </w:rPr>
        <w:t>NRG1</w:t>
      </w:r>
      <w:r w:rsidRPr="00AB3364">
        <w:rPr>
          <w:rFonts w:asciiTheme="minorHAnsi" w:eastAsia="Calibri" w:hAnsiTheme="minorHAnsi" w:cstheme="minorHAnsi"/>
          <w:sz w:val="24"/>
          <w:szCs w:val="24"/>
        </w:rPr>
        <w:t xml:space="preserve"> were subsequently normalized across all cell lines, plotted using </w:t>
      </w:r>
      <w:proofErr w:type="spellStart"/>
      <w:r w:rsidRPr="00AB3364">
        <w:rPr>
          <w:rFonts w:asciiTheme="minorHAnsi" w:eastAsia="Calibri" w:hAnsiTheme="minorHAnsi" w:cstheme="minorHAnsi"/>
          <w:sz w:val="24"/>
          <w:szCs w:val="24"/>
        </w:rPr>
        <w:t>Graphpad</w:t>
      </w:r>
      <w:proofErr w:type="spellEnd"/>
      <w:r w:rsidRPr="00AB3364">
        <w:rPr>
          <w:rFonts w:asciiTheme="minorHAnsi" w:eastAsia="Calibri" w:hAnsiTheme="minorHAnsi" w:cstheme="minorHAnsi"/>
          <w:sz w:val="24"/>
          <w:szCs w:val="24"/>
        </w:rPr>
        <w:t xml:space="preserve"> Prism software across the panel of cell lines, and ranked from highest (top) to lowest (bottom) expression.</w:t>
      </w:r>
      <w:r w:rsidRPr="00AB3364">
        <w:rPr>
          <w:rFonts w:asciiTheme="minorHAnsi" w:hAnsiTheme="minorHAnsi" w:cstheme="minorHAnsi"/>
          <w:sz w:val="24"/>
          <w:szCs w:val="24"/>
        </w:rPr>
        <w:t xml:space="preserve"> HCC-95 (red bar) has the highest level of </w:t>
      </w:r>
      <w:r w:rsidRPr="00AB3364">
        <w:rPr>
          <w:rFonts w:asciiTheme="minorHAnsi" w:hAnsiTheme="minorHAnsi" w:cstheme="minorHAnsi"/>
          <w:i/>
          <w:iCs/>
          <w:sz w:val="24"/>
          <w:szCs w:val="24"/>
        </w:rPr>
        <w:t>NRG1</w:t>
      </w:r>
      <w:r w:rsidRPr="00AB3364">
        <w:rPr>
          <w:rFonts w:asciiTheme="minorHAnsi" w:hAnsiTheme="minorHAnsi" w:cstheme="minorHAnsi"/>
          <w:sz w:val="24"/>
          <w:szCs w:val="24"/>
        </w:rPr>
        <w:t xml:space="preserve"> mRNA.  </w:t>
      </w:r>
      <w:r w:rsidRPr="00AB3364">
        <w:rPr>
          <w:rFonts w:asciiTheme="minorHAnsi" w:hAnsiTheme="minorHAnsi" w:cstheme="minorHAnsi"/>
          <w:b/>
          <w:bCs/>
          <w:sz w:val="24"/>
          <w:szCs w:val="24"/>
        </w:rPr>
        <w:t>C</w:t>
      </w:r>
      <w:r w:rsidRPr="00AB3364">
        <w:rPr>
          <w:rFonts w:asciiTheme="minorHAnsi" w:hAnsiTheme="minorHAnsi" w:cstheme="minorHAnsi"/>
          <w:sz w:val="24"/>
          <w:szCs w:val="24"/>
        </w:rPr>
        <w:t xml:space="preserve">. MDA-MB-175-VII cells were left untreated or treated with 0.25 µM </w:t>
      </w:r>
      <w:proofErr w:type="spellStart"/>
      <w:r w:rsidRPr="00AB3364">
        <w:rPr>
          <w:rFonts w:asciiTheme="minorHAnsi" w:hAnsiTheme="minorHAnsi" w:cstheme="minorHAnsi"/>
          <w:sz w:val="24"/>
          <w:szCs w:val="24"/>
        </w:rPr>
        <w:t>afatinib</w:t>
      </w:r>
      <w:proofErr w:type="spellEnd"/>
      <w:r w:rsidRPr="00AB3364">
        <w:rPr>
          <w:rFonts w:asciiTheme="minorHAnsi" w:hAnsiTheme="minorHAnsi" w:cstheme="minorHAnsi"/>
          <w:sz w:val="24"/>
          <w:szCs w:val="24"/>
        </w:rPr>
        <w:t xml:space="preserve"> for 1 hour and then receptor tyrosine kinase (RTK) arrays were used to profile cell extracts for activated RTKs.</w:t>
      </w:r>
    </w:p>
    <w:p w:rsidR="00ED1E2D" w:rsidRDefault="00ED1E2D">
      <w:pPr>
        <w:spacing w:after="200"/>
        <w:rPr>
          <w:rFonts w:asciiTheme="minorHAnsi" w:hAnsiTheme="minorHAnsi" w:cstheme="minorHAnsi"/>
          <w:b/>
          <w:bCs/>
          <w:sz w:val="24"/>
          <w:szCs w:val="24"/>
        </w:rPr>
      </w:pPr>
      <w:r>
        <w:rPr>
          <w:rFonts w:asciiTheme="minorHAnsi" w:hAnsiTheme="minorHAnsi" w:cstheme="minorHAnsi"/>
          <w:b/>
          <w:bCs/>
          <w:sz w:val="24"/>
          <w:szCs w:val="24"/>
        </w:rPr>
        <w:br w:type="page"/>
      </w:r>
    </w:p>
    <w:p w:rsidR="00ED1E2D" w:rsidRDefault="00961DFC" w:rsidP="00ED1E2D">
      <w:pPr>
        <w:pStyle w:val="Normal1"/>
        <w:spacing w:line="480" w:lineRule="auto"/>
        <w:rPr>
          <w:rFonts w:asciiTheme="minorHAnsi" w:hAnsiTheme="minorHAnsi" w:cstheme="minorHAnsi"/>
          <w:sz w:val="24"/>
          <w:szCs w:val="24"/>
        </w:rPr>
      </w:pPr>
      <w:r>
        <w:rPr>
          <w:rFonts w:asciiTheme="minorHAnsi" w:hAnsiTheme="minorHAnsi" w:cstheme="minorHAnsi"/>
          <w:b/>
          <w:bCs/>
          <w:sz w:val="24"/>
          <w:szCs w:val="24"/>
        </w:rPr>
        <w:lastRenderedPageBreak/>
        <w:t>Figure S2</w:t>
      </w:r>
      <w:r w:rsidR="00ED1E2D" w:rsidRPr="00AB3364">
        <w:rPr>
          <w:rFonts w:asciiTheme="minorHAnsi" w:hAnsiTheme="minorHAnsi" w:cstheme="minorHAnsi"/>
          <w:b/>
          <w:bCs/>
          <w:sz w:val="24"/>
          <w:szCs w:val="24"/>
        </w:rPr>
        <w:t xml:space="preserve">. Effects on in vitro cell growth and ERBB3 pathway signaling in cell lines treated with </w:t>
      </w:r>
      <w:proofErr w:type="spellStart"/>
      <w:r w:rsidR="00ED1E2D" w:rsidRPr="00AB3364">
        <w:rPr>
          <w:rFonts w:asciiTheme="minorHAnsi" w:hAnsiTheme="minorHAnsi" w:cstheme="minorHAnsi"/>
          <w:b/>
          <w:bCs/>
          <w:sz w:val="24"/>
          <w:szCs w:val="24"/>
        </w:rPr>
        <w:t>afatinib</w:t>
      </w:r>
      <w:proofErr w:type="spellEnd"/>
      <w:r w:rsidR="00ED1E2D" w:rsidRPr="00AB3364">
        <w:rPr>
          <w:rFonts w:asciiTheme="minorHAnsi" w:hAnsiTheme="minorHAnsi" w:cstheme="minorHAnsi"/>
          <w:b/>
          <w:bCs/>
          <w:sz w:val="24"/>
          <w:szCs w:val="24"/>
        </w:rPr>
        <w:t>.</w:t>
      </w:r>
      <w:r w:rsidR="00ED1E2D" w:rsidRPr="00AB3364">
        <w:rPr>
          <w:rFonts w:asciiTheme="minorHAnsi" w:hAnsiTheme="minorHAnsi" w:cstheme="minorHAnsi"/>
          <w:sz w:val="24"/>
          <w:szCs w:val="24"/>
        </w:rPr>
        <w:t xml:space="preserve"> </w:t>
      </w:r>
      <w:r w:rsidR="00ED1E2D" w:rsidRPr="00AB3364">
        <w:rPr>
          <w:rFonts w:asciiTheme="minorHAnsi" w:hAnsiTheme="minorHAnsi" w:cstheme="minorHAnsi"/>
          <w:b/>
          <w:bCs/>
          <w:sz w:val="24"/>
          <w:szCs w:val="24"/>
        </w:rPr>
        <w:t>A</w:t>
      </w:r>
      <w:r w:rsidR="00ED1E2D" w:rsidRPr="00AB3364">
        <w:rPr>
          <w:rFonts w:asciiTheme="minorHAnsi" w:hAnsiTheme="minorHAnsi" w:cstheme="minorHAnsi"/>
          <w:sz w:val="24"/>
          <w:szCs w:val="24"/>
        </w:rPr>
        <w:t xml:space="preserve">. Cells were treated with DMSO or </w:t>
      </w:r>
      <w:proofErr w:type="spellStart"/>
      <w:r w:rsidR="00ED1E2D" w:rsidRPr="00AB3364">
        <w:rPr>
          <w:rFonts w:asciiTheme="minorHAnsi" w:hAnsiTheme="minorHAnsi" w:cstheme="minorHAnsi"/>
          <w:sz w:val="24"/>
          <w:szCs w:val="24"/>
        </w:rPr>
        <w:t>afatinib</w:t>
      </w:r>
      <w:proofErr w:type="spellEnd"/>
      <w:r w:rsidR="00ED1E2D" w:rsidRPr="00AB3364">
        <w:rPr>
          <w:rFonts w:asciiTheme="minorHAnsi" w:hAnsiTheme="minorHAnsi" w:cstheme="minorHAnsi"/>
          <w:sz w:val="24"/>
          <w:szCs w:val="24"/>
        </w:rPr>
        <w:t xml:space="preserve"> (0.5 µM) for one hour prior to the addition of </w:t>
      </w:r>
      <w:proofErr w:type="spellStart"/>
      <w:r w:rsidR="00ED1E2D" w:rsidRPr="00AB3364">
        <w:rPr>
          <w:rFonts w:asciiTheme="minorHAnsi" w:hAnsiTheme="minorHAnsi" w:cstheme="minorHAnsi"/>
          <w:sz w:val="24"/>
          <w:szCs w:val="24"/>
        </w:rPr>
        <w:t>heregulin</w:t>
      </w:r>
      <w:proofErr w:type="spellEnd"/>
      <w:r w:rsidR="00ED1E2D" w:rsidRPr="00AB3364">
        <w:rPr>
          <w:rFonts w:asciiTheme="minorHAnsi" w:hAnsiTheme="minorHAnsi" w:cstheme="minorHAnsi"/>
          <w:sz w:val="24"/>
          <w:szCs w:val="24"/>
        </w:rPr>
        <w:t xml:space="preserve"> (HRGB1) for 30 minutes. Whole-cell extracts were then prepared and subjected to Western blotting for the proteins shown in the representative immunoblots. Similar results were obtained in two independent experiments. </w:t>
      </w:r>
      <w:r w:rsidR="00ED1E2D" w:rsidRPr="00AB3364">
        <w:rPr>
          <w:rFonts w:asciiTheme="minorHAnsi" w:hAnsiTheme="minorHAnsi" w:cstheme="minorHAnsi"/>
          <w:b/>
          <w:bCs/>
          <w:sz w:val="24"/>
          <w:szCs w:val="24"/>
        </w:rPr>
        <w:t>B</w:t>
      </w:r>
      <w:r w:rsidR="00ED1E2D" w:rsidRPr="00AB3364">
        <w:rPr>
          <w:rFonts w:asciiTheme="minorHAnsi" w:hAnsiTheme="minorHAnsi" w:cstheme="minorHAnsi"/>
          <w:sz w:val="24"/>
          <w:szCs w:val="24"/>
        </w:rPr>
        <w:t xml:space="preserve">. Cell lines were treated with 0.5 µM </w:t>
      </w:r>
      <w:proofErr w:type="spellStart"/>
      <w:r w:rsidR="00ED1E2D" w:rsidRPr="00AB3364">
        <w:rPr>
          <w:rFonts w:asciiTheme="minorHAnsi" w:hAnsiTheme="minorHAnsi" w:cstheme="minorHAnsi"/>
          <w:sz w:val="24"/>
          <w:szCs w:val="24"/>
        </w:rPr>
        <w:t>afatinib</w:t>
      </w:r>
      <w:proofErr w:type="spellEnd"/>
      <w:r w:rsidR="00ED1E2D" w:rsidRPr="00AB3364">
        <w:rPr>
          <w:rFonts w:asciiTheme="minorHAnsi" w:hAnsiTheme="minorHAnsi" w:cstheme="minorHAnsi"/>
          <w:sz w:val="24"/>
          <w:szCs w:val="24"/>
        </w:rPr>
        <w:t xml:space="preserve"> or vehicle and assessed for time course viability determined by the Alamar blue assay at the indicated time points. Results represent the mean ± SD of triplicates for each time point.</w:t>
      </w:r>
    </w:p>
    <w:p w:rsidR="00ED1E2D" w:rsidRDefault="00ED1E2D">
      <w:pPr>
        <w:spacing w:after="200"/>
        <w:rPr>
          <w:rFonts w:asciiTheme="minorHAnsi" w:hAnsiTheme="minorHAnsi" w:cstheme="minorHAnsi"/>
          <w:sz w:val="24"/>
          <w:szCs w:val="24"/>
        </w:rPr>
      </w:pPr>
      <w:r>
        <w:rPr>
          <w:rFonts w:asciiTheme="minorHAnsi" w:hAnsiTheme="minorHAnsi" w:cstheme="minorHAnsi"/>
          <w:sz w:val="24"/>
          <w:szCs w:val="24"/>
        </w:rPr>
        <w:br w:type="page"/>
      </w:r>
    </w:p>
    <w:p w:rsidR="00961DFC" w:rsidRDefault="00961DFC" w:rsidP="00ED1E2D">
      <w:pPr>
        <w:pStyle w:val="Normal1"/>
        <w:spacing w:line="480" w:lineRule="auto"/>
        <w:rPr>
          <w:rFonts w:asciiTheme="minorHAnsi" w:hAnsiTheme="minorHAnsi" w:cstheme="minorHAnsi"/>
          <w:sz w:val="24"/>
          <w:szCs w:val="24"/>
        </w:rPr>
      </w:pPr>
      <w:r>
        <w:rPr>
          <w:rFonts w:asciiTheme="minorHAnsi" w:hAnsiTheme="minorHAnsi" w:cstheme="minorHAnsi"/>
          <w:b/>
          <w:bCs/>
          <w:sz w:val="24"/>
          <w:szCs w:val="24"/>
        </w:rPr>
        <w:lastRenderedPageBreak/>
        <w:t>Figure S3</w:t>
      </w:r>
      <w:r w:rsidR="00ED1E2D" w:rsidRPr="00AB3364">
        <w:rPr>
          <w:rFonts w:asciiTheme="minorHAnsi" w:hAnsiTheme="minorHAnsi" w:cstheme="minorHAnsi"/>
          <w:b/>
          <w:bCs/>
          <w:sz w:val="24"/>
          <w:szCs w:val="24"/>
        </w:rPr>
        <w:t xml:space="preserve">. In vitro dose response curves of HCC-95 and MDA-MB-175-VII cell treated with various compounds. </w:t>
      </w:r>
      <w:r w:rsidR="00ED1E2D" w:rsidRPr="00AB3364">
        <w:rPr>
          <w:rFonts w:asciiTheme="minorHAnsi" w:hAnsiTheme="minorHAnsi" w:cstheme="minorHAnsi"/>
          <w:sz w:val="24"/>
          <w:szCs w:val="24"/>
        </w:rPr>
        <w:t xml:space="preserve"> HCC-95 (top) and MDA-MB-175-VII (bottom) cells were treated with the indicated concentrations of </w:t>
      </w:r>
      <w:proofErr w:type="spellStart"/>
      <w:r w:rsidR="00ED1E2D" w:rsidRPr="00AB3364">
        <w:rPr>
          <w:rFonts w:asciiTheme="minorHAnsi" w:hAnsiTheme="minorHAnsi" w:cstheme="minorHAnsi"/>
          <w:sz w:val="24"/>
          <w:szCs w:val="24"/>
        </w:rPr>
        <w:t>afatinib</w:t>
      </w:r>
      <w:proofErr w:type="spellEnd"/>
      <w:r w:rsidR="00ED1E2D" w:rsidRPr="00AB3364">
        <w:rPr>
          <w:rFonts w:asciiTheme="minorHAnsi" w:hAnsiTheme="minorHAnsi" w:cstheme="minorHAnsi"/>
          <w:sz w:val="24"/>
          <w:szCs w:val="24"/>
        </w:rPr>
        <w:t>, neratinib or erlotinib for 96 hours and then assessed for cell viability. Results represent the mean ± SD of two experiments in which each condition was assayed in triplicate. IC50 values from curve fitting are shown.</w:t>
      </w:r>
    </w:p>
    <w:p w:rsidR="00961DFC" w:rsidRDefault="00961DFC">
      <w:pPr>
        <w:spacing w:after="200"/>
        <w:rPr>
          <w:rFonts w:asciiTheme="minorHAnsi" w:hAnsiTheme="minorHAnsi" w:cstheme="minorHAnsi"/>
          <w:sz w:val="24"/>
          <w:szCs w:val="24"/>
        </w:rPr>
      </w:pPr>
      <w:r>
        <w:rPr>
          <w:rFonts w:asciiTheme="minorHAnsi" w:hAnsiTheme="minorHAnsi" w:cstheme="minorHAnsi"/>
          <w:sz w:val="24"/>
          <w:szCs w:val="24"/>
        </w:rPr>
        <w:br w:type="page"/>
      </w:r>
    </w:p>
    <w:p w:rsidR="00961DFC" w:rsidRDefault="00961DFC" w:rsidP="00961DFC">
      <w:pPr>
        <w:pStyle w:val="Normal1"/>
        <w:spacing w:line="480" w:lineRule="auto"/>
        <w:rPr>
          <w:rFonts w:asciiTheme="minorHAnsi" w:hAnsiTheme="minorHAnsi" w:cstheme="minorHAnsi"/>
          <w:sz w:val="24"/>
          <w:szCs w:val="24"/>
        </w:rPr>
      </w:pPr>
      <w:r>
        <w:rPr>
          <w:rFonts w:asciiTheme="minorHAnsi" w:hAnsiTheme="minorHAnsi" w:cstheme="minorHAnsi"/>
          <w:b/>
          <w:bCs/>
          <w:sz w:val="24"/>
          <w:szCs w:val="24"/>
        </w:rPr>
        <w:t>Figure S4</w:t>
      </w:r>
      <w:r w:rsidRPr="00AB3364">
        <w:rPr>
          <w:rFonts w:asciiTheme="minorHAnsi" w:hAnsiTheme="minorHAnsi" w:cstheme="minorHAnsi"/>
          <w:b/>
          <w:bCs/>
          <w:sz w:val="24"/>
          <w:szCs w:val="24"/>
        </w:rPr>
        <w:t xml:space="preserve">. shRNA-mediated depletion of </w:t>
      </w:r>
      <w:r w:rsidRPr="00AB3364">
        <w:rPr>
          <w:rFonts w:asciiTheme="minorHAnsi" w:hAnsiTheme="minorHAnsi" w:cstheme="minorHAnsi"/>
          <w:b/>
          <w:bCs/>
          <w:i/>
          <w:iCs/>
          <w:sz w:val="24"/>
          <w:szCs w:val="24"/>
        </w:rPr>
        <w:t>ERBBs</w:t>
      </w:r>
      <w:r w:rsidRPr="00AB3364">
        <w:rPr>
          <w:rFonts w:asciiTheme="minorHAnsi" w:hAnsiTheme="minorHAnsi" w:cstheme="minorHAnsi"/>
          <w:b/>
          <w:bCs/>
          <w:sz w:val="24"/>
          <w:szCs w:val="24"/>
        </w:rPr>
        <w:t xml:space="preserve">. </w:t>
      </w:r>
      <w:r w:rsidRPr="00AB3364">
        <w:rPr>
          <w:rFonts w:asciiTheme="minorHAnsi" w:hAnsiTheme="minorHAnsi" w:cstheme="minorHAnsi"/>
          <w:sz w:val="24"/>
          <w:szCs w:val="24"/>
        </w:rPr>
        <w:t xml:space="preserve">MDA-MB-175-VII cells were infected with lentiviruses carrying non-targeting </w:t>
      </w:r>
      <w:proofErr w:type="spellStart"/>
      <w:r w:rsidRPr="00AB3364">
        <w:rPr>
          <w:rFonts w:asciiTheme="minorHAnsi" w:hAnsiTheme="minorHAnsi" w:cstheme="minorHAnsi"/>
          <w:sz w:val="24"/>
          <w:szCs w:val="24"/>
        </w:rPr>
        <w:t>shRNAs</w:t>
      </w:r>
      <w:proofErr w:type="spellEnd"/>
      <w:r w:rsidRPr="00AB3364">
        <w:rPr>
          <w:rFonts w:asciiTheme="minorHAnsi" w:hAnsiTheme="minorHAnsi" w:cstheme="minorHAnsi"/>
          <w:sz w:val="24"/>
          <w:szCs w:val="24"/>
        </w:rPr>
        <w:t xml:space="preserve"> (NT-</w:t>
      </w:r>
      <w:proofErr w:type="spellStart"/>
      <w:r w:rsidRPr="00AB3364">
        <w:rPr>
          <w:rFonts w:asciiTheme="minorHAnsi" w:hAnsiTheme="minorHAnsi" w:cstheme="minorHAnsi"/>
          <w:sz w:val="24"/>
          <w:szCs w:val="24"/>
        </w:rPr>
        <w:t>sh</w:t>
      </w:r>
      <w:proofErr w:type="spellEnd"/>
      <w:r w:rsidRPr="00AB3364">
        <w:rPr>
          <w:rFonts w:asciiTheme="minorHAnsi" w:hAnsiTheme="minorHAnsi" w:cstheme="minorHAnsi"/>
          <w:sz w:val="24"/>
          <w:szCs w:val="24"/>
        </w:rPr>
        <w:t xml:space="preserve">) or </w:t>
      </w:r>
      <w:proofErr w:type="spellStart"/>
      <w:r w:rsidRPr="00AB3364">
        <w:rPr>
          <w:rFonts w:asciiTheme="minorHAnsi" w:hAnsiTheme="minorHAnsi" w:cstheme="minorHAnsi"/>
          <w:sz w:val="24"/>
          <w:szCs w:val="24"/>
        </w:rPr>
        <w:t>shRNAs</w:t>
      </w:r>
      <w:proofErr w:type="spellEnd"/>
      <w:r w:rsidRPr="00AB3364">
        <w:rPr>
          <w:rFonts w:asciiTheme="minorHAnsi" w:hAnsiTheme="minorHAnsi" w:cstheme="minorHAnsi"/>
          <w:sz w:val="24"/>
          <w:szCs w:val="24"/>
        </w:rPr>
        <w:t xml:space="preserve"> targeting </w:t>
      </w:r>
      <w:r w:rsidRPr="00AB3364">
        <w:rPr>
          <w:rFonts w:asciiTheme="minorHAnsi" w:hAnsiTheme="minorHAnsi" w:cstheme="minorHAnsi"/>
          <w:i/>
          <w:iCs/>
          <w:sz w:val="24"/>
          <w:szCs w:val="24"/>
        </w:rPr>
        <w:t>EGFR</w:t>
      </w:r>
      <w:r w:rsidRPr="00AB3364">
        <w:rPr>
          <w:rFonts w:asciiTheme="minorHAnsi" w:hAnsiTheme="minorHAnsi" w:cstheme="minorHAnsi"/>
          <w:sz w:val="24"/>
          <w:szCs w:val="24"/>
        </w:rPr>
        <w:t xml:space="preserve">, </w:t>
      </w:r>
      <w:r w:rsidRPr="00AB3364">
        <w:rPr>
          <w:rFonts w:asciiTheme="minorHAnsi" w:hAnsiTheme="minorHAnsi" w:cstheme="minorHAnsi"/>
          <w:i/>
          <w:iCs/>
          <w:sz w:val="24"/>
          <w:szCs w:val="24"/>
        </w:rPr>
        <w:t>ERBB2</w:t>
      </w:r>
      <w:r w:rsidRPr="00AB3364">
        <w:rPr>
          <w:rFonts w:asciiTheme="minorHAnsi" w:hAnsiTheme="minorHAnsi" w:cstheme="minorHAnsi"/>
          <w:sz w:val="24"/>
          <w:szCs w:val="24"/>
        </w:rPr>
        <w:t xml:space="preserve"> or </w:t>
      </w:r>
      <w:r w:rsidRPr="00AB3364">
        <w:rPr>
          <w:rFonts w:asciiTheme="minorHAnsi" w:hAnsiTheme="minorHAnsi" w:cstheme="minorHAnsi"/>
          <w:i/>
          <w:iCs/>
          <w:sz w:val="24"/>
          <w:szCs w:val="24"/>
        </w:rPr>
        <w:t>ERBB3</w:t>
      </w:r>
      <w:r w:rsidRPr="00AB3364">
        <w:rPr>
          <w:rFonts w:asciiTheme="minorHAnsi" w:hAnsiTheme="minorHAnsi" w:cstheme="minorHAnsi"/>
          <w:sz w:val="24"/>
          <w:szCs w:val="24"/>
        </w:rPr>
        <w:t xml:space="preserve">. shRNA-expressing cells were selected with 5 µg/mL puromycin for 48 hours, then the respective mRNA level was assessed by quantitative PCR using </w:t>
      </w:r>
      <w:proofErr w:type="spellStart"/>
      <w:r w:rsidRPr="00AB3364">
        <w:rPr>
          <w:rFonts w:asciiTheme="minorHAnsi" w:hAnsiTheme="minorHAnsi" w:cstheme="minorHAnsi"/>
          <w:sz w:val="24"/>
          <w:szCs w:val="24"/>
        </w:rPr>
        <w:t>Taqman</w:t>
      </w:r>
      <w:proofErr w:type="spellEnd"/>
      <w:r w:rsidRPr="00AB3364">
        <w:rPr>
          <w:rFonts w:asciiTheme="minorHAnsi" w:hAnsiTheme="minorHAnsi" w:cstheme="minorHAnsi"/>
          <w:sz w:val="24"/>
          <w:szCs w:val="24"/>
        </w:rPr>
        <w:t xml:space="preserve"> assays. Experiments were conducted in duplicate.</w:t>
      </w:r>
    </w:p>
    <w:p w:rsidR="00ED1E2D" w:rsidRDefault="00ED1E2D" w:rsidP="00ED1E2D">
      <w:pPr>
        <w:pStyle w:val="Normal1"/>
        <w:spacing w:line="480" w:lineRule="auto"/>
        <w:rPr>
          <w:rFonts w:asciiTheme="minorHAnsi" w:hAnsiTheme="minorHAnsi" w:cstheme="minorHAnsi"/>
          <w:sz w:val="24"/>
          <w:szCs w:val="24"/>
        </w:rPr>
      </w:pPr>
    </w:p>
    <w:p w:rsidR="00ED1E2D" w:rsidRDefault="00ED1E2D">
      <w:pPr>
        <w:spacing w:after="200"/>
        <w:rPr>
          <w:rFonts w:asciiTheme="minorHAnsi" w:hAnsiTheme="minorHAnsi" w:cstheme="minorHAnsi"/>
          <w:sz w:val="24"/>
          <w:szCs w:val="24"/>
        </w:rPr>
      </w:pPr>
      <w:r>
        <w:rPr>
          <w:rFonts w:asciiTheme="minorHAnsi" w:hAnsiTheme="minorHAnsi" w:cstheme="minorHAnsi"/>
          <w:sz w:val="24"/>
          <w:szCs w:val="24"/>
        </w:rPr>
        <w:br w:type="page"/>
      </w:r>
    </w:p>
    <w:p w:rsidR="00ED1E2D" w:rsidRPr="00AB3364" w:rsidRDefault="00ED1E2D" w:rsidP="00ED1E2D">
      <w:pPr>
        <w:pStyle w:val="Normal1"/>
        <w:spacing w:line="480" w:lineRule="auto"/>
        <w:rPr>
          <w:rFonts w:asciiTheme="minorHAnsi" w:hAnsiTheme="minorHAnsi" w:cstheme="minorHAnsi"/>
          <w:sz w:val="24"/>
          <w:szCs w:val="24"/>
        </w:rPr>
      </w:pPr>
      <w:r w:rsidRPr="00AB3364">
        <w:rPr>
          <w:rFonts w:asciiTheme="minorHAnsi" w:hAnsiTheme="minorHAnsi" w:cstheme="minorHAnsi"/>
          <w:b/>
          <w:bCs/>
          <w:sz w:val="24"/>
          <w:szCs w:val="24"/>
        </w:rPr>
        <w:lastRenderedPageBreak/>
        <w:t xml:space="preserve">Figure S5. </w:t>
      </w:r>
      <w:r w:rsidRPr="00AB3364">
        <w:rPr>
          <w:rFonts w:asciiTheme="minorHAnsi" w:hAnsiTheme="minorHAnsi" w:cstheme="minorHAnsi"/>
          <w:b/>
          <w:bCs/>
          <w:iCs/>
          <w:sz w:val="24"/>
          <w:szCs w:val="24"/>
        </w:rPr>
        <w:t>In vivo</w:t>
      </w:r>
      <w:r w:rsidRPr="00AB3364">
        <w:rPr>
          <w:rFonts w:asciiTheme="minorHAnsi" w:hAnsiTheme="minorHAnsi" w:cstheme="minorHAnsi"/>
          <w:b/>
          <w:bCs/>
          <w:sz w:val="24"/>
          <w:szCs w:val="24"/>
        </w:rPr>
        <w:t xml:space="preserve"> growth inhibition elicited by </w:t>
      </w:r>
      <w:proofErr w:type="spellStart"/>
      <w:r w:rsidRPr="00AB3364">
        <w:rPr>
          <w:rFonts w:asciiTheme="minorHAnsi" w:hAnsiTheme="minorHAnsi" w:cstheme="minorHAnsi"/>
          <w:b/>
          <w:bCs/>
          <w:sz w:val="24"/>
          <w:szCs w:val="24"/>
        </w:rPr>
        <w:t>afatinib</w:t>
      </w:r>
      <w:proofErr w:type="spellEnd"/>
      <w:r w:rsidRPr="00AB3364">
        <w:rPr>
          <w:rFonts w:asciiTheme="minorHAnsi" w:hAnsiTheme="minorHAnsi" w:cstheme="minorHAnsi"/>
          <w:b/>
          <w:bCs/>
          <w:sz w:val="24"/>
          <w:szCs w:val="24"/>
        </w:rPr>
        <w:t xml:space="preserve"> and GSK2849330 in a </w:t>
      </w:r>
      <w:r w:rsidRPr="00AB3364">
        <w:rPr>
          <w:rFonts w:asciiTheme="minorHAnsi" w:hAnsiTheme="minorHAnsi" w:cstheme="minorHAnsi"/>
          <w:b/>
          <w:bCs/>
          <w:i/>
          <w:sz w:val="24"/>
          <w:szCs w:val="24"/>
        </w:rPr>
        <w:t>CLU-NRG1</w:t>
      </w:r>
      <w:r w:rsidRPr="00AB3364">
        <w:rPr>
          <w:rFonts w:asciiTheme="minorHAnsi" w:hAnsiTheme="minorHAnsi" w:cstheme="minorHAnsi"/>
          <w:b/>
          <w:bCs/>
          <w:sz w:val="24"/>
          <w:szCs w:val="24"/>
        </w:rPr>
        <w:t>-rearranged patient-derived xenograft (PDX) mouse model.</w:t>
      </w:r>
      <w:r w:rsidRPr="00AB3364" w:rsidDel="0065290A">
        <w:rPr>
          <w:rFonts w:asciiTheme="minorHAnsi" w:hAnsiTheme="minorHAnsi" w:cstheme="minorHAnsi"/>
          <w:b/>
          <w:bCs/>
          <w:i/>
          <w:iCs/>
          <w:sz w:val="24"/>
          <w:szCs w:val="24"/>
        </w:rPr>
        <w:t xml:space="preserve"> </w:t>
      </w:r>
      <w:r w:rsidRPr="00AB3364">
        <w:rPr>
          <w:rFonts w:asciiTheme="minorHAnsi" w:hAnsiTheme="minorHAnsi" w:cstheme="minorHAnsi"/>
          <w:b/>
          <w:bCs/>
          <w:sz w:val="24"/>
          <w:szCs w:val="24"/>
        </w:rPr>
        <w:t xml:space="preserve"> </w:t>
      </w:r>
      <w:r w:rsidRPr="00AB3364">
        <w:rPr>
          <w:rFonts w:asciiTheme="minorHAnsi" w:hAnsiTheme="minorHAnsi" w:cstheme="minorHAnsi"/>
          <w:sz w:val="24"/>
          <w:szCs w:val="24"/>
        </w:rPr>
        <w:t xml:space="preserve">Female BALB/c nude mice were subcutaneously implanted with </w:t>
      </w:r>
      <w:r w:rsidRPr="00AB3364">
        <w:rPr>
          <w:rFonts w:asciiTheme="minorHAnsi" w:hAnsiTheme="minorHAnsi" w:cstheme="minorHAnsi"/>
          <w:i/>
          <w:sz w:val="24"/>
          <w:szCs w:val="24"/>
        </w:rPr>
        <w:t>CLU-NRG1</w:t>
      </w:r>
      <w:r w:rsidRPr="00AB3364">
        <w:rPr>
          <w:rFonts w:asciiTheme="minorHAnsi" w:hAnsiTheme="minorHAnsi" w:cstheme="minorHAnsi"/>
          <w:sz w:val="24"/>
          <w:szCs w:val="24"/>
        </w:rPr>
        <w:t xml:space="preserve">-rearranged tumors and treated with </w:t>
      </w:r>
      <w:proofErr w:type="spellStart"/>
      <w:r w:rsidRPr="00AB3364">
        <w:rPr>
          <w:rFonts w:asciiTheme="minorHAnsi" w:hAnsiTheme="minorHAnsi" w:cstheme="minorHAnsi"/>
          <w:sz w:val="24"/>
          <w:szCs w:val="24"/>
        </w:rPr>
        <w:t>afatinib</w:t>
      </w:r>
      <w:proofErr w:type="spellEnd"/>
      <w:r w:rsidRPr="00AB3364">
        <w:rPr>
          <w:rFonts w:asciiTheme="minorHAnsi" w:hAnsiTheme="minorHAnsi" w:cstheme="minorHAnsi"/>
          <w:sz w:val="24"/>
          <w:szCs w:val="24"/>
        </w:rPr>
        <w:t xml:space="preserve"> at 15 mg/kg daily for 28 days, resulting in a significant inhibition of tumor growth compared to the vehicle arm (n=6, top left). The same PDX mouse model was treated with the anti-ERBB3 monoclonal antibody, GSK2849330 at</w:t>
      </w:r>
      <w:r>
        <w:rPr>
          <w:rFonts w:asciiTheme="minorHAnsi" w:hAnsiTheme="minorHAnsi" w:cstheme="minorHAnsi"/>
          <w:sz w:val="24"/>
          <w:szCs w:val="24"/>
        </w:rPr>
        <w:t xml:space="preserve"> 25 mg/kg biweekly for 35 days,</w:t>
      </w:r>
      <w:r w:rsidRPr="00AB3364">
        <w:rPr>
          <w:rFonts w:asciiTheme="minorHAnsi" w:hAnsiTheme="minorHAnsi" w:cstheme="minorHAnsi"/>
          <w:sz w:val="24"/>
          <w:szCs w:val="24"/>
        </w:rPr>
        <w:t xml:space="preserve"> resulting in a dramatic and durable response of complete tumor regression compared to vehicle- or IgG-treated controls (n=10, bottom left). The body weight changes in each of the treatment groups are shown (</w:t>
      </w:r>
      <w:proofErr w:type="spellStart"/>
      <w:r w:rsidRPr="00AB3364">
        <w:rPr>
          <w:rFonts w:asciiTheme="minorHAnsi" w:hAnsiTheme="minorHAnsi" w:cstheme="minorHAnsi"/>
          <w:sz w:val="24"/>
          <w:szCs w:val="24"/>
        </w:rPr>
        <w:t>afatinib</w:t>
      </w:r>
      <w:proofErr w:type="spellEnd"/>
      <w:r w:rsidRPr="00AB3364">
        <w:rPr>
          <w:rFonts w:asciiTheme="minorHAnsi" w:hAnsiTheme="minorHAnsi" w:cstheme="minorHAnsi"/>
          <w:sz w:val="24"/>
          <w:szCs w:val="24"/>
        </w:rPr>
        <w:t xml:space="preserve"> – upper right, GSK2849330 – lower right). </w:t>
      </w:r>
      <w:r w:rsidRPr="00AB3364">
        <w:rPr>
          <w:rFonts w:asciiTheme="minorHAnsi" w:hAnsiTheme="minorHAnsi" w:cstheme="minorHAnsi"/>
          <w:b/>
          <w:sz w:val="24"/>
          <w:szCs w:val="24"/>
        </w:rPr>
        <w:t xml:space="preserve">B. </w:t>
      </w:r>
      <w:r w:rsidRPr="00AB3364">
        <w:rPr>
          <w:rFonts w:asciiTheme="minorHAnsi" w:hAnsiTheme="minorHAnsi" w:cstheme="minorHAnsi"/>
          <w:sz w:val="24"/>
          <w:szCs w:val="24"/>
        </w:rPr>
        <w:t>These mice were monitored after cessation of treatment on day 35 for another 35 days post the last dose of GSK284930 and exhibited sustained tumor regression (left). Body weight changes are shown (right).</w:t>
      </w:r>
    </w:p>
    <w:p w:rsidR="00ED1E2D" w:rsidRDefault="00ED1E2D">
      <w:pPr>
        <w:spacing w:after="200"/>
        <w:rPr>
          <w:rFonts w:asciiTheme="minorHAnsi" w:hAnsiTheme="minorHAnsi" w:cstheme="minorHAnsi"/>
          <w:b/>
          <w:bCs/>
          <w:sz w:val="24"/>
          <w:szCs w:val="24"/>
        </w:rPr>
      </w:pPr>
      <w:r>
        <w:rPr>
          <w:rFonts w:asciiTheme="minorHAnsi" w:hAnsiTheme="minorHAnsi" w:cstheme="minorHAnsi"/>
          <w:b/>
          <w:bCs/>
          <w:sz w:val="24"/>
          <w:szCs w:val="24"/>
        </w:rPr>
        <w:br w:type="page"/>
      </w:r>
    </w:p>
    <w:p w:rsidR="0056010A" w:rsidRPr="00AB3364" w:rsidRDefault="0056010A" w:rsidP="00285A4D">
      <w:pPr>
        <w:pStyle w:val="Normal1"/>
        <w:rPr>
          <w:rFonts w:asciiTheme="minorHAnsi" w:hAnsiTheme="minorHAnsi" w:cstheme="minorHAnsi"/>
          <w:b/>
          <w:bCs/>
          <w:sz w:val="24"/>
          <w:szCs w:val="24"/>
        </w:rPr>
      </w:pPr>
      <w:r w:rsidRPr="00AB3364">
        <w:rPr>
          <w:rFonts w:asciiTheme="minorHAnsi" w:hAnsiTheme="minorHAnsi" w:cstheme="minorHAnsi"/>
          <w:b/>
          <w:bCs/>
          <w:sz w:val="24"/>
          <w:szCs w:val="24"/>
        </w:rPr>
        <w:lastRenderedPageBreak/>
        <w:t xml:space="preserve">Figure S1.  </w:t>
      </w:r>
      <w:r w:rsidRPr="00AB3364">
        <w:rPr>
          <w:rFonts w:asciiTheme="minorHAnsi" w:hAnsiTheme="minorHAnsi" w:cstheme="minorHAnsi"/>
          <w:b/>
          <w:bCs/>
          <w:i/>
          <w:iCs/>
          <w:sz w:val="24"/>
          <w:szCs w:val="24"/>
        </w:rPr>
        <w:t>NRG1</w:t>
      </w:r>
      <w:r w:rsidRPr="00AB3364">
        <w:rPr>
          <w:rFonts w:asciiTheme="minorHAnsi" w:hAnsiTheme="minorHAnsi" w:cstheme="minorHAnsi"/>
          <w:b/>
          <w:bCs/>
          <w:sz w:val="24"/>
          <w:szCs w:val="24"/>
        </w:rPr>
        <w:t xml:space="preserve"> is overexpressed in HCC-95 and MDA-MB-175-VII cells.  </w:t>
      </w:r>
    </w:p>
    <w:p w:rsidR="0056010A" w:rsidRPr="00AB3364" w:rsidRDefault="0056010A" w:rsidP="00285A4D">
      <w:pPr>
        <w:pStyle w:val="Normal1"/>
        <w:rPr>
          <w:rFonts w:asciiTheme="minorHAnsi" w:hAnsiTheme="minorHAnsi" w:cstheme="minorHAnsi"/>
          <w:b/>
          <w:sz w:val="24"/>
          <w:szCs w:val="24"/>
        </w:rPr>
      </w:pPr>
    </w:p>
    <w:p w:rsidR="0056010A" w:rsidRPr="00AB3364" w:rsidRDefault="0056010A" w:rsidP="00285A4D">
      <w:pPr>
        <w:pStyle w:val="Normal1"/>
        <w:rPr>
          <w:rFonts w:asciiTheme="minorHAnsi" w:hAnsiTheme="minorHAnsi" w:cstheme="minorHAnsi"/>
          <w:b/>
          <w:sz w:val="24"/>
          <w:szCs w:val="24"/>
        </w:rPr>
      </w:pPr>
      <w:r w:rsidRPr="00AB3364">
        <w:rPr>
          <w:rFonts w:asciiTheme="minorHAnsi" w:hAnsiTheme="minorHAnsi" w:cstheme="minorHAnsi"/>
          <w:noProof/>
          <w:szCs w:val="24"/>
        </w:rPr>
        <w:drawing>
          <wp:anchor distT="0" distB="0" distL="114300" distR="114300" simplePos="0" relativeHeight="251662336" behindDoc="0" locked="0" layoutInCell="1" allowOverlap="1" wp14:anchorId="760F78A4" wp14:editId="4A940F62">
            <wp:simplePos x="0" y="0"/>
            <wp:positionH relativeFrom="column">
              <wp:posOffset>0</wp:posOffset>
            </wp:positionH>
            <wp:positionV relativeFrom="paragraph">
              <wp:posOffset>0</wp:posOffset>
            </wp:positionV>
            <wp:extent cx="5942965" cy="7323455"/>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srcRect/>
                    <a:stretch>
                      <a:fillRect/>
                    </a:stretch>
                  </pic:blipFill>
                  <pic:spPr bwMode="auto">
                    <a:xfrm>
                      <a:off x="0" y="0"/>
                      <a:ext cx="5942965" cy="7323455"/>
                    </a:xfrm>
                    <a:prstGeom prst="rect">
                      <a:avLst/>
                    </a:prstGeom>
                    <a:noFill/>
                    <a:ln w="9525">
                      <a:noFill/>
                      <a:miter lim="800000"/>
                      <a:headEnd/>
                      <a:tailEnd/>
                    </a:ln>
                  </pic:spPr>
                </pic:pic>
              </a:graphicData>
            </a:graphic>
          </wp:anchor>
        </w:drawing>
      </w:r>
    </w:p>
    <w:p w:rsidR="0056010A" w:rsidRPr="00AB3364" w:rsidRDefault="0056010A" w:rsidP="00285A4D">
      <w:pPr>
        <w:spacing w:after="200"/>
        <w:rPr>
          <w:rFonts w:asciiTheme="minorHAnsi" w:hAnsiTheme="minorHAnsi" w:cstheme="minorHAnsi"/>
          <w:b/>
          <w:bCs/>
          <w:sz w:val="24"/>
          <w:szCs w:val="24"/>
        </w:rPr>
      </w:pPr>
      <w:r w:rsidRPr="00AB3364">
        <w:rPr>
          <w:rFonts w:asciiTheme="minorHAnsi" w:hAnsiTheme="minorHAnsi" w:cstheme="minorHAnsi"/>
          <w:b/>
          <w:bCs/>
          <w:sz w:val="24"/>
          <w:szCs w:val="24"/>
        </w:rPr>
        <w:br w:type="page"/>
      </w:r>
    </w:p>
    <w:p w:rsidR="0056010A" w:rsidRPr="00ED1E2D" w:rsidRDefault="00961DFC" w:rsidP="00ED1E2D">
      <w:pPr>
        <w:rPr>
          <w:rFonts w:asciiTheme="minorHAnsi" w:hAnsiTheme="minorHAnsi" w:cstheme="minorHAnsi"/>
          <w:b/>
          <w:sz w:val="24"/>
          <w:szCs w:val="24"/>
        </w:rPr>
      </w:pPr>
      <w:r>
        <w:rPr>
          <w:rFonts w:asciiTheme="minorHAnsi" w:hAnsiTheme="minorHAnsi" w:cstheme="minorHAnsi"/>
          <w:b/>
          <w:bCs/>
          <w:sz w:val="24"/>
          <w:szCs w:val="24"/>
        </w:rPr>
        <w:lastRenderedPageBreak/>
        <w:t>Figure S2</w:t>
      </w:r>
      <w:r w:rsidR="0056010A" w:rsidRPr="00AB3364">
        <w:rPr>
          <w:rFonts w:asciiTheme="minorHAnsi" w:hAnsiTheme="minorHAnsi" w:cstheme="minorHAnsi"/>
          <w:b/>
          <w:bCs/>
          <w:sz w:val="24"/>
          <w:szCs w:val="24"/>
        </w:rPr>
        <w:t xml:space="preserve">. Effects on in vitro cell growth and ERBB3 pathway signaling in cell lines treated with </w:t>
      </w:r>
      <w:proofErr w:type="spellStart"/>
      <w:r w:rsidR="0056010A" w:rsidRPr="00AB3364">
        <w:rPr>
          <w:rFonts w:asciiTheme="minorHAnsi" w:hAnsiTheme="minorHAnsi" w:cstheme="minorHAnsi"/>
          <w:b/>
          <w:bCs/>
          <w:sz w:val="24"/>
          <w:szCs w:val="24"/>
        </w:rPr>
        <w:t>afatinib</w:t>
      </w:r>
      <w:proofErr w:type="spellEnd"/>
      <w:r w:rsidR="0056010A" w:rsidRPr="00AB3364">
        <w:rPr>
          <w:rFonts w:asciiTheme="minorHAnsi" w:hAnsiTheme="minorHAnsi" w:cstheme="minorHAnsi"/>
          <w:b/>
          <w:bCs/>
          <w:sz w:val="24"/>
          <w:szCs w:val="24"/>
        </w:rPr>
        <w:t>.</w:t>
      </w:r>
    </w:p>
    <w:p w:rsidR="0056010A" w:rsidRPr="00AB3364" w:rsidRDefault="0056010A" w:rsidP="00285A4D">
      <w:pPr>
        <w:pStyle w:val="Normal1"/>
        <w:jc w:val="center"/>
        <w:rPr>
          <w:rFonts w:asciiTheme="minorHAnsi" w:hAnsiTheme="minorHAnsi" w:cstheme="minorHAnsi"/>
          <w:b/>
          <w:sz w:val="24"/>
          <w:szCs w:val="24"/>
        </w:rPr>
      </w:pPr>
    </w:p>
    <w:p w:rsidR="0056010A" w:rsidRPr="00ED1E2D" w:rsidRDefault="0056010A" w:rsidP="00ED1E2D">
      <w:pPr>
        <w:pStyle w:val="Normal1"/>
        <w:spacing w:line="480" w:lineRule="auto"/>
        <w:rPr>
          <w:rFonts w:asciiTheme="minorHAnsi" w:hAnsiTheme="minorHAnsi" w:cstheme="minorHAnsi"/>
          <w:sz w:val="24"/>
          <w:szCs w:val="24"/>
        </w:rPr>
      </w:pPr>
      <w:r w:rsidRPr="00AB3364">
        <w:rPr>
          <w:rFonts w:asciiTheme="minorHAnsi" w:hAnsiTheme="minorHAnsi" w:cstheme="minorHAnsi"/>
          <w:noProof/>
          <w:szCs w:val="24"/>
        </w:rPr>
        <w:drawing>
          <wp:anchor distT="0" distB="0" distL="114300" distR="114300" simplePos="0" relativeHeight="251664384" behindDoc="0" locked="0" layoutInCell="1" allowOverlap="1" wp14:anchorId="212399A9" wp14:editId="6DCAAC21">
            <wp:simplePos x="0" y="0"/>
            <wp:positionH relativeFrom="column">
              <wp:posOffset>0</wp:posOffset>
            </wp:positionH>
            <wp:positionV relativeFrom="paragraph">
              <wp:posOffset>0</wp:posOffset>
            </wp:positionV>
            <wp:extent cx="5937885" cy="60337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srcRect/>
                    <a:stretch>
                      <a:fillRect/>
                    </a:stretch>
                  </pic:blipFill>
                  <pic:spPr bwMode="auto">
                    <a:xfrm>
                      <a:off x="0" y="0"/>
                      <a:ext cx="5937885" cy="6033770"/>
                    </a:xfrm>
                    <a:prstGeom prst="rect">
                      <a:avLst/>
                    </a:prstGeom>
                    <a:noFill/>
                    <a:ln w="9525">
                      <a:noFill/>
                      <a:miter lim="800000"/>
                      <a:headEnd/>
                      <a:tailEnd/>
                    </a:ln>
                  </pic:spPr>
                </pic:pic>
              </a:graphicData>
            </a:graphic>
          </wp:anchor>
        </w:drawing>
      </w:r>
      <w:r w:rsidRPr="00AB3364">
        <w:rPr>
          <w:rFonts w:asciiTheme="minorHAnsi" w:hAnsiTheme="minorHAnsi" w:cstheme="minorHAnsi"/>
          <w:b/>
          <w:bCs/>
          <w:sz w:val="24"/>
          <w:szCs w:val="24"/>
        </w:rPr>
        <w:br w:type="page"/>
      </w:r>
      <w:r w:rsidRPr="00AB3364">
        <w:rPr>
          <w:rFonts w:asciiTheme="minorHAnsi" w:hAnsiTheme="minorHAnsi" w:cstheme="minorHAnsi"/>
          <w:sz w:val="24"/>
          <w:szCs w:val="24"/>
        </w:rPr>
        <w:lastRenderedPageBreak/>
        <w:t xml:space="preserve"> </w:t>
      </w:r>
      <w:r w:rsidR="00961DFC">
        <w:rPr>
          <w:rFonts w:asciiTheme="minorHAnsi" w:hAnsiTheme="minorHAnsi" w:cstheme="minorHAnsi"/>
          <w:b/>
          <w:bCs/>
          <w:sz w:val="24"/>
          <w:szCs w:val="24"/>
        </w:rPr>
        <w:t>Figure S3</w:t>
      </w:r>
      <w:r w:rsidRPr="00AB3364">
        <w:rPr>
          <w:rFonts w:asciiTheme="minorHAnsi" w:hAnsiTheme="minorHAnsi" w:cstheme="minorHAnsi"/>
          <w:b/>
          <w:bCs/>
          <w:sz w:val="24"/>
          <w:szCs w:val="24"/>
        </w:rPr>
        <w:t xml:space="preserve">. In vitro dose response curves of HCC-95 and MDA-MB-175-VII cell treated with various compounds. </w:t>
      </w:r>
      <w:r w:rsidRPr="00AB3364">
        <w:rPr>
          <w:rFonts w:asciiTheme="minorHAnsi" w:hAnsiTheme="minorHAnsi" w:cstheme="minorHAnsi"/>
          <w:sz w:val="24"/>
          <w:szCs w:val="24"/>
        </w:rPr>
        <w:t xml:space="preserve"> </w:t>
      </w:r>
    </w:p>
    <w:p w:rsidR="0056010A" w:rsidRPr="00AB3364" w:rsidRDefault="0056010A" w:rsidP="00285A4D">
      <w:pPr>
        <w:rPr>
          <w:rFonts w:asciiTheme="minorHAnsi" w:hAnsiTheme="minorHAnsi" w:cstheme="minorHAnsi"/>
          <w:b/>
          <w:bCs/>
          <w:sz w:val="24"/>
          <w:szCs w:val="24"/>
        </w:rPr>
      </w:pPr>
    </w:p>
    <w:p w:rsidR="00961DFC" w:rsidRPr="00ED1E2D" w:rsidRDefault="0056010A" w:rsidP="00961DFC">
      <w:pPr>
        <w:rPr>
          <w:rFonts w:asciiTheme="minorHAnsi" w:hAnsiTheme="minorHAnsi" w:cstheme="minorHAnsi"/>
          <w:b/>
          <w:sz w:val="24"/>
          <w:szCs w:val="24"/>
        </w:rPr>
      </w:pPr>
      <w:r w:rsidRPr="00AB3364">
        <w:rPr>
          <w:rFonts w:asciiTheme="minorHAnsi" w:hAnsiTheme="minorHAnsi" w:cstheme="minorHAnsi"/>
          <w:noProof/>
          <w:szCs w:val="24"/>
        </w:rPr>
        <w:drawing>
          <wp:anchor distT="0" distB="0" distL="114300" distR="114300" simplePos="0" relativeHeight="251665408" behindDoc="0" locked="0" layoutInCell="1" allowOverlap="1" wp14:anchorId="133A4F9F" wp14:editId="3F0D5450">
            <wp:simplePos x="0" y="0"/>
            <wp:positionH relativeFrom="column">
              <wp:posOffset>0</wp:posOffset>
            </wp:positionH>
            <wp:positionV relativeFrom="paragraph">
              <wp:posOffset>0</wp:posOffset>
            </wp:positionV>
            <wp:extent cx="5940425" cy="6334125"/>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srcRect/>
                    <a:stretch>
                      <a:fillRect/>
                    </a:stretch>
                  </pic:blipFill>
                  <pic:spPr bwMode="auto">
                    <a:xfrm>
                      <a:off x="0" y="0"/>
                      <a:ext cx="5940425" cy="6334125"/>
                    </a:xfrm>
                    <a:prstGeom prst="rect">
                      <a:avLst/>
                    </a:prstGeom>
                    <a:noFill/>
                    <a:ln w="9525">
                      <a:noFill/>
                      <a:miter lim="800000"/>
                      <a:headEnd/>
                      <a:tailEnd/>
                    </a:ln>
                  </pic:spPr>
                </pic:pic>
              </a:graphicData>
            </a:graphic>
          </wp:anchor>
        </w:drawing>
      </w:r>
      <w:r w:rsidRPr="00AB3364">
        <w:rPr>
          <w:rFonts w:asciiTheme="minorHAnsi" w:hAnsiTheme="minorHAnsi" w:cstheme="minorHAnsi"/>
          <w:b/>
          <w:bCs/>
          <w:sz w:val="24"/>
          <w:szCs w:val="24"/>
        </w:rPr>
        <w:br w:type="page"/>
      </w:r>
      <w:r w:rsidR="00961DFC">
        <w:rPr>
          <w:rFonts w:asciiTheme="minorHAnsi" w:hAnsiTheme="minorHAnsi" w:cstheme="minorHAnsi"/>
          <w:b/>
          <w:bCs/>
          <w:sz w:val="24"/>
          <w:szCs w:val="24"/>
        </w:rPr>
        <w:lastRenderedPageBreak/>
        <w:t>Figure S4</w:t>
      </w:r>
      <w:bookmarkStart w:id="0" w:name="_GoBack"/>
      <w:bookmarkEnd w:id="0"/>
      <w:r w:rsidR="00961DFC" w:rsidRPr="00AB3364">
        <w:rPr>
          <w:rFonts w:asciiTheme="minorHAnsi" w:hAnsiTheme="minorHAnsi" w:cstheme="minorHAnsi"/>
          <w:b/>
          <w:bCs/>
          <w:sz w:val="24"/>
          <w:szCs w:val="24"/>
        </w:rPr>
        <w:t>. shRNA-mediated depletion of ERBBs</w:t>
      </w:r>
    </w:p>
    <w:p w:rsidR="00961DFC" w:rsidRPr="00AB3364" w:rsidRDefault="00961DFC" w:rsidP="00961DFC">
      <w:pPr>
        <w:pStyle w:val="Normal1"/>
        <w:rPr>
          <w:rFonts w:asciiTheme="minorHAnsi" w:hAnsiTheme="minorHAnsi" w:cstheme="minorHAnsi"/>
          <w:b/>
          <w:sz w:val="24"/>
          <w:szCs w:val="24"/>
        </w:rPr>
      </w:pPr>
    </w:p>
    <w:p w:rsidR="00961DFC" w:rsidRPr="00AB3364" w:rsidRDefault="00961DFC" w:rsidP="00961DFC">
      <w:pPr>
        <w:pStyle w:val="Normal1"/>
        <w:rPr>
          <w:rFonts w:asciiTheme="minorHAnsi" w:hAnsiTheme="minorHAnsi" w:cstheme="minorHAnsi"/>
          <w:b/>
          <w:sz w:val="24"/>
          <w:szCs w:val="24"/>
        </w:rPr>
      </w:pPr>
      <w:r w:rsidRPr="00AB3364">
        <w:rPr>
          <w:rFonts w:asciiTheme="minorHAnsi" w:hAnsiTheme="minorHAnsi" w:cstheme="minorHAnsi"/>
          <w:noProof/>
          <w:szCs w:val="24"/>
        </w:rPr>
        <w:drawing>
          <wp:anchor distT="0" distB="0" distL="114300" distR="114300" simplePos="0" relativeHeight="251668480" behindDoc="0" locked="0" layoutInCell="1" allowOverlap="1" wp14:anchorId="7D918A4A" wp14:editId="53732ED2">
            <wp:simplePos x="0" y="0"/>
            <wp:positionH relativeFrom="column">
              <wp:posOffset>0</wp:posOffset>
            </wp:positionH>
            <wp:positionV relativeFrom="paragraph">
              <wp:posOffset>0</wp:posOffset>
            </wp:positionV>
            <wp:extent cx="4967605" cy="8221980"/>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4967605" cy="8221980"/>
                    </a:xfrm>
                    <a:prstGeom prst="rect">
                      <a:avLst/>
                    </a:prstGeom>
                    <a:noFill/>
                    <a:ln w="9525">
                      <a:noFill/>
                      <a:miter lim="800000"/>
                      <a:headEnd/>
                      <a:tailEnd/>
                    </a:ln>
                  </pic:spPr>
                </pic:pic>
              </a:graphicData>
            </a:graphic>
          </wp:anchor>
        </w:drawing>
      </w:r>
    </w:p>
    <w:p w:rsidR="00961DFC" w:rsidRPr="00AB3364" w:rsidRDefault="00961DFC" w:rsidP="00961DFC">
      <w:pPr>
        <w:pStyle w:val="Normal1"/>
        <w:jc w:val="center"/>
        <w:rPr>
          <w:rFonts w:asciiTheme="minorHAnsi" w:hAnsiTheme="minorHAnsi" w:cstheme="minorHAnsi"/>
          <w:b/>
          <w:sz w:val="24"/>
          <w:szCs w:val="24"/>
        </w:rPr>
      </w:pPr>
    </w:p>
    <w:p w:rsidR="00961DFC" w:rsidRPr="00AB3364" w:rsidRDefault="00961DFC" w:rsidP="00961DFC">
      <w:pPr>
        <w:pStyle w:val="Normal1"/>
        <w:jc w:val="center"/>
        <w:rPr>
          <w:rFonts w:asciiTheme="minorHAnsi" w:hAnsiTheme="minorHAnsi" w:cstheme="minorHAnsi"/>
          <w:b/>
          <w:sz w:val="24"/>
          <w:szCs w:val="24"/>
        </w:rPr>
      </w:pPr>
    </w:p>
    <w:p w:rsidR="00961DFC" w:rsidRPr="00AB3364" w:rsidRDefault="00961DFC" w:rsidP="00961DFC">
      <w:pPr>
        <w:rPr>
          <w:rFonts w:asciiTheme="minorHAnsi" w:hAnsiTheme="minorHAnsi" w:cstheme="minorHAnsi"/>
          <w:b/>
          <w:sz w:val="24"/>
          <w:szCs w:val="24"/>
        </w:rPr>
      </w:pPr>
      <w:r w:rsidRPr="00AB3364">
        <w:rPr>
          <w:rFonts w:asciiTheme="minorHAnsi" w:hAnsiTheme="minorHAnsi" w:cstheme="minorHAnsi"/>
          <w:b/>
          <w:sz w:val="24"/>
          <w:szCs w:val="24"/>
        </w:rPr>
        <w:br w:type="page"/>
      </w:r>
    </w:p>
    <w:p w:rsidR="00961DFC" w:rsidRDefault="0056010A" w:rsidP="00ED1E2D">
      <w:pPr>
        <w:spacing w:line="480" w:lineRule="auto"/>
        <w:rPr>
          <w:rFonts w:asciiTheme="minorHAnsi" w:hAnsiTheme="minorHAnsi" w:cstheme="minorHAnsi"/>
          <w:sz w:val="24"/>
          <w:szCs w:val="24"/>
        </w:rPr>
      </w:pPr>
      <w:r w:rsidRPr="00AB3364">
        <w:rPr>
          <w:rFonts w:asciiTheme="minorHAnsi" w:hAnsiTheme="minorHAnsi" w:cstheme="minorHAnsi"/>
          <w:sz w:val="24"/>
          <w:szCs w:val="24"/>
        </w:rPr>
        <w:t xml:space="preserve"> </w:t>
      </w:r>
    </w:p>
    <w:p w:rsidR="0056010A" w:rsidRPr="00ED1E2D" w:rsidRDefault="0056010A" w:rsidP="00ED1E2D">
      <w:pPr>
        <w:spacing w:line="480" w:lineRule="auto"/>
        <w:rPr>
          <w:rFonts w:asciiTheme="minorHAnsi" w:hAnsiTheme="minorHAnsi" w:cstheme="minorHAnsi"/>
          <w:b/>
          <w:bCs/>
          <w:sz w:val="24"/>
          <w:szCs w:val="24"/>
        </w:rPr>
      </w:pPr>
      <w:r w:rsidRPr="00AB3364">
        <w:rPr>
          <w:rFonts w:asciiTheme="minorHAnsi" w:hAnsiTheme="minorHAnsi" w:cstheme="minorHAnsi"/>
          <w:b/>
          <w:bCs/>
          <w:sz w:val="24"/>
          <w:szCs w:val="24"/>
        </w:rPr>
        <w:t xml:space="preserve">Figure S5. </w:t>
      </w:r>
      <w:r w:rsidRPr="00AB3364">
        <w:rPr>
          <w:rFonts w:asciiTheme="minorHAnsi" w:hAnsiTheme="minorHAnsi" w:cstheme="minorHAnsi"/>
          <w:b/>
          <w:bCs/>
          <w:iCs/>
          <w:sz w:val="24"/>
          <w:szCs w:val="24"/>
        </w:rPr>
        <w:t>In vivo</w:t>
      </w:r>
      <w:r w:rsidRPr="00AB3364">
        <w:rPr>
          <w:rFonts w:asciiTheme="minorHAnsi" w:hAnsiTheme="minorHAnsi" w:cstheme="minorHAnsi"/>
          <w:b/>
          <w:bCs/>
          <w:sz w:val="24"/>
          <w:szCs w:val="24"/>
        </w:rPr>
        <w:t xml:space="preserve"> growth inhibition elicited by </w:t>
      </w:r>
      <w:proofErr w:type="spellStart"/>
      <w:r w:rsidRPr="00AB3364">
        <w:rPr>
          <w:rFonts w:asciiTheme="minorHAnsi" w:hAnsiTheme="minorHAnsi" w:cstheme="minorHAnsi"/>
          <w:b/>
          <w:bCs/>
          <w:sz w:val="24"/>
          <w:szCs w:val="24"/>
        </w:rPr>
        <w:t>afatinib</w:t>
      </w:r>
      <w:proofErr w:type="spellEnd"/>
      <w:r w:rsidRPr="00AB3364">
        <w:rPr>
          <w:rFonts w:asciiTheme="minorHAnsi" w:hAnsiTheme="minorHAnsi" w:cstheme="minorHAnsi"/>
          <w:b/>
          <w:bCs/>
          <w:sz w:val="24"/>
          <w:szCs w:val="24"/>
        </w:rPr>
        <w:t xml:space="preserve"> and GSK2849330 in a </w:t>
      </w:r>
      <w:r w:rsidRPr="00AB3364">
        <w:rPr>
          <w:rFonts w:asciiTheme="minorHAnsi" w:hAnsiTheme="minorHAnsi" w:cstheme="minorHAnsi"/>
          <w:b/>
          <w:bCs/>
          <w:i/>
          <w:sz w:val="24"/>
          <w:szCs w:val="24"/>
        </w:rPr>
        <w:t>CLU-NRG1</w:t>
      </w:r>
      <w:r w:rsidRPr="00AB3364">
        <w:rPr>
          <w:rFonts w:asciiTheme="minorHAnsi" w:hAnsiTheme="minorHAnsi" w:cstheme="minorHAnsi"/>
          <w:b/>
          <w:bCs/>
          <w:sz w:val="24"/>
          <w:szCs w:val="24"/>
        </w:rPr>
        <w:t>-rearranged patient-derived xenograft (PDX) mouse model.</w:t>
      </w:r>
    </w:p>
    <w:p w:rsidR="0056010A" w:rsidRPr="0033266C" w:rsidRDefault="0056010A" w:rsidP="0033266C">
      <w:pPr>
        <w:rPr>
          <w:rFonts w:asciiTheme="minorHAnsi" w:hAnsiTheme="minorHAnsi" w:cstheme="minorHAnsi"/>
          <w:b/>
          <w:bCs/>
          <w:i/>
          <w:iCs/>
          <w:sz w:val="24"/>
          <w:szCs w:val="24"/>
        </w:rPr>
      </w:pPr>
      <w:r w:rsidRPr="00AB3364">
        <w:rPr>
          <w:rFonts w:asciiTheme="minorHAnsi" w:hAnsiTheme="minorHAnsi" w:cstheme="minorHAnsi"/>
          <w:noProof/>
          <w:szCs w:val="24"/>
        </w:rPr>
        <w:drawing>
          <wp:anchor distT="0" distB="0" distL="114300" distR="114300" simplePos="0" relativeHeight="251666432" behindDoc="0" locked="0" layoutInCell="1" allowOverlap="1" wp14:anchorId="7D685AD3" wp14:editId="277141B9">
            <wp:simplePos x="0" y="0"/>
            <wp:positionH relativeFrom="column">
              <wp:posOffset>0</wp:posOffset>
            </wp:positionH>
            <wp:positionV relativeFrom="paragraph">
              <wp:posOffset>0</wp:posOffset>
            </wp:positionV>
            <wp:extent cx="5938520" cy="7397750"/>
            <wp:effectExtent l="19050" t="0" r="5080" b="0"/>
            <wp:wrapNone/>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938520" cy="7397750"/>
                    </a:xfrm>
                    <a:prstGeom prst="rect">
                      <a:avLst/>
                    </a:prstGeom>
                    <a:noFill/>
                    <a:ln w="9525">
                      <a:noFill/>
                      <a:miter lim="800000"/>
                      <a:headEnd/>
                      <a:tailEnd/>
                    </a:ln>
                  </pic:spPr>
                </pic:pic>
              </a:graphicData>
            </a:graphic>
          </wp:anchor>
        </w:drawing>
      </w:r>
    </w:p>
    <w:sectPr w:rsidR="0056010A" w:rsidRPr="0033266C" w:rsidSect="00A20B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550A49"/>
    <w:multiLevelType w:val="multilevel"/>
    <w:tmpl w:val="3A843B62"/>
    <w:lvl w:ilvl="0">
      <w:start w:val="1"/>
      <w:numFmt w:val="bullet"/>
      <w:lvlText w:val="●"/>
      <w:lvlJc w:val="left"/>
      <w:pPr>
        <w:ind w:left="720" w:firstLine="360"/>
      </w:pPr>
      <w:rPr>
        <w:rFonts w:ascii="Arial" w:eastAsia="Arial" w:hAnsi="Arial" w:cs="Arial"/>
        <w:sz w:val="21"/>
        <w:szCs w:val="21"/>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docVars>
    <w:docVar w:name="EN.InstantFormat" w:val="&lt;ENInstantFormat&gt;&lt;Enabled&gt;1&lt;/Enabled&gt;&lt;ScanUnformatted&gt;1&lt;/ScanUnformatted&gt;&lt;ScanChanges&gt;1&lt;/ScanChanges&gt;&lt;Suspended&gt;1&lt;/Suspended&gt;&lt;/ENInstantFormat&gt;"/>
  </w:docVars>
  <w:rsids>
    <w:rsidRoot w:val="0056010A"/>
    <w:rsid w:val="0033266C"/>
    <w:rsid w:val="00424512"/>
    <w:rsid w:val="0056010A"/>
    <w:rsid w:val="005F05B9"/>
    <w:rsid w:val="008B6DEE"/>
    <w:rsid w:val="00927511"/>
    <w:rsid w:val="00961DFC"/>
    <w:rsid w:val="00BB4015"/>
    <w:rsid w:val="00D07239"/>
    <w:rsid w:val="00ED1E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80489"/>
  <w15:chartTrackingRefBased/>
  <w15:docId w15:val="{8D02189D-0CD5-4C55-984A-AA2C0DF3B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010A"/>
    <w:pPr>
      <w:spacing w:after="0"/>
    </w:pPr>
    <w:rPr>
      <w:rFonts w:ascii="Arial" w:eastAsia="Arial" w:hAnsi="Arial" w:cs="Arial"/>
      <w:color w:val="000000"/>
    </w:rPr>
  </w:style>
  <w:style w:type="paragraph" w:styleId="Heading1">
    <w:name w:val="heading 1"/>
    <w:basedOn w:val="Normal1"/>
    <w:next w:val="Normal1"/>
    <w:link w:val="Heading1Char"/>
    <w:rsid w:val="0056010A"/>
    <w:pPr>
      <w:keepNext/>
      <w:keepLines/>
      <w:spacing w:before="400" w:after="120"/>
      <w:contextualSpacing/>
      <w:outlineLvl w:val="0"/>
    </w:pPr>
    <w:rPr>
      <w:sz w:val="40"/>
      <w:szCs w:val="40"/>
    </w:rPr>
  </w:style>
  <w:style w:type="paragraph" w:styleId="Heading2">
    <w:name w:val="heading 2"/>
    <w:basedOn w:val="Normal1"/>
    <w:next w:val="Normal1"/>
    <w:link w:val="Heading2Char"/>
    <w:rsid w:val="0056010A"/>
    <w:pPr>
      <w:keepNext/>
      <w:keepLines/>
      <w:spacing w:before="360" w:after="120"/>
      <w:contextualSpacing/>
      <w:outlineLvl w:val="1"/>
    </w:pPr>
    <w:rPr>
      <w:sz w:val="32"/>
      <w:szCs w:val="32"/>
    </w:rPr>
  </w:style>
  <w:style w:type="paragraph" w:styleId="Heading3">
    <w:name w:val="heading 3"/>
    <w:basedOn w:val="Normal1"/>
    <w:next w:val="Normal1"/>
    <w:link w:val="Heading3Char"/>
    <w:rsid w:val="0056010A"/>
    <w:pPr>
      <w:keepNext/>
      <w:keepLines/>
      <w:spacing w:before="320" w:after="80"/>
      <w:contextualSpacing/>
      <w:outlineLvl w:val="2"/>
    </w:pPr>
    <w:rPr>
      <w:color w:val="434343"/>
      <w:sz w:val="28"/>
      <w:szCs w:val="28"/>
    </w:rPr>
  </w:style>
  <w:style w:type="paragraph" w:styleId="Heading4">
    <w:name w:val="heading 4"/>
    <w:basedOn w:val="Normal1"/>
    <w:next w:val="Normal1"/>
    <w:link w:val="Heading4Char"/>
    <w:rsid w:val="0056010A"/>
    <w:pPr>
      <w:keepNext/>
      <w:keepLines/>
      <w:spacing w:before="280" w:after="80"/>
      <w:contextualSpacing/>
      <w:outlineLvl w:val="3"/>
    </w:pPr>
    <w:rPr>
      <w:color w:val="666666"/>
      <w:sz w:val="24"/>
      <w:szCs w:val="24"/>
    </w:rPr>
  </w:style>
  <w:style w:type="paragraph" w:styleId="Heading5">
    <w:name w:val="heading 5"/>
    <w:basedOn w:val="Normal1"/>
    <w:next w:val="Normal1"/>
    <w:link w:val="Heading5Char"/>
    <w:rsid w:val="0056010A"/>
    <w:pPr>
      <w:keepNext/>
      <w:keepLines/>
      <w:spacing w:before="240" w:after="80"/>
      <w:contextualSpacing/>
      <w:outlineLvl w:val="4"/>
    </w:pPr>
    <w:rPr>
      <w:color w:val="666666"/>
    </w:rPr>
  </w:style>
  <w:style w:type="paragraph" w:styleId="Heading6">
    <w:name w:val="heading 6"/>
    <w:basedOn w:val="Normal1"/>
    <w:next w:val="Normal1"/>
    <w:link w:val="Heading6Char"/>
    <w:rsid w:val="0056010A"/>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6010A"/>
    <w:rPr>
      <w:rFonts w:ascii="Arial" w:eastAsia="Arial" w:hAnsi="Arial" w:cs="Arial"/>
      <w:color w:val="000000"/>
      <w:sz w:val="40"/>
      <w:szCs w:val="40"/>
    </w:rPr>
  </w:style>
  <w:style w:type="character" w:customStyle="1" w:styleId="Heading2Char">
    <w:name w:val="Heading 2 Char"/>
    <w:basedOn w:val="DefaultParagraphFont"/>
    <w:link w:val="Heading2"/>
    <w:rsid w:val="0056010A"/>
    <w:rPr>
      <w:rFonts w:ascii="Arial" w:eastAsia="Arial" w:hAnsi="Arial" w:cs="Arial"/>
      <w:color w:val="000000"/>
      <w:sz w:val="32"/>
      <w:szCs w:val="32"/>
    </w:rPr>
  </w:style>
  <w:style w:type="character" w:customStyle="1" w:styleId="Heading3Char">
    <w:name w:val="Heading 3 Char"/>
    <w:basedOn w:val="DefaultParagraphFont"/>
    <w:link w:val="Heading3"/>
    <w:rsid w:val="0056010A"/>
    <w:rPr>
      <w:rFonts w:ascii="Arial" w:eastAsia="Arial" w:hAnsi="Arial" w:cs="Arial"/>
      <w:color w:val="434343"/>
      <w:sz w:val="28"/>
      <w:szCs w:val="28"/>
    </w:rPr>
  </w:style>
  <w:style w:type="character" w:customStyle="1" w:styleId="Heading4Char">
    <w:name w:val="Heading 4 Char"/>
    <w:basedOn w:val="DefaultParagraphFont"/>
    <w:link w:val="Heading4"/>
    <w:rsid w:val="0056010A"/>
    <w:rPr>
      <w:rFonts w:ascii="Arial" w:eastAsia="Arial" w:hAnsi="Arial" w:cs="Arial"/>
      <w:color w:val="666666"/>
      <w:sz w:val="24"/>
      <w:szCs w:val="24"/>
    </w:rPr>
  </w:style>
  <w:style w:type="character" w:customStyle="1" w:styleId="Heading5Char">
    <w:name w:val="Heading 5 Char"/>
    <w:basedOn w:val="DefaultParagraphFont"/>
    <w:link w:val="Heading5"/>
    <w:rsid w:val="0056010A"/>
    <w:rPr>
      <w:rFonts w:ascii="Arial" w:eastAsia="Arial" w:hAnsi="Arial" w:cs="Arial"/>
      <w:color w:val="666666"/>
    </w:rPr>
  </w:style>
  <w:style w:type="character" w:customStyle="1" w:styleId="Heading6Char">
    <w:name w:val="Heading 6 Char"/>
    <w:basedOn w:val="DefaultParagraphFont"/>
    <w:link w:val="Heading6"/>
    <w:rsid w:val="0056010A"/>
    <w:rPr>
      <w:rFonts w:ascii="Arial" w:eastAsia="Arial" w:hAnsi="Arial" w:cs="Arial"/>
      <w:i/>
      <w:color w:val="666666"/>
    </w:rPr>
  </w:style>
  <w:style w:type="paragraph" w:customStyle="1" w:styleId="Normal1">
    <w:name w:val="Normal1"/>
    <w:link w:val="normalChar"/>
    <w:rsid w:val="0056010A"/>
    <w:pPr>
      <w:spacing w:after="0"/>
    </w:pPr>
    <w:rPr>
      <w:rFonts w:ascii="Arial" w:eastAsia="Arial" w:hAnsi="Arial" w:cs="Arial"/>
      <w:color w:val="000000"/>
    </w:rPr>
  </w:style>
  <w:style w:type="paragraph" w:styleId="Title">
    <w:name w:val="Title"/>
    <w:basedOn w:val="Normal1"/>
    <w:next w:val="Normal1"/>
    <w:link w:val="TitleChar"/>
    <w:rsid w:val="0056010A"/>
    <w:pPr>
      <w:keepNext/>
      <w:keepLines/>
      <w:spacing w:after="60"/>
      <w:contextualSpacing/>
    </w:pPr>
    <w:rPr>
      <w:sz w:val="52"/>
      <w:szCs w:val="52"/>
    </w:rPr>
  </w:style>
  <w:style w:type="character" w:customStyle="1" w:styleId="TitleChar">
    <w:name w:val="Title Char"/>
    <w:basedOn w:val="DefaultParagraphFont"/>
    <w:link w:val="Title"/>
    <w:rsid w:val="0056010A"/>
    <w:rPr>
      <w:rFonts w:ascii="Arial" w:eastAsia="Arial" w:hAnsi="Arial" w:cs="Arial"/>
      <w:color w:val="000000"/>
      <w:sz w:val="52"/>
      <w:szCs w:val="52"/>
    </w:rPr>
  </w:style>
  <w:style w:type="paragraph" w:styleId="Subtitle">
    <w:name w:val="Subtitle"/>
    <w:basedOn w:val="Normal1"/>
    <w:next w:val="Normal1"/>
    <w:link w:val="SubtitleChar"/>
    <w:rsid w:val="0056010A"/>
    <w:pPr>
      <w:keepNext/>
      <w:keepLines/>
      <w:spacing w:after="320"/>
      <w:contextualSpacing/>
    </w:pPr>
    <w:rPr>
      <w:color w:val="666666"/>
      <w:sz w:val="30"/>
      <w:szCs w:val="30"/>
    </w:rPr>
  </w:style>
  <w:style w:type="character" w:customStyle="1" w:styleId="SubtitleChar">
    <w:name w:val="Subtitle Char"/>
    <w:basedOn w:val="DefaultParagraphFont"/>
    <w:link w:val="Subtitle"/>
    <w:rsid w:val="0056010A"/>
    <w:rPr>
      <w:rFonts w:ascii="Arial" w:eastAsia="Arial" w:hAnsi="Arial" w:cs="Arial"/>
      <w:color w:val="666666"/>
      <w:sz w:val="30"/>
      <w:szCs w:val="30"/>
    </w:rPr>
  </w:style>
  <w:style w:type="paragraph" w:styleId="CommentText">
    <w:name w:val="annotation text"/>
    <w:basedOn w:val="Normal"/>
    <w:link w:val="CommentTextChar"/>
    <w:uiPriority w:val="99"/>
    <w:semiHidden/>
    <w:unhideWhenUsed/>
    <w:rsid w:val="0056010A"/>
    <w:pPr>
      <w:spacing w:line="240" w:lineRule="auto"/>
    </w:pPr>
    <w:rPr>
      <w:sz w:val="20"/>
      <w:szCs w:val="20"/>
    </w:rPr>
  </w:style>
  <w:style w:type="character" w:customStyle="1" w:styleId="CommentTextChar">
    <w:name w:val="Comment Text Char"/>
    <w:basedOn w:val="DefaultParagraphFont"/>
    <w:link w:val="CommentText"/>
    <w:uiPriority w:val="99"/>
    <w:semiHidden/>
    <w:rsid w:val="0056010A"/>
    <w:rPr>
      <w:rFonts w:ascii="Arial" w:eastAsia="Arial" w:hAnsi="Arial" w:cs="Arial"/>
      <w:color w:val="000000"/>
      <w:sz w:val="20"/>
      <w:szCs w:val="20"/>
    </w:rPr>
  </w:style>
  <w:style w:type="character" w:styleId="CommentReference">
    <w:name w:val="annotation reference"/>
    <w:basedOn w:val="DefaultParagraphFont"/>
    <w:uiPriority w:val="99"/>
    <w:semiHidden/>
    <w:unhideWhenUsed/>
    <w:rsid w:val="0056010A"/>
    <w:rPr>
      <w:sz w:val="16"/>
      <w:szCs w:val="16"/>
    </w:rPr>
  </w:style>
  <w:style w:type="paragraph" w:styleId="BalloonText">
    <w:name w:val="Balloon Text"/>
    <w:basedOn w:val="Normal"/>
    <w:link w:val="BalloonTextChar"/>
    <w:uiPriority w:val="99"/>
    <w:semiHidden/>
    <w:unhideWhenUsed/>
    <w:rsid w:val="0056010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10A"/>
    <w:rPr>
      <w:rFonts w:ascii="Tahoma" w:eastAsia="Arial" w:hAnsi="Tahoma" w:cs="Tahoma"/>
      <w:color w:val="000000"/>
      <w:sz w:val="16"/>
      <w:szCs w:val="16"/>
    </w:rPr>
  </w:style>
  <w:style w:type="paragraph" w:customStyle="1" w:styleId="EndNoteBibliographyTitle">
    <w:name w:val="EndNote Bibliography Title"/>
    <w:basedOn w:val="Normal"/>
    <w:link w:val="EndNoteBibliographyTitleChar"/>
    <w:rsid w:val="0056010A"/>
    <w:pPr>
      <w:jc w:val="center"/>
    </w:pPr>
    <w:rPr>
      <w:noProof/>
    </w:rPr>
  </w:style>
  <w:style w:type="character" w:customStyle="1" w:styleId="normalChar">
    <w:name w:val="normal Char"/>
    <w:basedOn w:val="DefaultParagraphFont"/>
    <w:link w:val="Normal1"/>
    <w:rsid w:val="0056010A"/>
    <w:rPr>
      <w:rFonts w:ascii="Arial" w:eastAsia="Arial" w:hAnsi="Arial" w:cs="Arial"/>
      <w:color w:val="000000"/>
    </w:rPr>
  </w:style>
  <w:style w:type="character" w:customStyle="1" w:styleId="EndNoteBibliographyTitleChar">
    <w:name w:val="EndNote Bibliography Title Char"/>
    <w:basedOn w:val="normalChar"/>
    <w:link w:val="EndNoteBibliographyTitle"/>
    <w:rsid w:val="0056010A"/>
    <w:rPr>
      <w:rFonts w:ascii="Arial" w:eastAsia="Arial" w:hAnsi="Arial" w:cs="Arial"/>
      <w:noProof/>
      <w:color w:val="000000"/>
    </w:rPr>
  </w:style>
  <w:style w:type="paragraph" w:customStyle="1" w:styleId="EndNoteBibliography">
    <w:name w:val="EndNote Bibliography"/>
    <w:basedOn w:val="Normal"/>
    <w:link w:val="EndNoteBibliographyChar"/>
    <w:rsid w:val="0056010A"/>
    <w:pPr>
      <w:spacing w:line="240" w:lineRule="auto"/>
    </w:pPr>
    <w:rPr>
      <w:noProof/>
    </w:rPr>
  </w:style>
  <w:style w:type="character" w:customStyle="1" w:styleId="EndNoteBibliographyChar">
    <w:name w:val="EndNote Bibliography Char"/>
    <w:basedOn w:val="normalChar"/>
    <w:link w:val="EndNoteBibliography"/>
    <w:rsid w:val="0056010A"/>
    <w:rPr>
      <w:rFonts w:ascii="Arial" w:eastAsia="Arial" w:hAnsi="Arial" w:cs="Arial"/>
      <w:noProof/>
      <w:color w:val="000000"/>
    </w:rPr>
  </w:style>
  <w:style w:type="paragraph" w:styleId="CommentSubject">
    <w:name w:val="annotation subject"/>
    <w:basedOn w:val="CommentText"/>
    <w:next w:val="CommentText"/>
    <w:link w:val="CommentSubjectChar"/>
    <w:uiPriority w:val="99"/>
    <w:semiHidden/>
    <w:unhideWhenUsed/>
    <w:rsid w:val="0056010A"/>
    <w:rPr>
      <w:b/>
      <w:bCs/>
    </w:rPr>
  </w:style>
  <w:style w:type="character" w:customStyle="1" w:styleId="CommentSubjectChar">
    <w:name w:val="Comment Subject Char"/>
    <w:basedOn w:val="CommentTextChar"/>
    <w:link w:val="CommentSubject"/>
    <w:uiPriority w:val="99"/>
    <w:semiHidden/>
    <w:rsid w:val="0056010A"/>
    <w:rPr>
      <w:rFonts w:ascii="Arial" w:eastAsia="Arial" w:hAnsi="Arial" w:cs="Arial"/>
      <w:b/>
      <w:bCs/>
      <w:color w:val="000000"/>
      <w:sz w:val="20"/>
      <w:szCs w:val="20"/>
    </w:rPr>
  </w:style>
  <w:style w:type="paragraph" w:styleId="Revision">
    <w:name w:val="Revision"/>
    <w:hidden/>
    <w:uiPriority w:val="99"/>
    <w:semiHidden/>
    <w:rsid w:val="0056010A"/>
    <w:pPr>
      <w:spacing w:after="0" w:line="240" w:lineRule="auto"/>
    </w:pPr>
    <w:rPr>
      <w:rFonts w:ascii="Arial" w:eastAsia="Arial" w:hAnsi="Arial" w:cs="Arial"/>
      <w:color w:val="000000"/>
    </w:rPr>
  </w:style>
  <w:style w:type="paragraph" w:customStyle="1" w:styleId="Normal10">
    <w:name w:val="Normal10"/>
    <w:rsid w:val="0056010A"/>
    <w:pPr>
      <w:spacing w:after="0"/>
    </w:pPr>
    <w:rPr>
      <w:rFonts w:ascii="Arial" w:eastAsia="Arial" w:hAnsi="Arial" w:cs="Arial"/>
      <w:color w:val="000000"/>
    </w:rPr>
  </w:style>
  <w:style w:type="paragraph" w:styleId="Header">
    <w:name w:val="header"/>
    <w:basedOn w:val="Normal"/>
    <w:link w:val="HeaderChar"/>
    <w:uiPriority w:val="99"/>
    <w:unhideWhenUsed/>
    <w:rsid w:val="0056010A"/>
    <w:pPr>
      <w:tabs>
        <w:tab w:val="center" w:pos="4680"/>
        <w:tab w:val="right" w:pos="9360"/>
      </w:tabs>
      <w:spacing w:line="240" w:lineRule="auto"/>
    </w:pPr>
  </w:style>
  <w:style w:type="character" w:customStyle="1" w:styleId="HeaderChar">
    <w:name w:val="Header Char"/>
    <w:basedOn w:val="DefaultParagraphFont"/>
    <w:link w:val="Header"/>
    <w:uiPriority w:val="99"/>
    <w:rsid w:val="0056010A"/>
    <w:rPr>
      <w:rFonts w:ascii="Arial" w:eastAsia="Arial" w:hAnsi="Arial" w:cs="Arial"/>
      <w:color w:val="000000"/>
    </w:rPr>
  </w:style>
  <w:style w:type="paragraph" w:styleId="Footer">
    <w:name w:val="footer"/>
    <w:basedOn w:val="Normal"/>
    <w:link w:val="FooterChar"/>
    <w:uiPriority w:val="99"/>
    <w:unhideWhenUsed/>
    <w:rsid w:val="0056010A"/>
    <w:pPr>
      <w:tabs>
        <w:tab w:val="center" w:pos="4680"/>
        <w:tab w:val="right" w:pos="9360"/>
      </w:tabs>
      <w:spacing w:line="240" w:lineRule="auto"/>
    </w:pPr>
  </w:style>
  <w:style w:type="character" w:customStyle="1" w:styleId="FooterChar">
    <w:name w:val="Footer Char"/>
    <w:basedOn w:val="DefaultParagraphFont"/>
    <w:link w:val="Footer"/>
    <w:uiPriority w:val="99"/>
    <w:rsid w:val="0056010A"/>
    <w:rPr>
      <w:rFonts w:ascii="Arial" w:eastAsia="Arial" w:hAnsi="Arial" w:cs="Arial"/>
      <w:color w:val="000000"/>
    </w:rPr>
  </w:style>
  <w:style w:type="character" w:customStyle="1" w:styleId="apple-converted-space">
    <w:name w:val="apple-converted-space"/>
    <w:basedOn w:val="DefaultParagraphFont"/>
    <w:rsid w:val="0056010A"/>
  </w:style>
  <w:style w:type="character" w:styleId="Hyperlink">
    <w:name w:val="Hyperlink"/>
    <w:basedOn w:val="DefaultParagraphFont"/>
    <w:uiPriority w:val="99"/>
    <w:unhideWhenUsed/>
    <w:rsid w:val="0056010A"/>
    <w:rPr>
      <w:color w:val="0000FF" w:themeColor="hyperlink"/>
      <w:u w:val="single"/>
    </w:rPr>
  </w:style>
  <w:style w:type="table" w:styleId="TableGrid">
    <w:name w:val="Table Grid"/>
    <w:basedOn w:val="TableNormal"/>
    <w:uiPriority w:val="59"/>
    <w:rsid w:val="0056010A"/>
    <w:pPr>
      <w:spacing w:after="0" w:line="240" w:lineRule="auto"/>
    </w:pPr>
    <w:rPr>
      <w:rFonts w:ascii="Arial" w:eastAsia="Arial" w:hAnsi="Arial" w:cs="Arial"/>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56010A"/>
    <w:pPr>
      <w:spacing w:after="0" w:line="240" w:lineRule="auto"/>
    </w:pPr>
    <w:rPr>
      <w:rFonts w:ascii="Arial" w:eastAsia="Arial" w:hAnsi="Arial" w:cs="Arial"/>
      <w:color w:val="00000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10</Pages>
  <Words>578</Words>
  <Characters>3297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MSKCC</Company>
  <LinksUpToDate>false</LinksUpToDate>
  <CharactersWithSpaces>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Drilon, Alexander E./Medicine</dc:creator>
  <cp:keywords/>
  <dc:description/>
  <cp:lastModifiedBy>Drilon, Alexander E./Medicine</cp:lastModifiedBy>
  <cp:revision>4</cp:revision>
  <cp:lastPrinted>2018-03-23T22:19:00Z</cp:lastPrinted>
  <dcterms:created xsi:type="dcterms:W3CDTF">2018-03-07T22:05:00Z</dcterms:created>
  <dcterms:modified xsi:type="dcterms:W3CDTF">2018-03-23T22:25:00Z</dcterms:modified>
</cp:coreProperties>
</file>