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0A" w:rsidRPr="00AB3364" w:rsidRDefault="0056010A" w:rsidP="00285A4D">
      <w:pPr>
        <w:rPr>
          <w:rFonts w:asciiTheme="minorHAnsi" w:hAnsiTheme="minorHAnsi" w:cstheme="minorHAnsi"/>
          <w:b/>
          <w:bCs/>
          <w:sz w:val="24"/>
          <w:szCs w:val="24"/>
        </w:rPr>
      </w:pPr>
      <w:r w:rsidRPr="00AB3364">
        <w:rPr>
          <w:rFonts w:asciiTheme="minorHAnsi" w:hAnsiTheme="minorHAnsi" w:cstheme="minorHAnsi"/>
          <w:b/>
          <w:bCs/>
          <w:sz w:val="24"/>
          <w:szCs w:val="24"/>
        </w:rPr>
        <w:t xml:space="preserve">Table S1. </w:t>
      </w:r>
      <w:r w:rsidRPr="00AB3364">
        <w:rPr>
          <w:rFonts w:asciiTheme="minorHAnsi" w:hAnsiTheme="minorHAnsi" w:cstheme="minorHAnsi"/>
          <w:b/>
          <w:sz w:val="24"/>
          <w:szCs w:val="24"/>
        </w:rPr>
        <w:t xml:space="preserve">Clinicopathologic and molecular histories of patients with </w:t>
      </w:r>
      <w:r w:rsidRPr="00AB3364">
        <w:rPr>
          <w:rFonts w:asciiTheme="minorHAnsi" w:hAnsiTheme="minorHAnsi" w:cstheme="minorHAnsi"/>
          <w:b/>
          <w:i/>
          <w:iCs/>
          <w:sz w:val="24"/>
          <w:szCs w:val="24"/>
        </w:rPr>
        <w:t>NRG1</w:t>
      </w:r>
      <w:r w:rsidRPr="00AB3364">
        <w:rPr>
          <w:rFonts w:asciiTheme="minorHAnsi" w:hAnsiTheme="minorHAnsi" w:cstheme="minorHAnsi"/>
          <w:b/>
          <w:sz w:val="24"/>
          <w:szCs w:val="24"/>
        </w:rPr>
        <w:t xml:space="preserve">-rearranged lung cancers that did not respond to </w:t>
      </w:r>
      <w:proofErr w:type="spellStart"/>
      <w:r w:rsidRPr="00AB3364">
        <w:rPr>
          <w:rFonts w:asciiTheme="minorHAnsi" w:hAnsiTheme="minorHAnsi" w:cstheme="minorHAnsi"/>
          <w:b/>
          <w:sz w:val="24"/>
          <w:szCs w:val="24"/>
        </w:rPr>
        <w:t>afatinib</w:t>
      </w:r>
      <w:proofErr w:type="spellEnd"/>
      <w:r w:rsidRPr="00AB3364">
        <w:rPr>
          <w:rFonts w:asciiTheme="minorHAnsi" w:hAnsiTheme="minorHAnsi" w:cstheme="minorHAnsi"/>
          <w:b/>
          <w:sz w:val="24"/>
          <w:szCs w:val="24"/>
        </w:rPr>
        <w:t>.</w:t>
      </w:r>
      <w:r w:rsidRPr="00AB3364">
        <w:rPr>
          <w:rFonts w:asciiTheme="minorHAnsi" w:hAnsiTheme="minorHAnsi" w:cstheme="minorHAnsi"/>
          <w:sz w:val="24"/>
          <w:szCs w:val="24"/>
        </w:rPr>
        <w:t xml:space="preserve"> Note that these three additional cases are distinct from the patient detailed in Figure 1 who had a durable response to GSK2849330, and on progression of disease received </w:t>
      </w:r>
      <w:proofErr w:type="spellStart"/>
      <w:r w:rsidRPr="00AB3364">
        <w:rPr>
          <w:rFonts w:asciiTheme="minorHAnsi" w:hAnsiTheme="minorHAnsi" w:cstheme="minorHAnsi"/>
          <w:sz w:val="24"/>
          <w:szCs w:val="24"/>
        </w:rPr>
        <w:t>afatinib</w:t>
      </w:r>
      <w:proofErr w:type="spellEnd"/>
      <w:r w:rsidRPr="00AB3364">
        <w:rPr>
          <w:rFonts w:asciiTheme="minorHAnsi" w:hAnsiTheme="minorHAnsi" w:cstheme="minorHAnsi"/>
          <w:sz w:val="24"/>
          <w:szCs w:val="24"/>
        </w:rPr>
        <w:t xml:space="preserve"> without response.</w:t>
      </w:r>
    </w:p>
    <w:p w:rsidR="0056010A" w:rsidRPr="00AB3364" w:rsidRDefault="0056010A" w:rsidP="00285A4D">
      <w:pPr>
        <w:rPr>
          <w:rFonts w:asciiTheme="minorHAnsi" w:hAnsiTheme="minorHAnsi" w:cstheme="minorHAnsi"/>
          <w:b/>
          <w:sz w:val="24"/>
          <w:szCs w:val="24"/>
        </w:rPr>
      </w:pPr>
    </w:p>
    <w:tbl>
      <w:tblPr>
        <w:tblStyle w:val="GridTable4-Accent11"/>
        <w:tblW w:w="0" w:type="auto"/>
        <w:tblLook w:val="04A0" w:firstRow="1" w:lastRow="0" w:firstColumn="1" w:lastColumn="0" w:noHBand="0" w:noVBand="1"/>
      </w:tblPr>
      <w:tblGrid>
        <w:gridCol w:w="5485"/>
        <w:gridCol w:w="3865"/>
      </w:tblGrid>
      <w:tr w:rsidR="0056010A" w:rsidRPr="00AB3364" w:rsidTr="00383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0056010A" w:rsidRPr="00AB3364" w:rsidRDefault="0056010A" w:rsidP="00383D03">
            <w:pPr>
              <w:spacing w:line="276" w:lineRule="auto"/>
              <w:rPr>
                <w:rFonts w:asciiTheme="minorHAnsi" w:hAnsiTheme="minorHAnsi" w:cstheme="minorHAnsi"/>
                <w:b w:val="0"/>
                <w:sz w:val="21"/>
                <w:szCs w:val="21"/>
              </w:rPr>
            </w:pPr>
            <w:r w:rsidRPr="00AB3364">
              <w:rPr>
                <w:rFonts w:asciiTheme="minorHAnsi" w:hAnsiTheme="minorHAnsi" w:cstheme="minorHAnsi"/>
                <w:b w:val="0"/>
                <w:sz w:val="21"/>
                <w:szCs w:val="21"/>
              </w:rPr>
              <w:t>Clinical History</w:t>
            </w:r>
          </w:p>
        </w:tc>
        <w:tc>
          <w:tcPr>
            <w:tcW w:w="3865" w:type="dxa"/>
          </w:tcPr>
          <w:p w:rsidR="0056010A" w:rsidRPr="00AB3364" w:rsidRDefault="0056010A" w:rsidP="00383D0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AB3364">
              <w:rPr>
                <w:rFonts w:asciiTheme="minorHAnsi" w:hAnsiTheme="minorHAnsi" w:cstheme="minorHAnsi"/>
                <w:b w:val="0"/>
                <w:sz w:val="21"/>
                <w:szCs w:val="21"/>
              </w:rPr>
              <w:t>Molecular Profiling</w:t>
            </w:r>
          </w:p>
        </w:tc>
      </w:tr>
      <w:tr w:rsidR="0056010A" w:rsidRPr="00AB3364" w:rsidTr="00383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rsidR="0056010A" w:rsidRPr="00AB3364" w:rsidRDefault="0056010A" w:rsidP="00383D03">
            <w:pPr>
              <w:spacing w:line="276" w:lineRule="auto"/>
              <w:rPr>
                <w:rFonts w:asciiTheme="minorHAnsi" w:hAnsiTheme="minorHAnsi" w:cstheme="minorHAnsi"/>
                <w:b w:val="0"/>
                <w:bCs w:val="0"/>
                <w:sz w:val="21"/>
                <w:szCs w:val="21"/>
              </w:rPr>
            </w:pPr>
            <w:r w:rsidRPr="00AB3364">
              <w:rPr>
                <w:rFonts w:asciiTheme="minorHAnsi" w:hAnsiTheme="minorHAnsi" w:cstheme="minorHAnsi"/>
                <w:b w:val="0"/>
                <w:sz w:val="21"/>
                <w:szCs w:val="21"/>
              </w:rPr>
              <w:t xml:space="preserve">CASE 1. An </w:t>
            </w:r>
            <w:proofErr w:type="gramStart"/>
            <w:r w:rsidRPr="00AB3364">
              <w:rPr>
                <w:rFonts w:asciiTheme="minorHAnsi" w:hAnsiTheme="minorHAnsi" w:cstheme="minorHAnsi"/>
                <w:b w:val="0"/>
                <w:sz w:val="21"/>
                <w:szCs w:val="21"/>
              </w:rPr>
              <w:t>81 year-old</w:t>
            </w:r>
            <w:proofErr w:type="gramEnd"/>
            <w:r w:rsidRPr="00AB3364">
              <w:rPr>
                <w:rFonts w:asciiTheme="minorHAnsi" w:hAnsiTheme="minorHAnsi" w:cstheme="minorHAnsi"/>
                <w:b w:val="0"/>
                <w:sz w:val="21"/>
                <w:szCs w:val="21"/>
              </w:rPr>
              <w:t xml:space="preserve"> man with a history of former cigar use (smoked for 1 year, no history of cigarette smoking) presented with a left lower lobe mass. He underwent a left lower lobectomy and mediastinal lymph node dissection, revealing a pT3N0M0 stage IIB invasive mucinous lung adenocarcinoma. The patient declined adjuvant chemotherapy and was managed with active surveillance. Repeat imaging 15 months after surgical resection revealed recurrent, advanced disease involving the contralateral lung (confirmed on biopsy of a right lung nodule). </w:t>
            </w:r>
            <w:proofErr w:type="spellStart"/>
            <w:r w:rsidRPr="00AB3364">
              <w:rPr>
                <w:rFonts w:asciiTheme="minorHAnsi" w:hAnsiTheme="minorHAnsi" w:cstheme="minorHAnsi"/>
                <w:b w:val="0"/>
                <w:sz w:val="21"/>
                <w:szCs w:val="21"/>
              </w:rPr>
              <w:t>Afatinib</w:t>
            </w:r>
            <w:proofErr w:type="spellEnd"/>
            <w:r w:rsidRPr="00AB3364">
              <w:rPr>
                <w:rFonts w:asciiTheme="minorHAnsi" w:hAnsiTheme="minorHAnsi" w:cstheme="minorHAnsi"/>
                <w:b w:val="0"/>
                <w:sz w:val="21"/>
                <w:szCs w:val="21"/>
              </w:rPr>
              <w:t xml:space="preserve"> administered at 40 mg daily after an </w:t>
            </w:r>
            <w:r w:rsidRPr="00AB3364">
              <w:rPr>
                <w:rFonts w:asciiTheme="minorHAnsi" w:hAnsiTheme="minorHAnsi" w:cstheme="minorHAnsi"/>
                <w:b w:val="0"/>
                <w:i/>
                <w:iCs/>
                <w:sz w:val="21"/>
                <w:szCs w:val="21"/>
              </w:rPr>
              <w:t>NRG1</w:t>
            </w:r>
            <w:r w:rsidRPr="00AB3364">
              <w:rPr>
                <w:rFonts w:asciiTheme="minorHAnsi" w:hAnsiTheme="minorHAnsi" w:cstheme="minorHAnsi"/>
                <w:b w:val="0"/>
                <w:sz w:val="21"/>
                <w:szCs w:val="21"/>
              </w:rPr>
              <w:t xml:space="preserve"> fusion was identified. In contrast to the case above, anti-tumor response to therapy was not achieved. Stable disease (RECIST version 1.1, 7% disease shrinkage) was observed at 6 weeks. Repeat imaging at 13 weeks revealed disease progression with new and growing lung nodules.</w:t>
            </w:r>
          </w:p>
        </w:tc>
        <w:tc>
          <w:tcPr>
            <w:tcW w:w="3865" w:type="dxa"/>
          </w:tcPr>
          <w:p w:rsidR="0056010A" w:rsidRPr="00AB3364" w:rsidRDefault="0056010A" w:rsidP="00383D0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B3364">
              <w:rPr>
                <w:rFonts w:asciiTheme="minorHAnsi" w:hAnsiTheme="minorHAnsi" w:cstheme="minorHAnsi"/>
                <w:sz w:val="21"/>
                <w:szCs w:val="21"/>
              </w:rPr>
              <w:t>Initial molecular profiling by next-generation sequencing (MSK-IMPACT) did not reveal actionable drivers (</w:t>
            </w:r>
            <w:r w:rsidRPr="00AB3364">
              <w:rPr>
                <w:rFonts w:asciiTheme="minorHAnsi" w:hAnsiTheme="minorHAnsi" w:cstheme="minorHAnsi"/>
                <w:i/>
                <w:iCs/>
                <w:sz w:val="21"/>
                <w:szCs w:val="21"/>
              </w:rPr>
              <w:t>FGFR1</w:t>
            </w:r>
            <w:r w:rsidRPr="00AB3364">
              <w:rPr>
                <w:rFonts w:asciiTheme="minorHAnsi" w:hAnsiTheme="minorHAnsi" w:cstheme="minorHAnsi"/>
                <w:sz w:val="21"/>
                <w:szCs w:val="21"/>
              </w:rPr>
              <w:t xml:space="preserve"> amplification and </w:t>
            </w:r>
            <w:r w:rsidRPr="00AB3364">
              <w:rPr>
                <w:rFonts w:asciiTheme="minorHAnsi" w:hAnsiTheme="minorHAnsi" w:cstheme="minorHAnsi"/>
                <w:i/>
                <w:iCs/>
                <w:sz w:val="21"/>
                <w:szCs w:val="21"/>
              </w:rPr>
              <w:t>SMARCA4</w:t>
            </w:r>
            <w:r w:rsidRPr="00AB3364">
              <w:rPr>
                <w:rFonts w:asciiTheme="minorHAnsi" w:hAnsiTheme="minorHAnsi" w:cstheme="minorHAnsi"/>
                <w:sz w:val="21"/>
                <w:szCs w:val="21"/>
              </w:rPr>
              <w:t xml:space="preserve">, </w:t>
            </w:r>
            <w:r w:rsidRPr="00AB3364">
              <w:rPr>
                <w:rFonts w:asciiTheme="minorHAnsi" w:hAnsiTheme="minorHAnsi" w:cstheme="minorHAnsi"/>
                <w:i/>
                <w:iCs/>
                <w:sz w:val="21"/>
                <w:szCs w:val="21"/>
              </w:rPr>
              <w:t>NOTCH3</w:t>
            </w:r>
            <w:r w:rsidRPr="00AB3364">
              <w:rPr>
                <w:rFonts w:asciiTheme="minorHAnsi" w:hAnsiTheme="minorHAnsi" w:cstheme="minorHAnsi"/>
                <w:sz w:val="21"/>
                <w:szCs w:val="21"/>
              </w:rPr>
              <w:t xml:space="preserve">, and </w:t>
            </w:r>
            <w:r w:rsidRPr="00AB3364">
              <w:rPr>
                <w:rFonts w:asciiTheme="minorHAnsi" w:hAnsiTheme="minorHAnsi" w:cstheme="minorHAnsi"/>
                <w:i/>
                <w:iCs/>
                <w:sz w:val="21"/>
                <w:szCs w:val="21"/>
              </w:rPr>
              <w:t>STK11</w:t>
            </w:r>
            <w:r w:rsidRPr="00AB3364">
              <w:rPr>
                <w:rFonts w:asciiTheme="minorHAnsi" w:hAnsiTheme="minorHAnsi" w:cstheme="minorHAnsi"/>
                <w:sz w:val="21"/>
                <w:szCs w:val="21"/>
              </w:rPr>
              <w:t xml:space="preserve"> rearrangements of uncertain significance were identified), and thus anchored multiplex polymerase chain reaction (MSK-Solid Fusion Assay, Archer </w:t>
            </w:r>
            <w:proofErr w:type="spellStart"/>
            <w:r w:rsidRPr="00AB3364">
              <w:rPr>
                <w:rFonts w:asciiTheme="minorHAnsi" w:hAnsiTheme="minorHAnsi" w:cstheme="minorHAnsi"/>
                <w:sz w:val="21"/>
                <w:szCs w:val="21"/>
              </w:rPr>
              <w:t>FusionPlex</w:t>
            </w:r>
            <w:proofErr w:type="spellEnd"/>
            <w:r w:rsidRPr="00AB3364">
              <w:rPr>
                <w:rFonts w:asciiTheme="minorHAnsi" w:hAnsiTheme="minorHAnsi" w:cstheme="minorHAnsi"/>
                <w:sz w:val="21"/>
                <w:szCs w:val="21"/>
              </w:rPr>
              <w:t xml:space="preserve">) was performed. This revealed an in-frame </w:t>
            </w:r>
            <w:r w:rsidRPr="00AB3364">
              <w:rPr>
                <w:rFonts w:asciiTheme="minorHAnsi" w:hAnsiTheme="minorHAnsi" w:cstheme="minorHAnsi"/>
                <w:i/>
                <w:iCs/>
                <w:sz w:val="21"/>
                <w:szCs w:val="21"/>
              </w:rPr>
              <w:t>CD74-NRG1</w:t>
            </w:r>
            <w:r w:rsidRPr="00AB3364">
              <w:rPr>
                <w:rFonts w:asciiTheme="minorHAnsi" w:hAnsiTheme="minorHAnsi" w:cstheme="minorHAnsi"/>
                <w:sz w:val="21"/>
                <w:szCs w:val="21"/>
              </w:rPr>
              <w:t xml:space="preserve"> fusion containing the EGF-like extracellular domain of NRG1. The rearrangement was an in-frame fusion between genes </w:t>
            </w:r>
            <w:r w:rsidRPr="00AB3364">
              <w:rPr>
                <w:rFonts w:asciiTheme="minorHAnsi" w:hAnsiTheme="minorHAnsi" w:cstheme="minorHAnsi"/>
                <w:i/>
                <w:iCs/>
                <w:sz w:val="21"/>
                <w:szCs w:val="21"/>
              </w:rPr>
              <w:t>CD74</w:t>
            </w:r>
            <w:r w:rsidRPr="00AB3364">
              <w:rPr>
                <w:rFonts w:asciiTheme="minorHAnsi" w:hAnsiTheme="minorHAnsi" w:cstheme="minorHAnsi"/>
                <w:sz w:val="21"/>
                <w:szCs w:val="21"/>
              </w:rPr>
              <w:t xml:space="preserve"> exon8</w:t>
            </w:r>
          </w:p>
          <w:p w:rsidR="0056010A" w:rsidRPr="00AB3364" w:rsidRDefault="0056010A" w:rsidP="00383D0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B3364">
              <w:rPr>
                <w:rFonts w:asciiTheme="minorHAnsi" w:hAnsiTheme="minorHAnsi" w:cstheme="minorHAnsi"/>
                <w:sz w:val="21"/>
                <w:szCs w:val="21"/>
              </w:rPr>
              <w:t xml:space="preserve">(NM_001025159) and </w:t>
            </w:r>
            <w:r w:rsidRPr="00AB3364">
              <w:rPr>
                <w:rFonts w:asciiTheme="minorHAnsi" w:hAnsiTheme="minorHAnsi" w:cstheme="minorHAnsi"/>
                <w:i/>
                <w:iCs/>
                <w:sz w:val="21"/>
                <w:szCs w:val="21"/>
              </w:rPr>
              <w:t>NRG1</w:t>
            </w:r>
            <w:r w:rsidRPr="00AB3364">
              <w:rPr>
                <w:rFonts w:asciiTheme="minorHAnsi" w:hAnsiTheme="minorHAnsi" w:cstheme="minorHAnsi"/>
                <w:sz w:val="21"/>
                <w:szCs w:val="21"/>
              </w:rPr>
              <w:t xml:space="preserve"> exon6 (NM_013956). </w:t>
            </w:r>
          </w:p>
        </w:tc>
      </w:tr>
      <w:tr w:rsidR="0056010A" w:rsidRPr="00AB3364" w:rsidTr="00383D03">
        <w:tc>
          <w:tcPr>
            <w:cnfStyle w:val="001000000000" w:firstRow="0" w:lastRow="0" w:firstColumn="1" w:lastColumn="0" w:oddVBand="0" w:evenVBand="0" w:oddHBand="0" w:evenHBand="0" w:firstRowFirstColumn="0" w:firstRowLastColumn="0" w:lastRowFirstColumn="0" w:lastRowLastColumn="0"/>
            <w:tcW w:w="5485" w:type="dxa"/>
          </w:tcPr>
          <w:p w:rsidR="0056010A" w:rsidRPr="00AB3364" w:rsidRDefault="0056010A" w:rsidP="00383D03">
            <w:pPr>
              <w:spacing w:line="276" w:lineRule="auto"/>
              <w:rPr>
                <w:rFonts w:asciiTheme="minorHAnsi" w:hAnsiTheme="minorHAnsi" w:cstheme="minorHAnsi"/>
                <w:b w:val="0"/>
                <w:bCs w:val="0"/>
                <w:sz w:val="21"/>
                <w:szCs w:val="21"/>
              </w:rPr>
            </w:pPr>
            <w:r w:rsidRPr="00AB3364">
              <w:rPr>
                <w:rFonts w:asciiTheme="minorHAnsi" w:hAnsiTheme="minorHAnsi" w:cstheme="minorHAnsi"/>
                <w:b w:val="0"/>
                <w:sz w:val="21"/>
                <w:szCs w:val="21"/>
              </w:rPr>
              <w:t xml:space="preserve">CASE 2. A </w:t>
            </w:r>
            <w:proofErr w:type="gramStart"/>
            <w:r w:rsidRPr="00AB3364">
              <w:rPr>
                <w:rFonts w:asciiTheme="minorHAnsi" w:hAnsiTheme="minorHAnsi" w:cstheme="minorHAnsi"/>
                <w:b w:val="0"/>
                <w:sz w:val="21"/>
                <w:szCs w:val="21"/>
              </w:rPr>
              <w:t>56 year-old</w:t>
            </w:r>
            <w:proofErr w:type="gramEnd"/>
            <w:r w:rsidRPr="00AB3364">
              <w:rPr>
                <w:rFonts w:asciiTheme="minorHAnsi" w:hAnsiTheme="minorHAnsi" w:cstheme="minorHAnsi"/>
                <w:b w:val="0"/>
                <w:sz w:val="21"/>
                <w:szCs w:val="21"/>
              </w:rPr>
              <w:t xml:space="preserve"> woman with a 2 pack-year history of cigarette smoking was diagnosed with clinical stage IIIA invasive mucinous adenocarcinoma. She received neoadjuvant cisplatin and pemetrexed for four cycles followed by a left lower lobectomy revealing pT3N2M0 disease. Post-operative radiation therapy was thereafter administered. Give months later, she was found to have recurrent disease involving the bilateral lungs, lymph nodes, and pleura. Carboplatin, pemetrexed, and pembrolizumab were administered for 2 cycles with primary progressive disease. Thereafter, </w:t>
            </w:r>
            <w:proofErr w:type="spellStart"/>
            <w:r w:rsidRPr="00AB3364">
              <w:rPr>
                <w:rFonts w:asciiTheme="minorHAnsi" w:hAnsiTheme="minorHAnsi" w:cstheme="minorHAnsi"/>
                <w:b w:val="0"/>
                <w:sz w:val="21"/>
                <w:szCs w:val="21"/>
              </w:rPr>
              <w:t>afatinib</w:t>
            </w:r>
            <w:proofErr w:type="spellEnd"/>
            <w:r w:rsidRPr="00AB3364">
              <w:rPr>
                <w:rFonts w:asciiTheme="minorHAnsi" w:hAnsiTheme="minorHAnsi" w:cstheme="minorHAnsi"/>
                <w:b w:val="0"/>
                <w:sz w:val="21"/>
                <w:szCs w:val="21"/>
              </w:rPr>
              <w:t xml:space="preserve"> was initiated at 40 mg daily. Repeat imaging 5 weeks later revealed primary progressive disease with bilateral enlarging pulmonary metastases and a new adrenal mass. The patient passed away shortly thereafter from disease progression.</w:t>
            </w:r>
          </w:p>
        </w:tc>
        <w:tc>
          <w:tcPr>
            <w:tcW w:w="3865" w:type="dxa"/>
          </w:tcPr>
          <w:p w:rsidR="0056010A" w:rsidRPr="00AB3364" w:rsidRDefault="0056010A" w:rsidP="00383D0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AB3364">
              <w:rPr>
                <w:rFonts w:asciiTheme="minorHAnsi" w:hAnsiTheme="minorHAnsi" w:cstheme="minorHAnsi"/>
                <w:sz w:val="21"/>
                <w:szCs w:val="21"/>
              </w:rPr>
              <w:t xml:space="preserve">MSK-IMPACT did not initially reveal a targetable alteration. Only a </w:t>
            </w:r>
            <w:r w:rsidRPr="00AB3364">
              <w:rPr>
                <w:rFonts w:asciiTheme="minorHAnsi" w:hAnsiTheme="minorHAnsi" w:cstheme="minorHAnsi"/>
                <w:i/>
                <w:iCs/>
                <w:sz w:val="21"/>
                <w:szCs w:val="21"/>
              </w:rPr>
              <w:t>KMT2D</w:t>
            </w:r>
            <w:r w:rsidRPr="00AB3364">
              <w:rPr>
                <w:rFonts w:asciiTheme="minorHAnsi" w:hAnsiTheme="minorHAnsi" w:cstheme="minorHAnsi"/>
                <w:sz w:val="21"/>
                <w:szCs w:val="21"/>
              </w:rPr>
              <w:t xml:space="preserve"> (MLL2) exon 39 mutation of unclear significance was identified (</w:t>
            </w:r>
            <w:proofErr w:type="gramStart"/>
            <w:r w:rsidRPr="00AB3364">
              <w:rPr>
                <w:rFonts w:asciiTheme="minorHAnsi" w:hAnsiTheme="minorHAnsi" w:cstheme="minorHAnsi"/>
                <w:sz w:val="21"/>
                <w:szCs w:val="21"/>
              </w:rPr>
              <w:t>p.V</w:t>
            </w:r>
            <w:proofErr w:type="gramEnd"/>
            <w:r w:rsidRPr="00AB3364">
              <w:rPr>
                <w:rFonts w:asciiTheme="minorHAnsi" w:hAnsiTheme="minorHAnsi" w:cstheme="minorHAnsi"/>
                <w:sz w:val="21"/>
                <w:szCs w:val="21"/>
              </w:rPr>
              <w:t xml:space="preserve">3787_L3802del; c.11355_11402del). Subsequent targeted RNA sequencing (MSK-Solid Fusion Assay) identified an in-frame </w:t>
            </w:r>
            <w:r w:rsidRPr="00AB3364">
              <w:rPr>
                <w:rFonts w:asciiTheme="minorHAnsi" w:hAnsiTheme="minorHAnsi" w:cstheme="minorHAnsi"/>
                <w:i/>
                <w:iCs/>
                <w:sz w:val="21"/>
                <w:szCs w:val="21"/>
              </w:rPr>
              <w:t>SDC4-NRG1</w:t>
            </w:r>
            <w:r w:rsidRPr="00AB3364">
              <w:rPr>
                <w:rFonts w:asciiTheme="minorHAnsi" w:hAnsiTheme="minorHAnsi" w:cstheme="minorHAnsi"/>
                <w:sz w:val="21"/>
                <w:szCs w:val="21"/>
              </w:rPr>
              <w:t xml:space="preserve"> fusion. The rearrangement was an in-frame fusion between genes </w:t>
            </w:r>
            <w:r w:rsidRPr="00AB3364">
              <w:rPr>
                <w:rFonts w:asciiTheme="minorHAnsi" w:hAnsiTheme="minorHAnsi" w:cstheme="minorHAnsi"/>
                <w:i/>
                <w:iCs/>
                <w:sz w:val="21"/>
                <w:szCs w:val="21"/>
              </w:rPr>
              <w:t>SDC4</w:t>
            </w:r>
            <w:r w:rsidRPr="00AB3364">
              <w:rPr>
                <w:rFonts w:asciiTheme="minorHAnsi" w:hAnsiTheme="minorHAnsi" w:cstheme="minorHAnsi"/>
                <w:sz w:val="21"/>
                <w:szCs w:val="21"/>
              </w:rPr>
              <w:t xml:space="preserve"> exon2 (NM_002999) and </w:t>
            </w:r>
            <w:r w:rsidRPr="00AB3364">
              <w:rPr>
                <w:rFonts w:asciiTheme="minorHAnsi" w:hAnsiTheme="minorHAnsi" w:cstheme="minorHAnsi"/>
                <w:i/>
                <w:iCs/>
                <w:sz w:val="21"/>
                <w:szCs w:val="21"/>
              </w:rPr>
              <w:t>NRG1</w:t>
            </w:r>
            <w:r w:rsidRPr="00AB3364">
              <w:rPr>
                <w:rFonts w:asciiTheme="minorHAnsi" w:hAnsiTheme="minorHAnsi" w:cstheme="minorHAnsi"/>
                <w:sz w:val="21"/>
                <w:szCs w:val="21"/>
              </w:rPr>
              <w:t xml:space="preserve"> exon6 (NM_004495).</w:t>
            </w:r>
          </w:p>
        </w:tc>
      </w:tr>
      <w:tr w:rsidR="0056010A" w:rsidRPr="00AB3364" w:rsidTr="00383D03">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5485" w:type="dxa"/>
          </w:tcPr>
          <w:p w:rsidR="0056010A" w:rsidRPr="00AB3364" w:rsidRDefault="0056010A" w:rsidP="00383D03">
            <w:pPr>
              <w:spacing w:line="276" w:lineRule="auto"/>
              <w:rPr>
                <w:rFonts w:asciiTheme="minorHAnsi" w:hAnsiTheme="minorHAnsi" w:cstheme="minorHAnsi"/>
                <w:b w:val="0"/>
                <w:bCs w:val="0"/>
                <w:sz w:val="21"/>
                <w:szCs w:val="21"/>
              </w:rPr>
            </w:pPr>
            <w:r w:rsidRPr="00AB3364">
              <w:rPr>
                <w:rFonts w:asciiTheme="minorHAnsi" w:hAnsiTheme="minorHAnsi" w:cstheme="minorHAnsi"/>
                <w:b w:val="0"/>
                <w:sz w:val="21"/>
                <w:szCs w:val="21"/>
              </w:rPr>
              <w:lastRenderedPageBreak/>
              <w:t xml:space="preserve">CASE 3. A </w:t>
            </w:r>
            <w:proofErr w:type="gramStart"/>
            <w:r w:rsidRPr="00AB3364">
              <w:rPr>
                <w:rFonts w:asciiTheme="minorHAnsi" w:hAnsiTheme="minorHAnsi" w:cstheme="minorHAnsi"/>
                <w:b w:val="0"/>
                <w:sz w:val="21"/>
                <w:szCs w:val="21"/>
              </w:rPr>
              <w:t>51 year-old</w:t>
            </w:r>
            <w:proofErr w:type="gramEnd"/>
            <w:r w:rsidRPr="00AB3364">
              <w:rPr>
                <w:rFonts w:asciiTheme="minorHAnsi" w:hAnsiTheme="minorHAnsi" w:cstheme="minorHAnsi"/>
                <w:b w:val="0"/>
                <w:sz w:val="21"/>
                <w:szCs w:val="21"/>
              </w:rPr>
              <w:t xml:space="preserve"> man with a &lt;1 pack-year history of former smoking was diagnosed with clinical T4N2M0 stage IIIB invasive mucinous lung adenocarcinoma. He received neoadjuvant cisplatin and pemetrexed for four cycles followed by a left lower lobectomy and left upper wedge resection. Post-operative radiation therapy was thereafter administered. Three months later, he developed recurrent disease involving the lungs. </w:t>
            </w:r>
            <w:proofErr w:type="spellStart"/>
            <w:r w:rsidRPr="00AB3364">
              <w:rPr>
                <w:rFonts w:asciiTheme="minorHAnsi" w:hAnsiTheme="minorHAnsi" w:cstheme="minorHAnsi"/>
                <w:b w:val="0"/>
                <w:sz w:val="21"/>
                <w:szCs w:val="21"/>
              </w:rPr>
              <w:t>Afatinib</w:t>
            </w:r>
            <w:proofErr w:type="spellEnd"/>
            <w:r w:rsidRPr="00AB3364">
              <w:rPr>
                <w:rFonts w:asciiTheme="minorHAnsi" w:hAnsiTheme="minorHAnsi" w:cstheme="minorHAnsi"/>
                <w:b w:val="0"/>
                <w:sz w:val="21"/>
                <w:szCs w:val="21"/>
              </w:rPr>
              <w:t xml:space="preserve"> was initiated after an </w:t>
            </w:r>
            <w:r w:rsidRPr="00AB3364">
              <w:rPr>
                <w:rFonts w:asciiTheme="minorHAnsi" w:hAnsiTheme="minorHAnsi" w:cstheme="minorHAnsi"/>
                <w:b w:val="0"/>
                <w:i/>
                <w:iCs/>
                <w:sz w:val="21"/>
                <w:szCs w:val="21"/>
              </w:rPr>
              <w:t>NRG1</w:t>
            </w:r>
            <w:r w:rsidRPr="00AB3364">
              <w:rPr>
                <w:rFonts w:asciiTheme="minorHAnsi" w:hAnsiTheme="minorHAnsi" w:cstheme="minorHAnsi"/>
                <w:b w:val="0"/>
                <w:sz w:val="21"/>
                <w:szCs w:val="21"/>
              </w:rPr>
              <w:t xml:space="preserve"> fusion was identified. Repeat imaging at 8 weeks showed primary disease progression with worsening disease in the chest and a new brain metastasis.</w:t>
            </w:r>
          </w:p>
        </w:tc>
        <w:tc>
          <w:tcPr>
            <w:tcW w:w="3865" w:type="dxa"/>
          </w:tcPr>
          <w:p w:rsidR="0056010A" w:rsidRPr="00AB3364" w:rsidRDefault="0056010A" w:rsidP="00383D0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B3364">
              <w:rPr>
                <w:rFonts w:asciiTheme="minorHAnsi" w:hAnsiTheme="minorHAnsi" w:cstheme="minorHAnsi"/>
                <w:sz w:val="21"/>
                <w:szCs w:val="21"/>
              </w:rPr>
              <w:t xml:space="preserve">MSK-IMPACT identified an in-frame </w:t>
            </w:r>
            <w:r w:rsidRPr="00AB3364">
              <w:rPr>
                <w:rFonts w:asciiTheme="minorHAnsi" w:hAnsiTheme="minorHAnsi" w:cstheme="minorHAnsi"/>
                <w:i/>
                <w:iCs/>
                <w:sz w:val="21"/>
                <w:szCs w:val="21"/>
              </w:rPr>
              <w:t>CD74-NRG1</w:t>
            </w:r>
            <w:r w:rsidRPr="00AB3364">
              <w:rPr>
                <w:rFonts w:asciiTheme="minorHAnsi" w:hAnsiTheme="minorHAnsi" w:cstheme="minorHAnsi"/>
                <w:sz w:val="21"/>
                <w:szCs w:val="21"/>
              </w:rPr>
              <w:t xml:space="preserve"> fusion (</w:t>
            </w:r>
            <w:r w:rsidRPr="00AB3364">
              <w:rPr>
                <w:rFonts w:asciiTheme="minorHAnsi" w:hAnsiTheme="minorHAnsi" w:cstheme="minorHAnsi"/>
                <w:i/>
                <w:iCs/>
                <w:sz w:val="21"/>
                <w:szCs w:val="21"/>
              </w:rPr>
              <w:t>CD74</w:t>
            </w:r>
            <w:r w:rsidRPr="00AB3364">
              <w:rPr>
                <w:rFonts w:asciiTheme="minorHAnsi" w:hAnsiTheme="minorHAnsi" w:cstheme="minorHAnsi"/>
                <w:sz w:val="21"/>
                <w:szCs w:val="21"/>
              </w:rPr>
              <w:t xml:space="preserve"> exons 1-7 fused with</w:t>
            </w:r>
          </w:p>
          <w:p w:rsidR="0056010A" w:rsidRPr="00AB3364" w:rsidRDefault="0056010A" w:rsidP="00383D0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AB3364">
              <w:rPr>
                <w:rFonts w:asciiTheme="minorHAnsi" w:hAnsiTheme="minorHAnsi" w:cstheme="minorHAnsi"/>
                <w:i/>
                <w:iCs/>
                <w:sz w:val="21"/>
                <w:szCs w:val="21"/>
              </w:rPr>
              <w:t>NRG1</w:t>
            </w:r>
            <w:r w:rsidRPr="00AB3364">
              <w:rPr>
                <w:rFonts w:asciiTheme="minorHAnsi" w:hAnsiTheme="minorHAnsi" w:cstheme="minorHAnsi"/>
                <w:sz w:val="21"/>
                <w:szCs w:val="21"/>
              </w:rPr>
              <w:t xml:space="preserve"> exons 6-13): t(5;</w:t>
            </w:r>
            <w:proofErr w:type="gramStart"/>
            <w:r w:rsidRPr="00AB3364">
              <w:rPr>
                <w:rFonts w:asciiTheme="minorHAnsi" w:hAnsiTheme="minorHAnsi" w:cstheme="minorHAnsi"/>
                <w:sz w:val="21"/>
                <w:szCs w:val="21"/>
              </w:rPr>
              <w:t>8)(</w:t>
            </w:r>
            <w:proofErr w:type="gramEnd"/>
            <w:r w:rsidRPr="00AB3364">
              <w:rPr>
                <w:rFonts w:asciiTheme="minorHAnsi" w:hAnsiTheme="minorHAnsi" w:cstheme="minorHAnsi"/>
                <w:sz w:val="21"/>
                <w:szCs w:val="21"/>
              </w:rPr>
              <w:t xml:space="preserve">q32;p12) (chr5:g.149782781::chr8:g.32584466). The only other genomic alteration identified was an </w:t>
            </w:r>
            <w:r w:rsidRPr="00AB3364">
              <w:rPr>
                <w:rFonts w:asciiTheme="minorHAnsi" w:hAnsiTheme="minorHAnsi" w:cstheme="minorHAnsi"/>
                <w:i/>
                <w:iCs/>
                <w:sz w:val="21"/>
                <w:szCs w:val="21"/>
              </w:rPr>
              <w:t>ARID1A</w:t>
            </w:r>
            <w:r w:rsidRPr="00AB3364">
              <w:rPr>
                <w:rFonts w:asciiTheme="minorHAnsi" w:hAnsiTheme="minorHAnsi" w:cstheme="minorHAnsi"/>
                <w:sz w:val="21"/>
                <w:szCs w:val="21"/>
              </w:rPr>
              <w:t xml:space="preserve"> rearrangement: c.1138-11170_c.4852del. This resulted in the deletions of exons 2-18, with a breakpoint within exon 18. The functional significance of this alteration is undetermined.</w:t>
            </w:r>
          </w:p>
        </w:tc>
      </w:tr>
    </w:tbl>
    <w:p w:rsidR="0056010A" w:rsidRDefault="00F7096E" w:rsidP="00F7096E">
      <w:pP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 </w:t>
      </w:r>
    </w:p>
    <w:p w:rsidR="005F05B9" w:rsidRDefault="005F05B9"/>
    <w:sectPr w:rsidR="005F05B9" w:rsidSect="00A2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0A49"/>
    <w:multiLevelType w:val="multilevel"/>
    <w:tmpl w:val="3A843B62"/>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56010A"/>
    <w:rsid w:val="00424512"/>
    <w:rsid w:val="0056010A"/>
    <w:rsid w:val="005F05B9"/>
    <w:rsid w:val="008B6DEE"/>
    <w:rsid w:val="00BB4015"/>
    <w:rsid w:val="00D07239"/>
    <w:rsid w:val="00ED1E2D"/>
    <w:rsid w:val="00F7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C7D2"/>
  <w15:chartTrackingRefBased/>
  <w15:docId w15:val="{8D02189D-0CD5-4C55-984A-AA2C0DF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10A"/>
    <w:pPr>
      <w:spacing w:after="0"/>
    </w:pPr>
    <w:rPr>
      <w:rFonts w:ascii="Arial" w:eastAsia="Arial" w:hAnsi="Arial" w:cs="Arial"/>
      <w:color w:val="000000"/>
    </w:rPr>
  </w:style>
  <w:style w:type="paragraph" w:styleId="Heading1">
    <w:name w:val="heading 1"/>
    <w:basedOn w:val="Normal1"/>
    <w:next w:val="Normal1"/>
    <w:link w:val="Heading1Char"/>
    <w:rsid w:val="0056010A"/>
    <w:pPr>
      <w:keepNext/>
      <w:keepLines/>
      <w:spacing w:before="400" w:after="120"/>
      <w:contextualSpacing/>
      <w:outlineLvl w:val="0"/>
    </w:pPr>
    <w:rPr>
      <w:sz w:val="40"/>
      <w:szCs w:val="40"/>
    </w:rPr>
  </w:style>
  <w:style w:type="paragraph" w:styleId="Heading2">
    <w:name w:val="heading 2"/>
    <w:basedOn w:val="Normal1"/>
    <w:next w:val="Normal1"/>
    <w:link w:val="Heading2Char"/>
    <w:rsid w:val="0056010A"/>
    <w:pPr>
      <w:keepNext/>
      <w:keepLines/>
      <w:spacing w:before="360" w:after="120"/>
      <w:contextualSpacing/>
      <w:outlineLvl w:val="1"/>
    </w:pPr>
    <w:rPr>
      <w:sz w:val="32"/>
      <w:szCs w:val="32"/>
    </w:rPr>
  </w:style>
  <w:style w:type="paragraph" w:styleId="Heading3">
    <w:name w:val="heading 3"/>
    <w:basedOn w:val="Normal1"/>
    <w:next w:val="Normal1"/>
    <w:link w:val="Heading3Char"/>
    <w:rsid w:val="0056010A"/>
    <w:pPr>
      <w:keepNext/>
      <w:keepLines/>
      <w:spacing w:before="320" w:after="80"/>
      <w:contextualSpacing/>
      <w:outlineLvl w:val="2"/>
    </w:pPr>
    <w:rPr>
      <w:color w:val="434343"/>
      <w:sz w:val="28"/>
      <w:szCs w:val="28"/>
    </w:rPr>
  </w:style>
  <w:style w:type="paragraph" w:styleId="Heading4">
    <w:name w:val="heading 4"/>
    <w:basedOn w:val="Normal1"/>
    <w:next w:val="Normal1"/>
    <w:link w:val="Heading4Char"/>
    <w:rsid w:val="0056010A"/>
    <w:pPr>
      <w:keepNext/>
      <w:keepLines/>
      <w:spacing w:before="280" w:after="80"/>
      <w:contextualSpacing/>
      <w:outlineLvl w:val="3"/>
    </w:pPr>
    <w:rPr>
      <w:color w:val="666666"/>
      <w:sz w:val="24"/>
      <w:szCs w:val="24"/>
    </w:rPr>
  </w:style>
  <w:style w:type="paragraph" w:styleId="Heading5">
    <w:name w:val="heading 5"/>
    <w:basedOn w:val="Normal1"/>
    <w:next w:val="Normal1"/>
    <w:link w:val="Heading5Char"/>
    <w:rsid w:val="0056010A"/>
    <w:pPr>
      <w:keepNext/>
      <w:keepLines/>
      <w:spacing w:before="240" w:after="80"/>
      <w:contextualSpacing/>
      <w:outlineLvl w:val="4"/>
    </w:pPr>
    <w:rPr>
      <w:color w:val="666666"/>
    </w:rPr>
  </w:style>
  <w:style w:type="paragraph" w:styleId="Heading6">
    <w:name w:val="heading 6"/>
    <w:basedOn w:val="Normal1"/>
    <w:next w:val="Normal1"/>
    <w:link w:val="Heading6Char"/>
    <w:rsid w:val="0056010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10A"/>
    <w:rPr>
      <w:rFonts w:ascii="Arial" w:eastAsia="Arial" w:hAnsi="Arial" w:cs="Arial"/>
      <w:color w:val="000000"/>
      <w:sz w:val="40"/>
      <w:szCs w:val="40"/>
    </w:rPr>
  </w:style>
  <w:style w:type="character" w:customStyle="1" w:styleId="Heading2Char">
    <w:name w:val="Heading 2 Char"/>
    <w:basedOn w:val="DefaultParagraphFont"/>
    <w:link w:val="Heading2"/>
    <w:rsid w:val="0056010A"/>
    <w:rPr>
      <w:rFonts w:ascii="Arial" w:eastAsia="Arial" w:hAnsi="Arial" w:cs="Arial"/>
      <w:color w:val="000000"/>
      <w:sz w:val="32"/>
      <w:szCs w:val="32"/>
    </w:rPr>
  </w:style>
  <w:style w:type="character" w:customStyle="1" w:styleId="Heading3Char">
    <w:name w:val="Heading 3 Char"/>
    <w:basedOn w:val="DefaultParagraphFont"/>
    <w:link w:val="Heading3"/>
    <w:rsid w:val="0056010A"/>
    <w:rPr>
      <w:rFonts w:ascii="Arial" w:eastAsia="Arial" w:hAnsi="Arial" w:cs="Arial"/>
      <w:color w:val="434343"/>
      <w:sz w:val="28"/>
      <w:szCs w:val="28"/>
    </w:rPr>
  </w:style>
  <w:style w:type="character" w:customStyle="1" w:styleId="Heading4Char">
    <w:name w:val="Heading 4 Char"/>
    <w:basedOn w:val="DefaultParagraphFont"/>
    <w:link w:val="Heading4"/>
    <w:rsid w:val="0056010A"/>
    <w:rPr>
      <w:rFonts w:ascii="Arial" w:eastAsia="Arial" w:hAnsi="Arial" w:cs="Arial"/>
      <w:color w:val="666666"/>
      <w:sz w:val="24"/>
      <w:szCs w:val="24"/>
    </w:rPr>
  </w:style>
  <w:style w:type="character" w:customStyle="1" w:styleId="Heading5Char">
    <w:name w:val="Heading 5 Char"/>
    <w:basedOn w:val="DefaultParagraphFont"/>
    <w:link w:val="Heading5"/>
    <w:rsid w:val="0056010A"/>
    <w:rPr>
      <w:rFonts w:ascii="Arial" w:eastAsia="Arial" w:hAnsi="Arial" w:cs="Arial"/>
      <w:color w:val="666666"/>
    </w:rPr>
  </w:style>
  <w:style w:type="character" w:customStyle="1" w:styleId="Heading6Char">
    <w:name w:val="Heading 6 Char"/>
    <w:basedOn w:val="DefaultParagraphFont"/>
    <w:link w:val="Heading6"/>
    <w:rsid w:val="0056010A"/>
    <w:rPr>
      <w:rFonts w:ascii="Arial" w:eastAsia="Arial" w:hAnsi="Arial" w:cs="Arial"/>
      <w:i/>
      <w:color w:val="666666"/>
    </w:rPr>
  </w:style>
  <w:style w:type="paragraph" w:customStyle="1" w:styleId="Normal1">
    <w:name w:val="Normal1"/>
    <w:link w:val="normalChar"/>
    <w:rsid w:val="0056010A"/>
    <w:pPr>
      <w:spacing w:after="0"/>
    </w:pPr>
    <w:rPr>
      <w:rFonts w:ascii="Arial" w:eastAsia="Arial" w:hAnsi="Arial" w:cs="Arial"/>
      <w:color w:val="000000"/>
    </w:rPr>
  </w:style>
  <w:style w:type="paragraph" w:styleId="Title">
    <w:name w:val="Title"/>
    <w:basedOn w:val="Normal1"/>
    <w:next w:val="Normal1"/>
    <w:link w:val="TitleChar"/>
    <w:rsid w:val="0056010A"/>
    <w:pPr>
      <w:keepNext/>
      <w:keepLines/>
      <w:spacing w:after="60"/>
      <w:contextualSpacing/>
    </w:pPr>
    <w:rPr>
      <w:sz w:val="52"/>
      <w:szCs w:val="52"/>
    </w:rPr>
  </w:style>
  <w:style w:type="character" w:customStyle="1" w:styleId="TitleChar">
    <w:name w:val="Title Char"/>
    <w:basedOn w:val="DefaultParagraphFont"/>
    <w:link w:val="Title"/>
    <w:rsid w:val="0056010A"/>
    <w:rPr>
      <w:rFonts w:ascii="Arial" w:eastAsia="Arial" w:hAnsi="Arial" w:cs="Arial"/>
      <w:color w:val="000000"/>
      <w:sz w:val="52"/>
      <w:szCs w:val="52"/>
    </w:rPr>
  </w:style>
  <w:style w:type="paragraph" w:styleId="Subtitle">
    <w:name w:val="Subtitle"/>
    <w:basedOn w:val="Normal1"/>
    <w:next w:val="Normal1"/>
    <w:link w:val="SubtitleChar"/>
    <w:rsid w:val="0056010A"/>
    <w:pPr>
      <w:keepNext/>
      <w:keepLines/>
      <w:spacing w:after="320"/>
      <w:contextualSpacing/>
    </w:pPr>
    <w:rPr>
      <w:color w:val="666666"/>
      <w:sz w:val="30"/>
      <w:szCs w:val="30"/>
    </w:rPr>
  </w:style>
  <w:style w:type="character" w:customStyle="1" w:styleId="SubtitleChar">
    <w:name w:val="Subtitle Char"/>
    <w:basedOn w:val="DefaultParagraphFont"/>
    <w:link w:val="Subtitle"/>
    <w:rsid w:val="0056010A"/>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56010A"/>
    <w:pPr>
      <w:spacing w:line="240" w:lineRule="auto"/>
    </w:pPr>
    <w:rPr>
      <w:sz w:val="20"/>
      <w:szCs w:val="20"/>
    </w:rPr>
  </w:style>
  <w:style w:type="character" w:customStyle="1" w:styleId="CommentTextChar">
    <w:name w:val="Comment Text Char"/>
    <w:basedOn w:val="DefaultParagraphFont"/>
    <w:link w:val="CommentText"/>
    <w:uiPriority w:val="99"/>
    <w:semiHidden/>
    <w:rsid w:val="0056010A"/>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56010A"/>
    <w:rPr>
      <w:sz w:val="16"/>
      <w:szCs w:val="16"/>
    </w:rPr>
  </w:style>
  <w:style w:type="paragraph" w:styleId="BalloonText">
    <w:name w:val="Balloon Text"/>
    <w:basedOn w:val="Normal"/>
    <w:link w:val="BalloonTextChar"/>
    <w:uiPriority w:val="99"/>
    <w:semiHidden/>
    <w:unhideWhenUsed/>
    <w:rsid w:val="00560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0A"/>
    <w:rPr>
      <w:rFonts w:ascii="Tahoma" w:eastAsia="Arial" w:hAnsi="Tahoma" w:cs="Tahoma"/>
      <w:color w:val="000000"/>
      <w:sz w:val="16"/>
      <w:szCs w:val="16"/>
    </w:rPr>
  </w:style>
  <w:style w:type="paragraph" w:customStyle="1" w:styleId="EndNoteBibliographyTitle">
    <w:name w:val="EndNote Bibliography Title"/>
    <w:basedOn w:val="Normal"/>
    <w:link w:val="EndNoteBibliographyTitleChar"/>
    <w:rsid w:val="0056010A"/>
    <w:pPr>
      <w:jc w:val="center"/>
    </w:pPr>
    <w:rPr>
      <w:noProof/>
    </w:rPr>
  </w:style>
  <w:style w:type="character" w:customStyle="1" w:styleId="normalChar">
    <w:name w:val="normal Char"/>
    <w:basedOn w:val="DefaultParagraphFont"/>
    <w:link w:val="Normal1"/>
    <w:rsid w:val="0056010A"/>
    <w:rPr>
      <w:rFonts w:ascii="Arial" w:eastAsia="Arial" w:hAnsi="Arial" w:cs="Arial"/>
      <w:color w:val="000000"/>
    </w:rPr>
  </w:style>
  <w:style w:type="character" w:customStyle="1" w:styleId="EndNoteBibliographyTitleChar">
    <w:name w:val="EndNote Bibliography Title Char"/>
    <w:basedOn w:val="normalChar"/>
    <w:link w:val="EndNoteBibliographyTitle"/>
    <w:rsid w:val="0056010A"/>
    <w:rPr>
      <w:rFonts w:ascii="Arial" w:eastAsia="Arial" w:hAnsi="Arial" w:cs="Arial"/>
      <w:noProof/>
      <w:color w:val="000000"/>
    </w:rPr>
  </w:style>
  <w:style w:type="paragraph" w:customStyle="1" w:styleId="EndNoteBibliography">
    <w:name w:val="EndNote Bibliography"/>
    <w:basedOn w:val="Normal"/>
    <w:link w:val="EndNoteBibliographyChar"/>
    <w:rsid w:val="0056010A"/>
    <w:pPr>
      <w:spacing w:line="240" w:lineRule="auto"/>
    </w:pPr>
    <w:rPr>
      <w:noProof/>
    </w:rPr>
  </w:style>
  <w:style w:type="character" w:customStyle="1" w:styleId="EndNoteBibliographyChar">
    <w:name w:val="EndNote Bibliography Char"/>
    <w:basedOn w:val="normalChar"/>
    <w:link w:val="EndNoteBibliography"/>
    <w:rsid w:val="0056010A"/>
    <w:rPr>
      <w:rFonts w:ascii="Arial" w:eastAsia="Arial" w:hAnsi="Arial" w:cs="Arial"/>
      <w:noProof/>
      <w:color w:val="000000"/>
    </w:rPr>
  </w:style>
  <w:style w:type="paragraph" w:styleId="CommentSubject">
    <w:name w:val="annotation subject"/>
    <w:basedOn w:val="CommentText"/>
    <w:next w:val="CommentText"/>
    <w:link w:val="CommentSubjectChar"/>
    <w:uiPriority w:val="99"/>
    <w:semiHidden/>
    <w:unhideWhenUsed/>
    <w:rsid w:val="0056010A"/>
    <w:rPr>
      <w:b/>
      <w:bCs/>
    </w:rPr>
  </w:style>
  <w:style w:type="character" w:customStyle="1" w:styleId="CommentSubjectChar">
    <w:name w:val="Comment Subject Char"/>
    <w:basedOn w:val="CommentTextChar"/>
    <w:link w:val="CommentSubject"/>
    <w:uiPriority w:val="99"/>
    <w:semiHidden/>
    <w:rsid w:val="0056010A"/>
    <w:rPr>
      <w:rFonts w:ascii="Arial" w:eastAsia="Arial" w:hAnsi="Arial" w:cs="Arial"/>
      <w:b/>
      <w:bCs/>
      <w:color w:val="000000"/>
      <w:sz w:val="20"/>
      <w:szCs w:val="20"/>
    </w:rPr>
  </w:style>
  <w:style w:type="paragraph" w:styleId="Revision">
    <w:name w:val="Revision"/>
    <w:hidden/>
    <w:uiPriority w:val="99"/>
    <w:semiHidden/>
    <w:rsid w:val="0056010A"/>
    <w:pPr>
      <w:spacing w:after="0" w:line="240" w:lineRule="auto"/>
    </w:pPr>
    <w:rPr>
      <w:rFonts w:ascii="Arial" w:eastAsia="Arial" w:hAnsi="Arial" w:cs="Arial"/>
      <w:color w:val="000000"/>
    </w:rPr>
  </w:style>
  <w:style w:type="paragraph" w:customStyle="1" w:styleId="Normal10">
    <w:name w:val="Normal10"/>
    <w:rsid w:val="0056010A"/>
    <w:pPr>
      <w:spacing w:after="0"/>
    </w:pPr>
    <w:rPr>
      <w:rFonts w:ascii="Arial" w:eastAsia="Arial" w:hAnsi="Arial" w:cs="Arial"/>
      <w:color w:val="000000"/>
    </w:rPr>
  </w:style>
  <w:style w:type="paragraph" w:styleId="Header">
    <w:name w:val="header"/>
    <w:basedOn w:val="Normal"/>
    <w:link w:val="HeaderChar"/>
    <w:uiPriority w:val="99"/>
    <w:unhideWhenUsed/>
    <w:rsid w:val="0056010A"/>
    <w:pPr>
      <w:tabs>
        <w:tab w:val="center" w:pos="4680"/>
        <w:tab w:val="right" w:pos="9360"/>
      </w:tabs>
      <w:spacing w:line="240" w:lineRule="auto"/>
    </w:pPr>
  </w:style>
  <w:style w:type="character" w:customStyle="1" w:styleId="HeaderChar">
    <w:name w:val="Header Char"/>
    <w:basedOn w:val="DefaultParagraphFont"/>
    <w:link w:val="Header"/>
    <w:uiPriority w:val="99"/>
    <w:rsid w:val="0056010A"/>
    <w:rPr>
      <w:rFonts w:ascii="Arial" w:eastAsia="Arial" w:hAnsi="Arial" w:cs="Arial"/>
      <w:color w:val="000000"/>
    </w:rPr>
  </w:style>
  <w:style w:type="paragraph" w:styleId="Footer">
    <w:name w:val="footer"/>
    <w:basedOn w:val="Normal"/>
    <w:link w:val="FooterChar"/>
    <w:uiPriority w:val="99"/>
    <w:unhideWhenUsed/>
    <w:rsid w:val="0056010A"/>
    <w:pPr>
      <w:tabs>
        <w:tab w:val="center" w:pos="4680"/>
        <w:tab w:val="right" w:pos="9360"/>
      </w:tabs>
      <w:spacing w:line="240" w:lineRule="auto"/>
    </w:pPr>
  </w:style>
  <w:style w:type="character" w:customStyle="1" w:styleId="FooterChar">
    <w:name w:val="Footer Char"/>
    <w:basedOn w:val="DefaultParagraphFont"/>
    <w:link w:val="Footer"/>
    <w:uiPriority w:val="99"/>
    <w:rsid w:val="0056010A"/>
    <w:rPr>
      <w:rFonts w:ascii="Arial" w:eastAsia="Arial" w:hAnsi="Arial" w:cs="Arial"/>
      <w:color w:val="000000"/>
    </w:rPr>
  </w:style>
  <w:style w:type="character" w:customStyle="1" w:styleId="apple-converted-space">
    <w:name w:val="apple-converted-space"/>
    <w:basedOn w:val="DefaultParagraphFont"/>
    <w:rsid w:val="0056010A"/>
  </w:style>
  <w:style w:type="character" w:styleId="Hyperlink">
    <w:name w:val="Hyperlink"/>
    <w:basedOn w:val="DefaultParagraphFont"/>
    <w:uiPriority w:val="99"/>
    <w:unhideWhenUsed/>
    <w:rsid w:val="0056010A"/>
    <w:rPr>
      <w:color w:val="0000FF" w:themeColor="hyperlink"/>
      <w:u w:val="single"/>
    </w:rPr>
  </w:style>
  <w:style w:type="table" w:styleId="TableGrid">
    <w:name w:val="Table Grid"/>
    <w:basedOn w:val="TableNormal"/>
    <w:uiPriority w:val="59"/>
    <w:rsid w:val="0056010A"/>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56010A"/>
    <w:pPr>
      <w:spacing w:after="0" w:line="240" w:lineRule="auto"/>
    </w:pPr>
    <w:rPr>
      <w:rFonts w:ascii="Arial" w:eastAsia="Arial" w:hAnsi="Arial" w:cs="Arial"/>
      <w:color w:val="00000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 Alexander E./Medicine</dc:creator>
  <cp:keywords/>
  <dc:description/>
  <cp:lastModifiedBy>Drilon, Alexander E./Medicine</cp:lastModifiedBy>
  <cp:revision>2</cp:revision>
  <dcterms:created xsi:type="dcterms:W3CDTF">2018-03-07T22:11:00Z</dcterms:created>
  <dcterms:modified xsi:type="dcterms:W3CDTF">2018-03-07T22:11:00Z</dcterms:modified>
</cp:coreProperties>
</file>