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D0C5D" w14:textId="77777777" w:rsidR="00585E1D" w:rsidRPr="008A2D01" w:rsidRDefault="00585E1D" w:rsidP="00585E1D">
      <w:pPr>
        <w:jc w:val="both"/>
        <w:rPr>
          <w:rFonts w:ascii="Times New Roman" w:hAnsi="Times New Roman" w:cs="Times New Roman"/>
          <w:sz w:val="24"/>
          <w:szCs w:val="24"/>
        </w:rPr>
      </w:pPr>
      <w:r w:rsidRPr="001976F3">
        <w:rPr>
          <w:rFonts w:ascii="Times New Roman" w:hAnsi="Times New Roman" w:cs="Times New Roman"/>
          <w:sz w:val="24"/>
          <w:szCs w:val="24"/>
        </w:rPr>
        <w:t xml:space="preserve">Landscape of acquired resistance to osimertinib in </w:t>
      </w:r>
      <w:r w:rsidRPr="008A2D01">
        <w:rPr>
          <w:rFonts w:ascii="Times New Roman" w:hAnsi="Times New Roman" w:cs="Times New Roman"/>
          <w:i/>
          <w:sz w:val="24"/>
          <w:szCs w:val="24"/>
        </w:rPr>
        <w:t>EGFR</w:t>
      </w:r>
      <w:r w:rsidRPr="008A2D01">
        <w:rPr>
          <w:rFonts w:ascii="Times New Roman" w:hAnsi="Times New Roman" w:cs="Times New Roman"/>
          <w:sz w:val="24"/>
          <w:szCs w:val="24"/>
        </w:rPr>
        <w:t xml:space="preserve">-mutant NSCLC and clinical validation of combined EGFR and RET inhibition with osimertinib and BLU-667 for acquired </w:t>
      </w:r>
      <w:r w:rsidRPr="008A2D01">
        <w:rPr>
          <w:rFonts w:ascii="Times New Roman" w:hAnsi="Times New Roman" w:cs="Times New Roman"/>
          <w:i/>
          <w:sz w:val="24"/>
          <w:szCs w:val="24"/>
        </w:rPr>
        <w:t>RET</w:t>
      </w:r>
      <w:r w:rsidRPr="008A2D01">
        <w:rPr>
          <w:rFonts w:ascii="Times New Roman" w:hAnsi="Times New Roman" w:cs="Times New Roman"/>
          <w:sz w:val="24"/>
          <w:szCs w:val="24"/>
        </w:rPr>
        <w:t xml:space="preserve"> fusion.</w:t>
      </w:r>
    </w:p>
    <w:p w14:paraId="5CAFFDD6" w14:textId="77777777" w:rsidR="00585E1D" w:rsidRPr="00A500E0" w:rsidRDefault="00585E1D" w:rsidP="00585E1D">
      <w:pPr>
        <w:tabs>
          <w:tab w:val="left" w:pos="3024"/>
        </w:tabs>
        <w:jc w:val="both"/>
        <w:rPr>
          <w:rFonts w:ascii="Times New Roman" w:hAnsi="Times New Roman" w:cs="Times New Roman"/>
          <w:sz w:val="24"/>
          <w:szCs w:val="24"/>
        </w:rPr>
      </w:pPr>
      <w:r>
        <w:rPr>
          <w:rFonts w:ascii="Times New Roman" w:hAnsi="Times New Roman" w:cs="Times New Roman"/>
          <w:sz w:val="24"/>
          <w:szCs w:val="24"/>
        </w:rPr>
        <w:tab/>
      </w:r>
    </w:p>
    <w:p w14:paraId="66A9E178" w14:textId="1C916568" w:rsidR="00585E1D" w:rsidRPr="00A500E0" w:rsidRDefault="00585E1D" w:rsidP="00585E1D">
      <w:pPr>
        <w:jc w:val="both"/>
        <w:outlineLvl w:val="0"/>
        <w:rPr>
          <w:rFonts w:ascii="Times New Roman" w:hAnsi="Times New Roman" w:cs="Times New Roman"/>
          <w:sz w:val="24"/>
          <w:szCs w:val="24"/>
        </w:rPr>
      </w:pPr>
      <w:r w:rsidRPr="00A500E0">
        <w:rPr>
          <w:rFonts w:ascii="Times New Roman" w:hAnsi="Times New Roman" w:cs="Times New Roman"/>
          <w:sz w:val="24"/>
          <w:szCs w:val="24"/>
        </w:rPr>
        <w:t>Piotrowska Z*</w:t>
      </w:r>
      <w:r w:rsidRPr="00A263FC">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Pr="00A500E0">
        <w:rPr>
          <w:rFonts w:ascii="Times New Roman" w:hAnsi="Times New Roman" w:cs="Times New Roman"/>
          <w:sz w:val="24"/>
          <w:szCs w:val="24"/>
        </w:rPr>
        <w:t>Isozaki</w:t>
      </w:r>
      <w:proofErr w:type="spellEnd"/>
      <w:r w:rsidRPr="00A500E0">
        <w:rPr>
          <w:rFonts w:ascii="Times New Roman" w:hAnsi="Times New Roman" w:cs="Times New Roman"/>
          <w:sz w:val="24"/>
          <w:szCs w:val="24"/>
        </w:rPr>
        <w:t xml:space="preserve"> H*</w:t>
      </w:r>
      <w:r w:rsidRPr="00A263FC">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Pr="00A500E0">
        <w:rPr>
          <w:rFonts w:ascii="Times New Roman" w:hAnsi="Times New Roman" w:cs="Times New Roman"/>
          <w:sz w:val="24"/>
          <w:szCs w:val="24"/>
        </w:rPr>
        <w:t>Lennerz</w:t>
      </w:r>
      <w:proofErr w:type="spellEnd"/>
      <w:r w:rsidRPr="00A500E0">
        <w:rPr>
          <w:rFonts w:ascii="Times New Roman" w:hAnsi="Times New Roman" w:cs="Times New Roman"/>
          <w:sz w:val="24"/>
          <w:szCs w:val="24"/>
        </w:rPr>
        <w:t xml:space="preserve"> J</w:t>
      </w:r>
      <w:r w:rsidRPr="00A263FC">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Gainor</w:t>
      </w:r>
      <w:proofErr w:type="spellEnd"/>
      <w:r w:rsidRPr="00A500E0">
        <w:rPr>
          <w:rFonts w:ascii="Times New Roman" w:hAnsi="Times New Roman" w:cs="Times New Roman"/>
          <w:sz w:val="24"/>
          <w:szCs w:val="24"/>
        </w:rPr>
        <w:t xml:space="preserve"> JF</w:t>
      </w:r>
      <w:r w:rsidRPr="00A263FC">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Lennes</w:t>
      </w:r>
      <w:proofErr w:type="spellEnd"/>
      <w:r w:rsidRPr="00A500E0">
        <w:rPr>
          <w:rFonts w:ascii="Times New Roman" w:hAnsi="Times New Roman" w:cs="Times New Roman"/>
          <w:sz w:val="24"/>
          <w:szCs w:val="24"/>
        </w:rPr>
        <w:t xml:space="preserve"> IT</w:t>
      </w:r>
      <w:r w:rsidRPr="00A263FC">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500E0">
        <w:rPr>
          <w:rFonts w:ascii="Times New Roman" w:hAnsi="Times New Roman" w:cs="Times New Roman"/>
          <w:sz w:val="24"/>
          <w:szCs w:val="24"/>
        </w:rPr>
        <w:t>Zhu V</w:t>
      </w:r>
      <w:r>
        <w:rPr>
          <w:rFonts w:ascii="Times New Roman" w:hAnsi="Times New Roman" w:cs="Times New Roman"/>
          <w:sz w:val="24"/>
          <w:szCs w:val="24"/>
        </w:rPr>
        <w:t>W</w:t>
      </w:r>
      <w:r w:rsidRPr="00A263FC">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sidRPr="00A500E0">
        <w:rPr>
          <w:rFonts w:ascii="Times New Roman" w:hAnsi="Times New Roman" w:cs="Times New Roman"/>
          <w:sz w:val="24"/>
          <w:szCs w:val="24"/>
        </w:rPr>
        <w:t>Marcoux</w:t>
      </w:r>
      <w:proofErr w:type="spellEnd"/>
      <w:r w:rsidRPr="00A500E0">
        <w:rPr>
          <w:rFonts w:ascii="Times New Roman" w:hAnsi="Times New Roman" w:cs="Times New Roman"/>
          <w:sz w:val="24"/>
          <w:szCs w:val="24"/>
        </w:rPr>
        <w:t xml:space="preserve"> N</w:t>
      </w:r>
      <w:r w:rsidRPr="00A263FC">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Pr="00A500E0">
        <w:rPr>
          <w:rFonts w:ascii="Times New Roman" w:hAnsi="Times New Roman" w:cs="Times New Roman"/>
          <w:sz w:val="24"/>
          <w:szCs w:val="24"/>
        </w:rPr>
        <w:t>Banwait</w:t>
      </w:r>
      <w:proofErr w:type="spellEnd"/>
      <w:r w:rsidRPr="00A500E0">
        <w:rPr>
          <w:rFonts w:ascii="Times New Roman" w:hAnsi="Times New Roman" w:cs="Times New Roman"/>
          <w:sz w:val="24"/>
          <w:szCs w:val="24"/>
        </w:rPr>
        <w:t xml:space="preserve"> M</w:t>
      </w:r>
      <w:r w:rsidRPr="00A263FC">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Digumarthy</w:t>
      </w:r>
      <w:proofErr w:type="spellEnd"/>
      <w:r w:rsidRPr="00A500E0">
        <w:rPr>
          <w:rFonts w:ascii="Times New Roman" w:hAnsi="Times New Roman" w:cs="Times New Roman"/>
          <w:sz w:val="24"/>
          <w:szCs w:val="24"/>
        </w:rPr>
        <w:t xml:space="preserve"> S</w:t>
      </w:r>
      <w:r w:rsidRPr="00A263FC">
        <w:rPr>
          <w:rFonts w:ascii="Times New Roman" w:hAnsi="Times New Roman" w:cs="Times New Roman"/>
          <w:sz w:val="24"/>
          <w:szCs w:val="24"/>
          <w:vertAlign w:val="superscript"/>
        </w:rPr>
        <w:t>4</w:t>
      </w:r>
      <w:r>
        <w:rPr>
          <w:rFonts w:ascii="Times New Roman" w:hAnsi="Times New Roman" w:cs="Times New Roman"/>
          <w:sz w:val="24"/>
          <w:szCs w:val="24"/>
        </w:rPr>
        <w:t>, Su W</w:t>
      </w:r>
      <w:r w:rsidRPr="00A263FC">
        <w:rPr>
          <w:rFonts w:ascii="Times New Roman" w:hAnsi="Times New Roman" w:cs="Times New Roman"/>
          <w:sz w:val="24"/>
          <w:szCs w:val="24"/>
          <w:vertAlign w:val="superscript"/>
        </w:rPr>
        <w:t>1</w:t>
      </w:r>
      <w:r>
        <w:rPr>
          <w:rFonts w:ascii="Times New Roman" w:hAnsi="Times New Roman" w:cs="Times New Roman"/>
          <w:sz w:val="24"/>
          <w:szCs w:val="24"/>
        </w:rPr>
        <w:t>, Yoda</w:t>
      </w:r>
      <w:r w:rsidRPr="00A500E0">
        <w:rPr>
          <w:rFonts w:ascii="Times New Roman" w:hAnsi="Times New Roman" w:cs="Times New Roman"/>
          <w:sz w:val="24"/>
          <w:szCs w:val="24"/>
        </w:rPr>
        <w:t xml:space="preserve"> S</w:t>
      </w:r>
      <w:r w:rsidRPr="00A263FC">
        <w:rPr>
          <w:rFonts w:ascii="Times New Roman" w:hAnsi="Times New Roman" w:cs="Times New Roman"/>
          <w:sz w:val="24"/>
          <w:szCs w:val="24"/>
          <w:vertAlign w:val="superscript"/>
        </w:rPr>
        <w:t>1</w:t>
      </w:r>
      <w:r>
        <w:rPr>
          <w:rFonts w:ascii="Times New Roman" w:hAnsi="Times New Roman" w:cs="Times New Roman"/>
          <w:sz w:val="24"/>
          <w:szCs w:val="24"/>
        </w:rPr>
        <w:t>, Riley AK</w:t>
      </w:r>
      <w:r w:rsidRPr="00A263FC">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603BAE">
        <w:rPr>
          <w:rFonts w:ascii="Times New Roman" w:hAnsi="Times New Roman" w:cs="Times New Roman"/>
          <w:sz w:val="24"/>
          <w:szCs w:val="24"/>
        </w:rPr>
        <w:t>Nangia</w:t>
      </w:r>
      <w:proofErr w:type="spellEnd"/>
      <w:r w:rsidR="00603BAE">
        <w:rPr>
          <w:rFonts w:ascii="Times New Roman" w:hAnsi="Times New Roman" w:cs="Times New Roman"/>
          <w:sz w:val="24"/>
          <w:szCs w:val="24"/>
        </w:rPr>
        <w:t xml:space="preserve"> V</w:t>
      </w:r>
      <w:r w:rsidR="00603BAE" w:rsidRPr="00603BAE">
        <w:rPr>
          <w:rFonts w:ascii="Times New Roman" w:hAnsi="Times New Roman" w:cs="Times New Roman"/>
          <w:sz w:val="24"/>
          <w:szCs w:val="24"/>
          <w:vertAlign w:val="superscript"/>
        </w:rPr>
        <w:t>1</w:t>
      </w:r>
      <w:r w:rsidR="00603BAE">
        <w:rPr>
          <w:rFonts w:ascii="Times New Roman" w:hAnsi="Times New Roman" w:cs="Times New Roman"/>
          <w:sz w:val="24"/>
          <w:szCs w:val="24"/>
        </w:rPr>
        <w:t xml:space="preserve">, </w:t>
      </w:r>
      <w:r>
        <w:rPr>
          <w:rFonts w:ascii="Times New Roman" w:hAnsi="Times New Roman" w:cs="Times New Roman"/>
          <w:sz w:val="24"/>
          <w:szCs w:val="24"/>
        </w:rPr>
        <w:t>Lin JJ</w:t>
      </w:r>
      <w:r w:rsidRPr="00A263FC">
        <w:rPr>
          <w:rFonts w:ascii="Times New Roman" w:hAnsi="Times New Roman" w:cs="Times New Roman"/>
          <w:sz w:val="24"/>
          <w:szCs w:val="24"/>
          <w:vertAlign w:val="superscript"/>
        </w:rPr>
        <w:t>1</w:t>
      </w:r>
      <w:r>
        <w:rPr>
          <w:rFonts w:ascii="Times New Roman" w:hAnsi="Times New Roman" w:cs="Times New Roman"/>
          <w:sz w:val="24"/>
          <w:szCs w:val="24"/>
        </w:rPr>
        <w:t>, Nagy</w:t>
      </w:r>
      <w:r w:rsidRPr="00A500E0">
        <w:rPr>
          <w:rFonts w:ascii="Times New Roman" w:hAnsi="Times New Roman" w:cs="Times New Roman"/>
          <w:sz w:val="24"/>
          <w:szCs w:val="24"/>
        </w:rPr>
        <w:t xml:space="preserve"> R</w:t>
      </w:r>
      <w:r w:rsidRPr="00A263FC">
        <w:rPr>
          <w:rFonts w:ascii="Times New Roman" w:hAnsi="Times New Roman" w:cs="Times New Roman"/>
          <w:sz w:val="24"/>
          <w:szCs w:val="24"/>
          <w:vertAlign w:val="superscript"/>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Lanman</w:t>
      </w:r>
      <w:proofErr w:type="spellEnd"/>
      <w:r w:rsidRPr="00A500E0">
        <w:rPr>
          <w:rFonts w:ascii="Times New Roman" w:hAnsi="Times New Roman" w:cs="Times New Roman"/>
          <w:sz w:val="24"/>
          <w:szCs w:val="24"/>
        </w:rPr>
        <w:t xml:space="preserve"> R</w:t>
      </w:r>
      <w:r w:rsidRPr="00A263FC">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A500E0">
        <w:rPr>
          <w:rFonts w:ascii="Times New Roman" w:hAnsi="Times New Roman" w:cs="Times New Roman"/>
          <w:sz w:val="24"/>
          <w:szCs w:val="24"/>
        </w:rPr>
        <w:t>Dias-</w:t>
      </w:r>
      <w:proofErr w:type="spellStart"/>
      <w:r w:rsidRPr="00A500E0">
        <w:rPr>
          <w:rFonts w:ascii="Times New Roman" w:hAnsi="Times New Roman" w:cs="Times New Roman"/>
          <w:sz w:val="24"/>
          <w:szCs w:val="24"/>
        </w:rPr>
        <w:t>Santagata</w:t>
      </w:r>
      <w:proofErr w:type="spellEnd"/>
      <w:r w:rsidRPr="00A500E0">
        <w:rPr>
          <w:rFonts w:ascii="Times New Roman" w:hAnsi="Times New Roman" w:cs="Times New Roman"/>
          <w:sz w:val="24"/>
          <w:szCs w:val="24"/>
        </w:rPr>
        <w:t xml:space="preserve"> D</w:t>
      </w:r>
      <w:r w:rsidRPr="00A263FC">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603BAE">
        <w:rPr>
          <w:rFonts w:ascii="Times New Roman" w:hAnsi="Times New Roman" w:cs="Times New Roman"/>
          <w:sz w:val="24"/>
          <w:szCs w:val="24"/>
        </w:rPr>
        <w:t>Mino-</w:t>
      </w:r>
      <w:proofErr w:type="spellStart"/>
      <w:r w:rsidR="00603BAE">
        <w:rPr>
          <w:rFonts w:ascii="Times New Roman" w:hAnsi="Times New Roman" w:cs="Times New Roman"/>
          <w:sz w:val="24"/>
          <w:szCs w:val="24"/>
        </w:rPr>
        <w:t>Kenudson</w:t>
      </w:r>
      <w:proofErr w:type="spellEnd"/>
      <w:r w:rsidR="00603BAE">
        <w:rPr>
          <w:rFonts w:ascii="Times New Roman" w:hAnsi="Times New Roman" w:cs="Times New Roman"/>
          <w:sz w:val="24"/>
          <w:szCs w:val="24"/>
        </w:rPr>
        <w:t xml:space="preserve"> M</w:t>
      </w:r>
      <w:r w:rsidR="00603BAE" w:rsidRPr="00603BAE">
        <w:rPr>
          <w:rFonts w:ascii="Times New Roman" w:hAnsi="Times New Roman" w:cs="Times New Roman"/>
          <w:sz w:val="24"/>
          <w:szCs w:val="24"/>
          <w:vertAlign w:val="superscript"/>
        </w:rPr>
        <w:t>2</w:t>
      </w:r>
      <w:r w:rsidR="00603BAE">
        <w:rPr>
          <w:rFonts w:ascii="Times New Roman" w:hAnsi="Times New Roman" w:cs="Times New Roman"/>
          <w:sz w:val="24"/>
          <w:szCs w:val="24"/>
        </w:rPr>
        <w:t xml:space="preserve">, </w:t>
      </w:r>
      <w:proofErr w:type="spellStart"/>
      <w:r w:rsidRPr="00A500E0">
        <w:rPr>
          <w:rFonts w:ascii="Times New Roman" w:hAnsi="Times New Roman" w:cs="Times New Roman"/>
          <w:sz w:val="24"/>
          <w:szCs w:val="24"/>
        </w:rPr>
        <w:t>Iafrate</w:t>
      </w:r>
      <w:proofErr w:type="spellEnd"/>
      <w:r w:rsidRPr="00A500E0">
        <w:rPr>
          <w:rFonts w:ascii="Times New Roman" w:hAnsi="Times New Roman" w:cs="Times New Roman"/>
          <w:sz w:val="24"/>
          <w:szCs w:val="24"/>
        </w:rPr>
        <w:t xml:space="preserve"> AJ</w:t>
      </w:r>
      <w:r w:rsidRPr="00A263FC">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A500E0">
        <w:rPr>
          <w:rFonts w:ascii="Times New Roman" w:hAnsi="Times New Roman" w:cs="Times New Roman"/>
          <w:sz w:val="24"/>
          <w:szCs w:val="24"/>
        </w:rPr>
        <w:t>Heist RS</w:t>
      </w:r>
      <w:r w:rsidRPr="00A263FC">
        <w:rPr>
          <w:rFonts w:ascii="Times New Roman" w:hAnsi="Times New Roman" w:cs="Times New Roman"/>
          <w:sz w:val="24"/>
          <w:szCs w:val="24"/>
          <w:vertAlign w:val="superscript"/>
        </w:rPr>
        <w:t>1</w:t>
      </w:r>
      <w:r>
        <w:rPr>
          <w:rFonts w:ascii="Times New Roman" w:hAnsi="Times New Roman" w:cs="Times New Roman"/>
          <w:sz w:val="24"/>
          <w:szCs w:val="24"/>
        </w:rPr>
        <w:t xml:space="preserve">, Shaw </w:t>
      </w:r>
      <w:r w:rsidRPr="00A500E0">
        <w:rPr>
          <w:rFonts w:ascii="Times New Roman" w:hAnsi="Times New Roman" w:cs="Times New Roman"/>
          <w:sz w:val="24"/>
          <w:szCs w:val="24"/>
        </w:rPr>
        <w:t>AT</w:t>
      </w:r>
      <w:r w:rsidRPr="00A263FC">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500E0">
        <w:rPr>
          <w:rFonts w:ascii="Times New Roman" w:hAnsi="Times New Roman" w:cs="Times New Roman"/>
          <w:sz w:val="24"/>
          <w:szCs w:val="24"/>
        </w:rPr>
        <w:t>Evans E</w:t>
      </w:r>
      <w:r>
        <w:rPr>
          <w:rFonts w:ascii="Times New Roman" w:hAnsi="Times New Roman" w:cs="Times New Roman"/>
          <w:sz w:val="24"/>
          <w:szCs w:val="24"/>
        </w:rPr>
        <w:t>K</w:t>
      </w:r>
      <w:r w:rsidRPr="00A263FC">
        <w:rPr>
          <w:rFonts w:ascii="Times New Roman" w:hAnsi="Times New Roman" w:cs="Times New Roman"/>
          <w:sz w:val="24"/>
          <w:szCs w:val="24"/>
          <w:vertAlign w:val="superscript"/>
        </w:rPr>
        <w:t>6</w:t>
      </w:r>
      <w:r>
        <w:rPr>
          <w:rFonts w:ascii="Times New Roman" w:hAnsi="Times New Roman" w:cs="Times New Roman"/>
          <w:sz w:val="24"/>
          <w:szCs w:val="24"/>
        </w:rPr>
        <w:t>, Clifford</w:t>
      </w:r>
      <w:r w:rsidRPr="00A500E0">
        <w:rPr>
          <w:rFonts w:ascii="Times New Roman" w:hAnsi="Times New Roman" w:cs="Times New Roman"/>
          <w:sz w:val="24"/>
          <w:szCs w:val="24"/>
        </w:rPr>
        <w:t xml:space="preserve"> C</w:t>
      </w:r>
      <w:r w:rsidRPr="00A263FC">
        <w:rPr>
          <w:rFonts w:ascii="Times New Roman" w:hAnsi="Times New Roman" w:cs="Times New Roman"/>
          <w:sz w:val="24"/>
          <w:szCs w:val="24"/>
          <w:vertAlign w:val="superscript"/>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Ou</w:t>
      </w:r>
      <w:proofErr w:type="spellEnd"/>
      <w:r w:rsidRPr="00A500E0">
        <w:rPr>
          <w:rFonts w:ascii="Times New Roman" w:hAnsi="Times New Roman" w:cs="Times New Roman"/>
          <w:sz w:val="24"/>
          <w:szCs w:val="24"/>
        </w:rPr>
        <w:t xml:space="preserve"> </w:t>
      </w:r>
      <w:r>
        <w:rPr>
          <w:rFonts w:ascii="Times New Roman" w:hAnsi="Times New Roman" w:cs="Times New Roman"/>
          <w:sz w:val="24"/>
          <w:szCs w:val="24"/>
        </w:rPr>
        <w:t>S</w:t>
      </w:r>
      <w:r w:rsidRPr="00A500E0">
        <w:rPr>
          <w:rFonts w:ascii="Times New Roman" w:hAnsi="Times New Roman" w:cs="Times New Roman"/>
          <w:sz w:val="24"/>
          <w:szCs w:val="24"/>
        </w:rPr>
        <w:t>I</w:t>
      </w:r>
      <w:r w:rsidRPr="00A263F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A500E0">
        <w:rPr>
          <w:rFonts w:ascii="Times New Roman" w:hAnsi="Times New Roman" w:cs="Times New Roman"/>
          <w:sz w:val="24"/>
          <w:szCs w:val="24"/>
        </w:rPr>
        <w:t>Wolf</w:t>
      </w:r>
      <w:r>
        <w:rPr>
          <w:rFonts w:ascii="Times New Roman" w:hAnsi="Times New Roman" w:cs="Times New Roman"/>
          <w:sz w:val="24"/>
          <w:szCs w:val="24"/>
        </w:rPr>
        <w:t xml:space="preserve"> </w:t>
      </w:r>
      <w:r w:rsidRPr="00A500E0">
        <w:rPr>
          <w:rFonts w:ascii="Times New Roman" w:hAnsi="Times New Roman" w:cs="Times New Roman"/>
          <w:sz w:val="24"/>
          <w:szCs w:val="24"/>
        </w:rPr>
        <w:t>B</w:t>
      </w:r>
      <w:r>
        <w:rPr>
          <w:rFonts w:ascii="Times New Roman" w:hAnsi="Times New Roman" w:cs="Times New Roman"/>
          <w:sz w:val="24"/>
          <w:szCs w:val="24"/>
        </w:rPr>
        <w:t>B</w:t>
      </w:r>
      <w:r w:rsidRPr="00A263FC">
        <w:rPr>
          <w:rFonts w:ascii="Times New Roman" w:hAnsi="Times New Roman" w:cs="Times New Roman"/>
          <w:sz w:val="24"/>
          <w:szCs w:val="24"/>
          <w:vertAlign w:val="superscript"/>
        </w:rPr>
        <w:t>6</w:t>
      </w:r>
      <w:r>
        <w:rPr>
          <w:rFonts w:ascii="Times New Roman" w:hAnsi="Times New Roman" w:cs="Times New Roman"/>
          <w:sz w:val="24"/>
          <w:szCs w:val="24"/>
        </w:rPr>
        <w:t xml:space="preserve">, </w:t>
      </w:r>
      <w:proofErr w:type="spellStart"/>
      <w:r w:rsidRPr="00A500E0">
        <w:rPr>
          <w:rFonts w:ascii="Times New Roman" w:hAnsi="Times New Roman" w:cs="Times New Roman"/>
          <w:sz w:val="24"/>
          <w:szCs w:val="24"/>
        </w:rPr>
        <w:t>Hata</w:t>
      </w:r>
      <w:proofErr w:type="spellEnd"/>
      <w:r w:rsidRPr="00A500E0">
        <w:rPr>
          <w:rFonts w:ascii="Times New Roman" w:hAnsi="Times New Roman" w:cs="Times New Roman"/>
          <w:sz w:val="24"/>
          <w:szCs w:val="24"/>
        </w:rPr>
        <w:t xml:space="preserve"> A</w:t>
      </w:r>
      <w:r>
        <w:rPr>
          <w:rFonts w:ascii="Times New Roman" w:hAnsi="Times New Roman" w:cs="Times New Roman"/>
          <w:sz w:val="24"/>
          <w:szCs w:val="24"/>
        </w:rPr>
        <w:t>N</w:t>
      </w:r>
      <w:r w:rsidRPr="00A263FC">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500E0">
        <w:rPr>
          <w:rFonts w:ascii="Times New Roman" w:hAnsi="Times New Roman" w:cs="Times New Roman"/>
          <w:sz w:val="24"/>
          <w:szCs w:val="24"/>
        </w:rPr>
        <w:t>Sequist LV</w:t>
      </w:r>
      <w:r w:rsidRPr="00A263FC">
        <w:rPr>
          <w:rFonts w:ascii="Times New Roman" w:hAnsi="Times New Roman" w:cs="Times New Roman"/>
          <w:sz w:val="24"/>
          <w:szCs w:val="24"/>
          <w:vertAlign w:val="superscript"/>
        </w:rPr>
        <w:t>1</w:t>
      </w:r>
    </w:p>
    <w:p w14:paraId="151404B8" w14:textId="77777777" w:rsidR="00585E1D" w:rsidRDefault="00585E1D" w:rsidP="00EF15E3">
      <w:pPr>
        <w:jc w:val="center"/>
        <w:rPr>
          <w:rFonts w:ascii="Times New Roman" w:hAnsi="Times New Roman" w:cs="Times New Roman"/>
          <w:b/>
          <w:sz w:val="24"/>
          <w:szCs w:val="24"/>
        </w:rPr>
      </w:pPr>
    </w:p>
    <w:p w14:paraId="170AC931" w14:textId="77777777" w:rsidR="00EF15E3" w:rsidRDefault="00EF15E3" w:rsidP="00EF15E3">
      <w:pPr>
        <w:jc w:val="center"/>
        <w:rPr>
          <w:rFonts w:ascii="Times New Roman" w:hAnsi="Times New Roman" w:cs="Times New Roman"/>
          <w:b/>
          <w:sz w:val="24"/>
          <w:szCs w:val="24"/>
        </w:rPr>
      </w:pPr>
    </w:p>
    <w:p w14:paraId="13D52110" w14:textId="77777777" w:rsidR="00EF15E3" w:rsidRDefault="00EF15E3" w:rsidP="00EF15E3">
      <w:pPr>
        <w:jc w:val="center"/>
        <w:rPr>
          <w:rFonts w:ascii="Times New Roman" w:hAnsi="Times New Roman" w:cs="Times New Roman"/>
          <w:b/>
          <w:sz w:val="24"/>
          <w:szCs w:val="24"/>
        </w:rPr>
      </w:pPr>
      <w:bookmarkStart w:id="0" w:name="_GoBack"/>
      <w:bookmarkEnd w:id="0"/>
    </w:p>
    <w:p w14:paraId="7262287E" w14:textId="77777777" w:rsidR="00EF15E3" w:rsidRDefault="00EF15E3" w:rsidP="00EF15E3">
      <w:pPr>
        <w:jc w:val="center"/>
        <w:rPr>
          <w:rFonts w:ascii="Times New Roman" w:hAnsi="Times New Roman" w:cs="Times New Roman"/>
          <w:b/>
          <w:sz w:val="24"/>
          <w:szCs w:val="24"/>
        </w:rPr>
      </w:pPr>
    </w:p>
    <w:p w14:paraId="3AB86721" w14:textId="77777777" w:rsidR="00EF15E3" w:rsidRDefault="00EF15E3" w:rsidP="00EF15E3">
      <w:pPr>
        <w:jc w:val="center"/>
        <w:rPr>
          <w:rFonts w:ascii="Times New Roman" w:hAnsi="Times New Roman" w:cs="Times New Roman"/>
          <w:b/>
          <w:sz w:val="24"/>
          <w:szCs w:val="24"/>
        </w:rPr>
      </w:pPr>
    </w:p>
    <w:p w14:paraId="4F59327B" w14:textId="77777777" w:rsidR="00EF15E3" w:rsidRDefault="00EF15E3" w:rsidP="00EF15E3">
      <w:pPr>
        <w:jc w:val="center"/>
        <w:rPr>
          <w:rFonts w:ascii="Times New Roman" w:hAnsi="Times New Roman" w:cs="Times New Roman"/>
          <w:b/>
          <w:sz w:val="24"/>
          <w:szCs w:val="24"/>
        </w:rPr>
      </w:pPr>
    </w:p>
    <w:p w14:paraId="2BF27C31" w14:textId="77777777" w:rsidR="00EF15E3" w:rsidRDefault="00EF15E3" w:rsidP="00EF15E3">
      <w:pPr>
        <w:jc w:val="center"/>
        <w:rPr>
          <w:rFonts w:ascii="Times New Roman" w:hAnsi="Times New Roman" w:cs="Times New Roman"/>
          <w:b/>
          <w:sz w:val="24"/>
          <w:szCs w:val="24"/>
        </w:rPr>
      </w:pPr>
    </w:p>
    <w:p w14:paraId="10931FAC" w14:textId="77777777" w:rsidR="00EF15E3" w:rsidRDefault="00EF15E3" w:rsidP="00EF15E3">
      <w:pPr>
        <w:jc w:val="center"/>
        <w:rPr>
          <w:rFonts w:ascii="Times New Roman" w:hAnsi="Times New Roman" w:cs="Times New Roman"/>
          <w:b/>
          <w:sz w:val="24"/>
          <w:szCs w:val="24"/>
        </w:rPr>
      </w:pPr>
    </w:p>
    <w:p w14:paraId="7732C1FA" w14:textId="77777777" w:rsidR="00EF15E3" w:rsidRDefault="00EF15E3" w:rsidP="00EF15E3">
      <w:pPr>
        <w:jc w:val="center"/>
        <w:rPr>
          <w:rFonts w:ascii="Times New Roman" w:hAnsi="Times New Roman" w:cs="Times New Roman"/>
          <w:b/>
          <w:sz w:val="24"/>
          <w:szCs w:val="24"/>
        </w:rPr>
      </w:pPr>
    </w:p>
    <w:p w14:paraId="7148925F" w14:textId="77777777" w:rsidR="00EF15E3" w:rsidRDefault="00EF15E3" w:rsidP="00EF15E3">
      <w:pPr>
        <w:jc w:val="center"/>
        <w:rPr>
          <w:rFonts w:ascii="Times New Roman" w:hAnsi="Times New Roman" w:cs="Times New Roman"/>
          <w:b/>
          <w:sz w:val="24"/>
          <w:szCs w:val="24"/>
        </w:rPr>
      </w:pPr>
    </w:p>
    <w:p w14:paraId="08243EC6" w14:textId="77777777" w:rsidR="00EF15E3" w:rsidRDefault="00EF15E3" w:rsidP="00EF15E3">
      <w:pPr>
        <w:jc w:val="center"/>
        <w:rPr>
          <w:rFonts w:ascii="Times New Roman" w:hAnsi="Times New Roman" w:cs="Times New Roman"/>
          <w:b/>
          <w:sz w:val="24"/>
          <w:szCs w:val="24"/>
        </w:rPr>
      </w:pPr>
    </w:p>
    <w:p w14:paraId="7188F9EF" w14:textId="77777777" w:rsidR="00EF15E3" w:rsidRPr="00EF15E3" w:rsidRDefault="00EF15E3" w:rsidP="00EF15E3">
      <w:pPr>
        <w:jc w:val="center"/>
        <w:rPr>
          <w:rFonts w:ascii="Times New Roman" w:hAnsi="Times New Roman" w:cs="Times New Roman"/>
          <w:b/>
          <w:sz w:val="24"/>
          <w:szCs w:val="24"/>
        </w:rPr>
      </w:pPr>
    </w:p>
    <w:p w14:paraId="3DBEAFDB" w14:textId="576D4C09" w:rsidR="00EF15E3" w:rsidRPr="00EF15E3" w:rsidRDefault="00EF15E3" w:rsidP="00EF15E3">
      <w:pPr>
        <w:jc w:val="center"/>
        <w:rPr>
          <w:rFonts w:ascii="Times New Roman" w:hAnsi="Times New Roman" w:cs="Times New Roman"/>
          <w:b/>
          <w:sz w:val="24"/>
          <w:szCs w:val="24"/>
        </w:rPr>
      </w:pPr>
      <w:r w:rsidRPr="00EF15E3">
        <w:rPr>
          <w:rFonts w:ascii="Times New Roman" w:hAnsi="Times New Roman" w:cs="Times New Roman"/>
          <w:b/>
          <w:sz w:val="24"/>
          <w:szCs w:val="24"/>
        </w:rPr>
        <w:t>SUPPLEMENTAL DATA</w:t>
      </w:r>
    </w:p>
    <w:p w14:paraId="1E3AF3CD" w14:textId="77777777" w:rsidR="00585E1D" w:rsidRPr="00EF15E3" w:rsidRDefault="00585E1D" w:rsidP="00EF15E3">
      <w:pPr>
        <w:jc w:val="center"/>
        <w:rPr>
          <w:rFonts w:ascii="Times New Roman" w:hAnsi="Times New Roman" w:cs="Times New Roman"/>
          <w:b/>
          <w:sz w:val="24"/>
          <w:szCs w:val="24"/>
        </w:rPr>
      </w:pPr>
      <w:r w:rsidRPr="00EF15E3">
        <w:rPr>
          <w:rFonts w:ascii="Times New Roman" w:hAnsi="Times New Roman" w:cs="Times New Roman"/>
          <w:b/>
          <w:sz w:val="24"/>
          <w:szCs w:val="24"/>
        </w:rPr>
        <w:br w:type="page"/>
      </w:r>
    </w:p>
    <w:p w14:paraId="3896F324" w14:textId="5457A9E0" w:rsidR="004A3889" w:rsidRPr="004A3889" w:rsidRDefault="004A3889" w:rsidP="004A3889">
      <w:pPr>
        <w:rPr>
          <w:b/>
          <w:sz w:val="20"/>
        </w:rPr>
      </w:pPr>
      <w:r w:rsidRPr="004A3889">
        <w:rPr>
          <w:b/>
          <w:sz w:val="20"/>
        </w:rPr>
        <w:lastRenderedPageBreak/>
        <w:t>SUPPLEMENTAL TABLE:</w:t>
      </w:r>
    </w:p>
    <w:p w14:paraId="11FA8F49" w14:textId="77777777" w:rsidR="004A3889" w:rsidRDefault="004A3889" w:rsidP="004A3889">
      <w:pPr>
        <w:rPr>
          <w:sz w:val="20"/>
        </w:rPr>
      </w:pPr>
    </w:p>
    <w:p w14:paraId="008A6BF0" w14:textId="77777777" w:rsidR="004A3889" w:rsidRDefault="004A3889" w:rsidP="004A3889">
      <w:pPr>
        <w:rPr>
          <w:sz w:val="20"/>
        </w:rPr>
      </w:pPr>
      <w:r>
        <w:rPr>
          <w:sz w:val="20"/>
        </w:rPr>
        <w:t>Table S1. Gene Coverage of Assays Used in the Study.</w:t>
      </w:r>
    </w:p>
    <w:p w14:paraId="595B7BBA" w14:textId="77777777" w:rsidR="004A3889" w:rsidRDefault="004A3889" w:rsidP="004A3889">
      <w:pPr>
        <w:rPr>
          <w:sz w:val="20"/>
          <w:szCs w:val="20"/>
        </w:rPr>
      </w:pPr>
    </w:p>
    <w:tbl>
      <w:tblPr>
        <w:tblStyle w:val="PlainTable1"/>
        <w:tblW w:w="0" w:type="auto"/>
        <w:tblLook w:val="04A0" w:firstRow="1" w:lastRow="0" w:firstColumn="1" w:lastColumn="0" w:noHBand="0" w:noVBand="1"/>
      </w:tblPr>
      <w:tblGrid>
        <w:gridCol w:w="1513"/>
        <w:gridCol w:w="822"/>
        <w:gridCol w:w="7015"/>
      </w:tblGrid>
      <w:tr w:rsidR="004A3889" w14:paraId="79EBE732" w14:textId="77777777" w:rsidTr="0090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vAlign w:val="center"/>
          </w:tcPr>
          <w:p w14:paraId="25A6687D" w14:textId="77777777" w:rsidR="004A3889" w:rsidRPr="00114D5F" w:rsidRDefault="004A3889" w:rsidP="00904A84">
            <w:pPr>
              <w:rPr>
                <w:sz w:val="16"/>
                <w:szCs w:val="16"/>
              </w:rPr>
            </w:pPr>
            <w:r w:rsidRPr="00114D5F">
              <w:rPr>
                <w:sz w:val="16"/>
                <w:szCs w:val="16"/>
              </w:rPr>
              <w:t>Assay</w:t>
            </w:r>
          </w:p>
        </w:tc>
        <w:tc>
          <w:tcPr>
            <w:tcW w:w="822" w:type="dxa"/>
            <w:vAlign w:val="center"/>
          </w:tcPr>
          <w:p w14:paraId="7C034126" w14:textId="77777777" w:rsidR="004A3889" w:rsidRPr="00114D5F" w:rsidRDefault="004A3889" w:rsidP="00904A84">
            <w:pPr>
              <w:cnfStyle w:val="100000000000" w:firstRow="1" w:lastRow="0" w:firstColumn="0" w:lastColumn="0" w:oddVBand="0" w:evenVBand="0" w:oddHBand="0" w:evenHBand="0" w:firstRowFirstColumn="0" w:firstRowLastColumn="0" w:lastRowFirstColumn="0" w:lastRowLastColumn="0"/>
              <w:rPr>
                <w:sz w:val="16"/>
                <w:szCs w:val="16"/>
              </w:rPr>
            </w:pPr>
            <w:r w:rsidRPr="00114D5F">
              <w:rPr>
                <w:sz w:val="16"/>
                <w:szCs w:val="16"/>
              </w:rPr>
              <w:t># Patients Tested</w:t>
            </w:r>
          </w:p>
        </w:tc>
        <w:tc>
          <w:tcPr>
            <w:tcW w:w="7015" w:type="dxa"/>
            <w:vAlign w:val="center"/>
          </w:tcPr>
          <w:p w14:paraId="23E7426C" w14:textId="77777777" w:rsidR="004A3889" w:rsidRPr="00114D5F" w:rsidRDefault="004A3889" w:rsidP="00904A84">
            <w:pPr>
              <w:cnfStyle w:val="100000000000" w:firstRow="1" w:lastRow="0" w:firstColumn="0" w:lastColumn="0" w:oddVBand="0" w:evenVBand="0" w:oddHBand="0" w:evenHBand="0" w:firstRowFirstColumn="0" w:firstRowLastColumn="0" w:lastRowFirstColumn="0" w:lastRowLastColumn="0"/>
              <w:rPr>
                <w:sz w:val="16"/>
                <w:szCs w:val="16"/>
              </w:rPr>
            </w:pPr>
            <w:r w:rsidRPr="00114D5F">
              <w:rPr>
                <w:sz w:val="16"/>
                <w:szCs w:val="16"/>
              </w:rPr>
              <w:t>Genes Covered/Details</w:t>
            </w:r>
          </w:p>
        </w:tc>
      </w:tr>
      <w:tr w:rsidR="004A3889" w14:paraId="0DF354BA" w14:textId="77777777" w:rsidTr="0090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14:paraId="6A1171AE" w14:textId="77777777" w:rsidR="004A3889" w:rsidRPr="00114D5F" w:rsidRDefault="004A3889" w:rsidP="00904A84">
            <w:pPr>
              <w:rPr>
                <w:b w:val="0"/>
                <w:color w:val="000000" w:themeColor="text1"/>
                <w:sz w:val="16"/>
                <w:szCs w:val="16"/>
              </w:rPr>
            </w:pPr>
            <w:r w:rsidRPr="00114D5F">
              <w:rPr>
                <w:b w:val="0"/>
                <w:color w:val="000000" w:themeColor="text1"/>
                <w:sz w:val="16"/>
                <w:szCs w:val="16"/>
              </w:rPr>
              <w:t>MGH SNaPshot NGS-V1</w:t>
            </w:r>
          </w:p>
        </w:tc>
        <w:tc>
          <w:tcPr>
            <w:tcW w:w="822" w:type="dxa"/>
          </w:tcPr>
          <w:p w14:paraId="3A431E9E" w14:textId="77777777" w:rsidR="004A3889" w:rsidRPr="00114D5F" w:rsidRDefault="004A3889" w:rsidP="00904A8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14D5F">
              <w:rPr>
                <w:color w:val="000000" w:themeColor="text1"/>
                <w:sz w:val="16"/>
                <w:szCs w:val="16"/>
              </w:rPr>
              <w:t>5</w:t>
            </w:r>
          </w:p>
        </w:tc>
        <w:tc>
          <w:tcPr>
            <w:tcW w:w="7015" w:type="dxa"/>
          </w:tcPr>
          <w:p w14:paraId="3BFA5749" w14:textId="77777777" w:rsidR="004A3889" w:rsidRPr="00114D5F" w:rsidRDefault="004A3889" w:rsidP="00904A8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14D5F">
              <w:rPr>
                <w:color w:val="000000" w:themeColor="text1"/>
                <w:sz w:val="16"/>
                <w:szCs w:val="16"/>
              </w:rPr>
              <w:t>The gene targets covered by this assay are as follows (exons):  AKT1 (3), ALK (22, 23, 25), APC (16), BRAF (11, 15), CDH1 (1, 2, 3, 4, 5, 6, 7, 8, 9, 10, 11, 12, 13, 14, 15, 16), CDKN2A (1, 2, 3), CTNNB1 (3), DDR2 (12, 13, 14, 15, 16, 17, 18), EGFR (7, 15, 18, 19, 20, 21), ERBB2 (10, 20), ESR1 (8), FBXW7 (1, 2, 3, 4, 5, 6, 7, 8, 9, 10, 11), FGFR1 (4, 8, 15, 17), FGFR2 (7, 9, 12,14), FGFR3 (7, 8, 9, 14, 16), FOXL2 (1), GNA11 (5), GNAQ (4, 5), GNAS (6, 7, 8, 9), HRAS (2, 3),     IDH1 (3, 4), IDH2 (4), KIT (8, 9, 11, 17), KRAS (2, 3, 4, 5), MAP2K1 (2, 3), MET(14, 16, 19, 21), NOTCH (25, 26, 34), NRAS (2, 3, 4, 5), PDGFRA (12, 14, 18, 23), PIK3CA (2, 5, 8, 10, 21), PIK3R1 (1, 2, 3, 4, 5, 6, 7, 8, 9, 10), PTEN (1,2, 3, 4, 5, 6, 7, 8, 9), RET (11, 16), ROS1 (38), SMAD4 (2, 3, 4, 5, 6, 7, 8, 9,10, 11, 12), SMO (9), STK11 (1, 2, 3, 4, 5, 6, 7, 8, 9), TP53 (1, 2, 3, 4, 5, 6,7, 8, 9, 10, 11), and VHL (1, 2, 3).</w:t>
            </w:r>
          </w:p>
        </w:tc>
      </w:tr>
      <w:tr w:rsidR="004A3889" w14:paraId="7DFA55F1" w14:textId="77777777" w:rsidTr="00904A84">
        <w:tc>
          <w:tcPr>
            <w:cnfStyle w:val="001000000000" w:firstRow="0" w:lastRow="0" w:firstColumn="1" w:lastColumn="0" w:oddVBand="0" w:evenVBand="0" w:oddHBand="0" w:evenHBand="0" w:firstRowFirstColumn="0" w:firstRowLastColumn="0" w:lastRowFirstColumn="0" w:lastRowLastColumn="0"/>
            <w:tcW w:w="1513" w:type="dxa"/>
          </w:tcPr>
          <w:p w14:paraId="4B0628CE" w14:textId="77777777" w:rsidR="004A3889" w:rsidRPr="00114D5F" w:rsidRDefault="004A3889" w:rsidP="00904A84">
            <w:pPr>
              <w:rPr>
                <w:b w:val="0"/>
                <w:color w:val="000000" w:themeColor="text1"/>
                <w:sz w:val="16"/>
                <w:szCs w:val="16"/>
              </w:rPr>
            </w:pPr>
            <w:r w:rsidRPr="00114D5F">
              <w:rPr>
                <w:b w:val="0"/>
                <w:color w:val="000000" w:themeColor="text1"/>
                <w:sz w:val="16"/>
                <w:szCs w:val="16"/>
              </w:rPr>
              <w:t>MGH SNaPshot NGS-V2</w:t>
            </w:r>
          </w:p>
        </w:tc>
        <w:tc>
          <w:tcPr>
            <w:tcW w:w="822" w:type="dxa"/>
          </w:tcPr>
          <w:p w14:paraId="46583A62" w14:textId="77777777" w:rsidR="004A3889" w:rsidRPr="00114D5F" w:rsidRDefault="004A3889" w:rsidP="00904A8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14D5F">
              <w:rPr>
                <w:color w:val="000000" w:themeColor="text1"/>
                <w:sz w:val="16"/>
                <w:szCs w:val="16"/>
              </w:rPr>
              <w:t>28</w:t>
            </w:r>
          </w:p>
        </w:tc>
        <w:tc>
          <w:tcPr>
            <w:tcW w:w="7015" w:type="dxa"/>
          </w:tcPr>
          <w:p w14:paraId="41C48962" w14:textId="77777777" w:rsidR="004A3889" w:rsidRPr="00114D5F" w:rsidRDefault="004A3889" w:rsidP="00904A8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14D5F">
              <w:rPr>
                <w:color w:val="000000" w:themeColor="text1"/>
                <w:sz w:val="16"/>
                <w:szCs w:val="16"/>
              </w:rPr>
              <w:t>The 91 gene targets covered by this test are as follows (exons): ABL1 (4-7), AKT1 (3,6), ALK (21-23,25), APC (16), ARID1A (1-20), ATM (1-63), ATRX (1-35), AURKA (2,5-8), BRAF (11,15), BRCA1 (2-23), BRCA2 (2-27), CCNE1 (3-8,10,12), CDH1 (1-16), CDK4 (2-7), CDKN2A (1-3), CIC (1-20), CSF1R (7,22), CTNNB1 (3), DAXX (1-8), DDR2 (12-18), DDX3X (1-17), EGFR (3,7,15,18-21), ERBB2 (8,10,19-21,24), ERBB3 (2-3,7-8), ERBB4 (3-4,6-9,15,23), ESR1 (8), EZH2 (16), FBXW7 (1-11), FGFR1 (4,7-8,13,15,17), FGFR2 (7,9,12,14), FGFR3 (7-9,14-16,18), FLT3 (11,14,16,20), FOXL2 (1), GNA11 (5), GNAQ (4-5), GNAS (6-9), H3F3A (2), HNF1A (3-4), HRAS (2-3), IDH1 (3-4), IDH2 (4), JAK2 (11,13-14,16,19), JAK3 (4,13,16), KDR (6-7,11,19,21,26-27,30), KEAP1 (2-6), KIT (2,8-11,13-15,17-18), KRAS (2-5), MAP2K1 (2,3,6-7), MAP3K1 (1-20), MDM2 (2-4,6,8,10), MEN1 (2-10), MET (2,11,14,16,19,21), MLH1 (12), MPL (10), MSH6 (1-10), MSI, MYC (1-3), MYCN (3), NF1 (1-58), NF2 (1-15), NOTCH1 (25-27,34), NPM1 (11),</w:t>
            </w:r>
          </w:p>
          <w:p w14:paraId="2BD74EE4" w14:textId="77777777" w:rsidR="004A3889" w:rsidRPr="00114D5F" w:rsidRDefault="004A3889" w:rsidP="00904A8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14D5F">
              <w:rPr>
                <w:color w:val="000000" w:themeColor="text1"/>
                <w:sz w:val="16"/>
                <w:szCs w:val="16"/>
              </w:rPr>
              <w:t>NRAS (2-5), PIK3CA (2,5,7-8,10,14,19,21), PIK3R1 (1-10), POLE (9-14), PTCH1 (1-23), PTEN (1-9), PTPN11 (3,13), RB1 (1-27), RET (10-11,13-16), RHOA (2-3), RNF43 (2-10), ROS1 (38), SDHB (1-8), SMAD2 (7), SMAD4 (2-12), SMARCA4 (3-36), SMARCB1 (2,4,5,9), SMO (3,5-6,9,11), SRC (14), STAG2 (3-34), STK11 (1-9), SUFU (1-12), TERT (1), TP53 (1-11), TP63 (1-14), TSC1 (3-23), TSC2 (2-42), TSHR (10), VHL (1-3).</w:t>
            </w:r>
          </w:p>
        </w:tc>
      </w:tr>
      <w:tr w:rsidR="004A3889" w14:paraId="16191228" w14:textId="77777777" w:rsidTr="0090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14:paraId="07C00BF2" w14:textId="77777777" w:rsidR="004A3889" w:rsidRPr="00114D5F" w:rsidRDefault="004A3889" w:rsidP="00904A84">
            <w:pPr>
              <w:rPr>
                <w:b w:val="0"/>
                <w:color w:val="000000" w:themeColor="text1"/>
                <w:sz w:val="16"/>
                <w:szCs w:val="16"/>
              </w:rPr>
            </w:pPr>
            <w:r w:rsidRPr="00114D5F">
              <w:rPr>
                <w:b w:val="0"/>
                <w:color w:val="000000" w:themeColor="text1"/>
                <w:sz w:val="16"/>
                <w:szCs w:val="16"/>
              </w:rPr>
              <w:t>MGH Solid Fusion Assay</w:t>
            </w:r>
          </w:p>
        </w:tc>
        <w:tc>
          <w:tcPr>
            <w:tcW w:w="822" w:type="dxa"/>
          </w:tcPr>
          <w:p w14:paraId="6D96ED19" w14:textId="77777777" w:rsidR="004A3889" w:rsidRPr="00114D5F" w:rsidRDefault="004A3889" w:rsidP="00904A8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14D5F">
              <w:rPr>
                <w:color w:val="000000" w:themeColor="text1"/>
                <w:sz w:val="16"/>
                <w:szCs w:val="16"/>
              </w:rPr>
              <w:t>24</w:t>
            </w:r>
          </w:p>
        </w:tc>
        <w:tc>
          <w:tcPr>
            <w:tcW w:w="7015" w:type="dxa"/>
          </w:tcPr>
          <w:p w14:paraId="5212BC09" w14:textId="77777777" w:rsidR="004A3889" w:rsidRPr="00114D5F" w:rsidRDefault="004A3889" w:rsidP="00904A8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14D5F">
              <w:rPr>
                <w:color w:val="000000" w:themeColor="text1"/>
                <w:sz w:val="16"/>
                <w:szCs w:val="16"/>
              </w:rPr>
              <w:t>TARGETS VALIDATED FOR CLINICAL REPORTING: ALK (19-22, intron 19), BRAF (7-12, 15), BRD4 (10, 11), EGFR (2-7 exon skipping/</w:t>
            </w:r>
            <w:proofErr w:type="spellStart"/>
            <w:r w:rsidRPr="00114D5F">
              <w:rPr>
                <w:color w:val="000000" w:themeColor="text1"/>
                <w:sz w:val="16"/>
                <w:szCs w:val="16"/>
              </w:rPr>
              <w:t>vIII</w:t>
            </w:r>
            <w:proofErr w:type="spellEnd"/>
            <w:r w:rsidRPr="00114D5F">
              <w:rPr>
                <w:color w:val="000000" w:themeColor="text1"/>
                <w:sz w:val="16"/>
                <w:szCs w:val="16"/>
              </w:rPr>
              <w:t xml:space="preserve"> variant, 7-9, 16, 20, 24, 25), EWSR1 (4-14), FGFR2 (2, 8-10, 17), MAML2 (2, 3), MET (exon 14 skipping), NRG1(1-3, 6), NUTM1 (3), RET (8-13), and ROS1 (31-37).</w:t>
            </w:r>
          </w:p>
          <w:p w14:paraId="33C48B19" w14:textId="77777777" w:rsidR="004A3889" w:rsidRPr="00114D5F" w:rsidRDefault="004A3889" w:rsidP="00904A8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14D5F">
              <w:rPr>
                <w:color w:val="000000" w:themeColor="text1"/>
                <w:sz w:val="16"/>
                <w:szCs w:val="16"/>
              </w:rPr>
              <w:t>ADDITIONAL TARGETED GENES (EXONS): AKT3 (1-3), AR (1-8), ARHGAP26 (2, 10-12), AXL (19,20), BRD3 (9-12), SF1 (5-9), CSF1R (7,11-13,22), ERG (2-11), ESR1 (3-6), ETV1 (3-13), ETV4 (2, 4-10), ETV5 (2, 3, 7-9), ETV6 (1-7), FGFR1 2,8-10, 17), FGFR3 (8-10, 17, intron 17), FGR (2), INSR (12-22), JAZF1 (2-4),  MAST1 (7-9, 18-21), MAST2 (2, 3, 5, 6), MET (13, 15), MSMB (2-4), MUSK (7-9, 11-14), MYB (7-9, 11-16), NOTCH1 (2, 4, 26-31, internal exon 3-27 deletion), NOTCH2 (5-7, 26-28), NTRK1 (8,10-13), NTRK2 (11-17), NTRK3 (13-16), NUMBL (3), PDGFRA (7, exon 8 deletion, 10-14), PDGFRB (8-14), PIK3CA (2), PKN1 (10-13), PPARG (1-3), PRKCA (4-6), PRKCB (3), RAF1 (4-7, 9-12), RELA (3, 4), RSPO2 (1, 2), SPO3 (2), TERT (2), TFE3 (2-8), TFEB (1,2), THADA (24-31,36), and TMPRSS2 (1-6).</w:t>
            </w:r>
          </w:p>
        </w:tc>
      </w:tr>
      <w:tr w:rsidR="004A3889" w14:paraId="27CE5855" w14:textId="77777777" w:rsidTr="00904A84">
        <w:tc>
          <w:tcPr>
            <w:cnfStyle w:val="001000000000" w:firstRow="0" w:lastRow="0" w:firstColumn="1" w:lastColumn="0" w:oddVBand="0" w:evenVBand="0" w:oddHBand="0" w:evenHBand="0" w:firstRowFirstColumn="0" w:firstRowLastColumn="0" w:lastRowFirstColumn="0" w:lastRowLastColumn="0"/>
            <w:tcW w:w="1513" w:type="dxa"/>
          </w:tcPr>
          <w:p w14:paraId="5ADA345D" w14:textId="77777777" w:rsidR="004A3889" w:rsidRPr="00114D5F" w:rsidRDefault="004A3889" w:rsidP="00904A84">
            <w:pPr>
              <w:rPr>
                <w:b w:val="0"/>
                <w:color w:val="000000" w:themeColor="text1"/>
                <w:sz w:val="16"/>
                <w:szCs w:val="16"/>
              </w:rPr>
            </w:pPr>
            <w:r w:rsidRPr="00114D5F">
              <w:rPr>
                <w:b w:val="0"/>
                <w:color w:val="000000" w:themeColor="text1"/>
                <w:sz w:val="16"/>
                <w:szCs w:val="16"/>
              </w:rPr>
              <w:t>FoundationOne</w:t>
            </w:r>
          </w:p>
        </w:tc>
        <w:tc>
          <w:tcPr>
            <w:tcW w:w="822" w:type="dxa"/>
          </w:tcPr>
          <w:p w14:paraId="0017B798" w14:textId="77777777" w:rsidR="004A3889" w:rsidRPr="00114D5F" w:rsidRDefault="004A3889" w:rsidP="00904A8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14D5F">
              <w:rPr>
                <w:color w:val="000000" w:themeColor="text1"/>
                <w:sz w:val="16"/>
                <w:szCs w:val="16"/>
              </w:rPr>
              <w:t>1</w:t>
            </w:r>
          </w:p>
        </w:tc>
        <w:tc>
          <w:tcPr>
            <w:tcW w:w="7015" w:type="dxa"/>
          </w:tcPr>
          <w:p w14:paraId="28EAF399" w14:textId="77777777" w:rsidR="004A3889" w:rsidRPr="00114D5F" w:rsidRDefault="004A3889" w:rsidP="00904A8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14D5F">
              <w:rPr>
                <w:color w:val="000000" w:themeColor="text1"/>
                <w:sz w:val="16"/>
                <w:szCs w:val="16"/>
              </w:rPr>
              <w:t xml:space="preserve">See </w:t>
            </w:r>
            <w:hyperlink r:id="rId5" w:history="1">
              <w:r w:rsidRPr="00114D5F">
                <w:rPr>
                  <w:rStyle w:val="Hyperlink"/>
                  <w:color w:val="000000" w:themeColor="text1"/>
                  <w:sz w:val="16"/>
                  <w:szCs w:val="16"/>
                </w:rPr>
                <w:t>https://assets.ctfassets.net/vhribv12lmne/6Rt6csmCPuaguuqmgi2iY8/</w:t>
              </w:r>
            </w:hyperlink>
          </w:p>
          <w:p w14:paraId="589002F5" w14:textId="77777777" w:rsidR="004A3889" w:rsidRPr="00114D5F" w:rsidRDefault="004A3889" w:rsidP="00904A8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14D5F">
              <w:rPr>
                <w:color w:val="000000" w:themeColor="text1"/>
                <w:sz w:val="16"/>
                <w:szCs w:val="16"/>
              </w:rPr>
              <w:t>e3a9b0456ed71a55d2e4480374695d95/FoundationOne_CDx.pdf</w:t>
            </w:r>
          </w:p>
        </w:tc>
      </w:tr>
      <w:tr w:rsidR="004A3889" w14:paraId="4FF3BF76" w14:textId="77777777" w:rsidTr="0090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14:paraId="321F7ADD" w14:textId="77777777" w:rsidR="004A3889" w:rsidRPr="00114D5F" w:rsidRDefault="004A3889" w:rsidP="00904A84">
            <w:pPr>
              <w:rPr>
                <w:b w:val="0"/>
                <w:color w:val="000000" w:themeColor="text1"/>
                <w:sz w:val="16"/>
                <w:szCs w:val="16"/>
              </w:rPr>
            </w:pPr>
            <w:r w:rsidRPr="00114D5F">
              <w:rPr>
                <w:b w:val="0"/>
                <w:color w:val="000000" w:themeColor="text1"/>
                <w:sz w:val="16"/>
                <w:szCs w:val="16"/>
              </w:rPr>
              <w:t>Guardant360</w:t>
            </w:r>
          </w:p>
        </w:tc>
        <w:tc>
          <w:tcPr>
            <w:tcW w:w="822" w:type="dxa"/>
          </w:tcPr>
          <w:p w14:paraId="7CB93CC9" w14:textId="77777777" w:rsidR="004A3889" w:rsidRPr="00114D5F" w:rsidRDefault="004A3889" w:rsidP="00904A8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14D5F">
              <w:rPr>
                <w:color w:val="000000" w:themeColor="text1"/>
                <w:sz w:val="16"/>
                <w:szCs w:val="16"/>
              </w:rPr>
              <w:t>26</w:t>
            </w:r>
          </w:p>
        </w:tc>
        <w:tc>
          <w:tcPr>
            <w:tcW w:w="7015" w:type="dxa"/>
          </w:tcPr>
          <w:p w14:paraId="695DD651" w14:textId="77777777" w:rsidR="004A3889" w:rsidRPr="00114D5F" w:rsidRDefault="004A3889" w:rsidP="00904A8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14D5F">
              <w:rPr>
                <w:color w:val="000000" w:themeColor="text1"/>
                <w:sz w:val="16"/>
                <w:szCs w:val="16"/>
              </w:rPr>
              <w:t>See https://www.guardanthealth.com/medical-professionals/</w:t>
            </w:r>
          </w:p>
        </w:tc>
      </w:tr>
    </w:tbl>
    <w:p w14:paraId="5504EA22" w14:textId="77777777" w:rsidR="004A3889" w:rsidRPr="00241DF8" w:rsidRDefault="004A3889" w:rsidP="004A3889">
      <w:pPr>
        <w:rPr>
          <w:sz w:val="20"/>
          <w:szCs w:val="20"/>
        </w:rPr>
      </w:pPr>
    </w:p>
    <w:p w14:paraId="56A7CD3F" w14:textId="77777777" w:rsidR="00585E1D" w:rsidRDefault="00585E1D">
      <w:pPr>
        <w:rPr>
          <w:rFonts w:ascii="Times New Roman" w:hAnsi="Times New Roman" w:cs="Times New Roman"/>
          <w:b/>
          <w:sz w:val="24"/>
          <w:szCs w:val="24"/>
        </w:rPr>
      </w:pPr>
    </w:p>
    <w:p w14:paraId="361020C6" w14:textId="2B398AD4" w:rsidR="004A3889" w:rsidRDefault="004A3889">
      <w:pPr>
        <w:rPr>
          <w:rFonts w:ascii="Times New Roman" w:hAnsi="Times New Roman" w:cs="Times New Roman"/>
          <w:b/>
          <w:sz w:val="24"/>
          <w:szCs w:val="24"/>
        </w:rPr>
      </w:pPr>
      <w:r>
        <w:rPr>
          <w:rFonts w:ascii="Times New Roman" w:hAnsi="Times New Roman" w:cs="Times New Roman"/>
          <w:b/>
          <w:sz w:val="24"/>
          <w:szCs w:val="24"/>
        </w:rPr>
        <w:br w:type="page"/>
      </w:r>
    </w:p>
    <w:p w14:paraId="598FA79A" w14:textId="77777777" w:rsidR="004A3889" w:rsidRDefault="004A3889" w:rsidP="00585E1D">
      <w:pPr>
        <w:spacing w:line="480" w:lineRule="auto"/>
        <w:jc w:val="both"/>
        <w:rPr>
          <w:rFonts w:ascii="Times New Roman" w:hAnsi="Times New Roman" w:cs="Times New Roman"/>
          <w:b/>
          <w:sz w:val="24"/>
          <w:szCs w:val="24"/>
        </w:rPr>
      </w:pPr>
    </w:p>
    <w:p w14:paraId="23C61117" w14:textId="77777777" w:rsidR="004A3889" w:rsidRDefault="004A3889" w:rsidP="00585E1D">
      <w:pPr>
        <w:spacing w:line="480" w:lineRule="auto"/>
        <w:jc w:val="both"/>
        <w:rPr>
          <w:rFonts w:ascii="Times New Roman" w:hAnsi="Times New Roman" w:cs="Times New Roman"/>
          <w:b/>
          <w:sz w:val="24"/>
          <w:szCs w:val="24"/>
        </w:rPr>
      </w:pPr>
    </w:p>
    <w:p w14:paraId="7E79D88D" w14:textId="77777777" w:rsidR="00585E1D" w:rsidRDefault="00585E1D" w:rsidP="00585E1D">
      <w:pPr>
        <w:spacing w:line="480" w:lineRule="auto"/>
        <w:jc w:val="both"/>
        <w:rPr>
          <w:rFonts w:ascii="Times New Roman" w:hAnsi="Times New Roman" w:cs="Times New Roman"/>
          <w:sz w:val="24"/>
          <w:szCs w:val="24"/>
        </w:rPr>
      </w:pPr>
      <w:r w:rsidRPr="006B28F8">
        <w:rPr>
          <w:rFonts w:ascii="Times New Roman" w:hAnsi="Times New Roman" w:cs="Times New Roman"/>
          <w:b/>
          <w:sz w:val="24"/>
          <w:szCs w:val="24"/>
        </w:rPr>
        <w:t>SUPPLEMENTAL FIGURES AND FIGURE LEGENDS</w:t>
      </w:r>
      <w:r>
        <w:rPr>
          <w:rFonts w:ascii="Times New Roman" w:hAnsi="Times New Roman" w:cs="Times New Roman"/>
          <w:sz w:val="24"/>
          <w:szCs w:val="24"/>
        </w:rPr>
        <w:t xml:space="preserve"> </w:t>
      </w:r>
      <w:r w:rsidRPr="00A500E0">
        <w:rPr>
          <w:rFonts w:ascii="Times New Roman" w:hAnsi="Times New Roman" w:cs="Times New Roman"/>
          <w:sz w:val="24"/>
          <w:szCs w:val="24"/>
        </w:rPr>
        <w:t xml:space="preserve">– </w:t>
      </w:r>
      <w:r>
        <w:rPr>
          <w:rFonts w:ascii="Times New Roman" w:hAnsi="Times New Roman" w:cs="Times New Roman"/>
          <w:sz w:val="24"/>
          <w:szCs w:val="24"/>
        </w:rPr>
        <w:t xml:space="preserve">see separate file. </w:t>
      </w:r>
      <w:r w:rsidRPr="00A500E0">
        <w:rPr>
          <w:rFonts w:ascii="Times New Roman" w:hAnsi="Times New Roman" w:cs="Times New Roman"/>
          <w:sz w:val="24"/>
          <w:szCs w:val="24"/>
        </w:rPr>
        <w:t xml:space="preserve"> </w:t>
      </w:r>
    </w:p>
    <w:p w14:paraId="2375A44B" w14:textId="77777777" w:rsidR="00585E1D" w:rsidRDefault="00585E1D" w:rsidP="00585E1D">
      <w:pPr>
        <w:spacing w:line="480" w:lineRule="auto"/>
        <w:jc w:val="both"/>
        <w:rPr>
          <w:rFonts w:ascii="Times New Roman" w:hAnsi="Times New Roman" w:cs="Times New Roman"/>
          <w:sz w:val="24"/>
          <w:szCs w:val="24"/>
        </w:rPr>
      </w:pPr>
    </w:p>
    <w:p w14:paraId="732C8984" w14:textId="77777777" w:rsidR="00585E1D" w:rsidRDefault="00585E1D" w:rsidP="00585E1D">
      <w:pPr>
        <w:spacing w:line="480" w:lineRule="auto"/>
        <w:jc w:val="both"/>
        <w:rPr>
          <w:rFonts w:ascii="Times New Roman" w:hAnsi="Times New Roman" w:cs="Times New Roman"/>
          <w:b/>
          <w:sz w:val="24"/>
          <w:szCs w:val="24"/>
        </w:rPr>
      </w:pPr>
      <w:r>
        <w:rPr>
          <w:rFonts w:ascii="Times New Roman" w:hAnsi="Times New Roman" w:cs="Times New Roman"/>
          <w:b/>
          <w:sz w:val="24"/>
          <w:szCs w:val="24"/>
        </w:rPr>
        <w:t>SUPPLEMENTAL METHODS</w:t>
      </w:r>
    </w:p>
    <w:p w14:paraId="0EA4769B" w14:textId="77777777" w:rsidR="00585E1D" w:rsidRPr="003B6447" w:rsidRDefault="00585E1D" w:rsidP="00585E1D">
      <w:pPr>
        <w:autoSpaceDE w:val="0"/>
        <w:autoSpaceDN w:val="0"/>
        <w:adjustRightInd w:val="0"/>
        <w:spacing w:line="480" w:lineRule="auto"/>
        <w:jc w:val="both"/>
        <w:rPr>
          <w:rFonts w:ascii="Times New Roman" w:hAnsi="Times New Roman" w:cs="Times New Roman"/>
          <w:b/>
          <w:i/>
          <w:sz w:val="24"/>
          <w:szCs w:val="24"/>
        </w:rPr>
      </w:pPr>
      <w:r w:rsidRPr="003B6447">
        <w:rPr>
          <w:rFonts w:ascii="Times New Roman" w:hAnsi="Times New Roman" w:cs="Times New Roman"/>
          <w:b/>
          <w:i/>
          <w:sz w:val="24"/>
          <w:szCs w:val="24"/>
        </w:rPr>
        <w:t>Cell Culture</w:t>
      </w:r>
    </w:p>
    <w:p w14:paraId="5666D047" w14:textId="77777777" w:rsidR="00585E1D" w:rsidRDefault="00585E1D" w:rsidP="00585E1D">
      <w:pPr>
        <w:autoSpaceDE w:val="0"/>
        <w:autoSpaceDN w:val="0"/>
        <w:adjustRightInd w:val="0"/>
        <w:spacing w:line="48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C</w:t>
      </w:r>
      <w:r w:rsidRPr="00A500E0">
        <w:rPr>
          <w:rFonts w:ascii="Times New Roman" w:hAnsi="Times New Roman" w:cs="Times New Roman"/>
          <w:color w:val="000000"/>
          <w:sz w:val="24"/>
          <w:szCs w:val="24"/>
        </w:rPr>
        <w:t xml:space="preserve">ells were cultured in RPMI1640 (Life Technologies) supplemented with 10% FBS. MGH845-1 cells were additionally cultured in 150 </w:t>
      </w:r>
      <w:proofErr w:type="spellStart"/>
      <w:r w:rsidRPr="00A500E0">
        <w:rPr>
          <w:rFonts w:ascii="Times New Roman" w:hAnsi="Times New Roman" w:cs="Times New Roman"/>
          <w:color w:val="000000"/>
          <w:sz w:val="24"/>
          <w:szCs w:val="24"/>
        </w:rPr>
        <w:t>nM</w:t>
      </w:r>
      <w:proofErr w:type="spellEnd"/>
      <w:r w:rsidRPr="00A500E0">
        <w:rPr>
          <w:rFonts w:ascii="Times New Roman" w:hAnsi="Times New Roman" w:cs="Times New Roman"/>
          <w:color w:val="000000"/>
          <w:sz w:val="24"/>
          <w:szCs w:val="24"/>
        </w:rPr>
        <w:t xml:space="preserve"> osimertinib.</w:t>
      </w:r>
      <w:r>
        <w:rPr>
          <w:rFonts w:ascii="Times New Roman" w:hAnsi="Times New Roman" w:cs="Times New Roman"/>
          <w:color w:val="000000"/>
          <w:sz w:val="24"/>
          <w:szCs w:val="24"/>
        </w:rPr>
        <w:t xml:space="preserve"> All cells underwent routine authentication using short-tandem repeat profiling to confirm the identity of human cell lines and to rule out interspecies contamination.</w:t>
      </w:r>
      <w:r w:rsidRPr="00A50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A500E0">
        <w:rPr>
          <w:rFonts w:ascii="Times New Roman" w:hAnsi="Times New Roman" w:cs="Times New Roman"/>
          <w:color w:val="000000"/>
          <w:sz w:val="24"/>
          <w:szCs w:val="24"/>
        </w:rPr>
        <w:t xml:space="preserve"> cells were</w:t>
      </w:r>
      <w:r>
        <w:rPr>
          <w:rFonts w:ascii="Times New Roman" w:hAnsi="Times New Roman" w:cs="Times New Roman"/>
          <w:color w:val="000000"/>
          <w:sz w:val="24"/>
          <w:szCs w:val="24"/>
        </w:rPr>
        <w:t xml:space="preserve"> also</w:t>
      </w:r>
      <w:r w:rsidRPr="00A500E0">
        <w:rPr>
          <w:rFonts w:ascii="Times New Roman" w:hAnsi="Times New Roman" w:cs="Times New Roman"/>
          <w:color w:val="000000"/>
          <w:sz w:val="24"/>
          <w:szCs w:val="24"/>
        </w:rPr>
        <w:t xml:space="preserve"> routinely tested and verified to be free of mycoplasma contamination</w:t>
      </w:r>
      <w:r>
        <w:rPr>
          <w:rFonts w:ascii="Times New Roman" w:hAnsi="Times New Roman" w:cs="Times New Roman"/>
          <w:color w:val="000000"/>
          <w:sz w:val="24"/>
          <w:szCs w:val="24"/>
        </w:rPr>
        <w:t xml:space="preserve"> in 2018</w:t>
      </w:r>
      <w:r w:rsidRPr="00A500E0">
        <w:rPr>
          <w:rFonts w:ascii="Times New Roman" w:hAnsi="Times New Roman" w:cs="Times New Roman"/>
          <w:color w:val="000000"/>
          <w:sz w:val="24"/>
          <w:szCs w:val="24"/>
        </w:rPr>
        <w:t>.</w:t>
      </w:r>
    </w:p>
    <w:p w14:paraId="415127EF" w14:textId="77777777" w:rsidR="00585E1D" w:rsidRDefault="00585E1D" w:rsidP="00585E1D">
      <w:pPr>
        <w:spacing w:line="480" w:lineRule="auto"/>
        <w:jc w:val="both"/>
        <w:rPr>
          <w:rFonts w:ascii="Times New Roman" w:hAnsi="Times New Roman" w:cs="Times New Roman"/>
          <w:b/>
          <w:sz w:val="24"/>
          <w:szCs w:val="24"/>
        </w:rPr>
      </w:pPr>
    </w:p>
    <w:p w14:paraId="6175C421" w14:textId="77777777" w:rsidR="00585E1D" w:rsidRPr="00A500E0" w:rsidRDefault="00585E1D" w:rsidP="00585E1D">
      <w:pPr>
        <w:widowControl w:val="0"/>
        <w:spacing w:line="480" w:lineRule="auto"/>
        <w:jc w:val="both"/>
        <w:outlineLvl w:val="0"/>
        <w:rPr>
          <w:rFonts w:ascii="Times New Roman" w:hAnsi="Times New Roman" w:cs="Times New Roman"/>
          <w:b/>
          <w:i/>
          <w:kern w:val="2"/>
          <w:sz w:val="24"/>
          <w:szCs w:val="24"/>
        </w:rPr>
      </w:pPr>
      <w:r w:rsidRPr="00A500E0">
        <w:rPr>
          <w:rFonts w:ascii="Times New Roman" w:hAnsi="Times New Roman" w:cs="Times New Roman"/>
          <w:b/>
          <w:i/>
          <w:sz w:val="24"/>
          <w:szCs w:val="24"/>
        </w:rPr>
        <w:t>Reagents and antibodies</w:t>
      </w:r>
    </w:p>
    <w:p w14:paraId="7DF20AB0" w14:textId="77777777" w:rsidR="00585E1D" w:rsidRDefault="00585E1D" w:rsidP="00585E1D">
      <w:pPr>
        <w:autoSpaceDE w:val="0"/>
        <w:autoSpaceDN w:val="0"/>
        <w:adjustRightInd w:val="0"/>
        <w:spacing w:line="480" w:lineRule="auto"/>
        <w:jc w:val="both"/>
        <w:rPr>
          <w:rFonts w:ascii="Times New Roman" w:eastAsia="Times New Roman" w:hAnsi="Times New Roman" w:cs="Times New Roman"/>
          <w:color w:val="222222"/>
          <w:spacing w:val="3"/>
          <w:sz w:val="24"/>
          <w:szCs w:val="24"/>
          <w:shd w:val="clear" w:color="auto" w:fill="FFFFFF"/>
        </w:rPr>
      </w:pPr>
      <w:r w:rsidRPr="00A500E0">
        <w:rPr>
          <w:rFonts w:ascii="Times New Roman" w:hAnsi="Times New Roman" w:cs="Times New Roman"/>
          <w:color w:val="000000"/>
          <w:sz w:val="24"/>
          <w:szCs w:val="24"/>
        </w:rPr>
        <w:tab/>
        <w:t xml:space="preserve">Afatinib, osimertinib, </w:t>
      </w:r>
      <w:proofErr w:type="spellStart"/>
      <w:r w:rsidRPr="00A500E0">
        <w:rPr>
          <w:rFonts w:ascii="Times New Roman" w:hAnsi="Times New Roman" w:cs="Times New Roman"/>
          <w:color w:val="000000"/>
          <w:sz w:val="24"/>
          <w:szCs w:val="24"/>
        </w:rPr>
        <w:t>cabozantinib</w:t>
      </w:r>
      <w:proofErr w:type="spellEnd"/>
      <w:r w:rsidRPr="00A500E0">
        <w:rPr>
          <w:rFonts w:ascii="Times New Roman" w:hAnsi="Times New Roman" w:cs="Times New Roman"/>
          <w:color w:val="000000"/>
          <w:sz w:val="24"/>
          <w:szCs w:val="24"/>
        </w:rPr>
        <w:t xml:space="preserve">, </w:t>
      </w:r>
      <w:proofErr w:type="spellStart"/>
      <w:r w:rsidRPr="00A500E0">
        <w:rPr>
          <w:rFonts w:ascii="Times New Roman" w:hAnsi="Times New Roman" w:cs="Times New Roman"/>
          <w:color w:val="000000"/>
          <w:sz w:val="24"/>
          <w:szCs w:val="24"/>
        </w:rPr>
        <w:t>dabrafenib</w:t>
      </w:r>
      <w:proofErr w:type="spellEnd"/>
      <w:r w:rsidRPr="00A500E0">
        <w:rPr>
          <w:rFonts w:ascii="Times New Roman" w:hAnsi="Times New Roman" w:cs="Times New Roman"/>
          <w:color w:val="000000"/>
          <w:sz w:val="24"/>
          <w:szCs w:val="24"/>
        </w:rPr>
        <w:t xml:space="preserve">, LXH254 and </w:t>
      </w:r>
      <w:proofErr w:type="spellStart"/>
      <w:r w:rsidRPr="00A500E0">
        <w:rPr>
          <w:rFonts w:ascii="Times New Roman" w:hAnsi="Times New Roman" w:cs="Times New Roman"/>
          <w:color w:val="000000"/>
          <w:sz w:val="24"/>
          <w:szCs w:val="24"/>
        </w:rPr>
        <w:t>trametinib</w:t>
      </w:r>
      <w:proofErr w:type="spellEnd"/>
      <w:r w:rsidRPr="00A500E0">
        <w:rPr>
          <w:rFonts w:ascii="Times New Roman" w:hAnsi="Times New Roman" w:cs="Times New Roman"/>
          <w:color w:val="000000"/>
          <w:sz w:val="24"/>
          <w:szCs w:val="24"/>
        </w:rPr>
        <w:t xml:space="preserve"> were purchased from </w:t>
      </w:r>
      <w:proofErr w:type="spellStart"/>
      <w:r w:rsidRPr="00A500E0">
        <w:rPr>
          <w:rFonts w:ascii="Times New Roman" w:hAnsi="Times New Roman" w:cs="Times New Roman"/>
          <w:color w:val="000000"/>
          <w:sz w:val="24"/>
          <w:szCs w:val="24"/>
        </w:rPr>
        <w:t>Selleck</w:t>
      </w:r>
      <w:proofErr w:type="spellEnd"/>
      <w:r w:rsidRPr="00A500E0">
        <w:rPr>
          <w:rFonts w:ascii="Times New Roman" w:hAnsi="Times New Roman" w:cs="Times New Roman"/>
          <w:color w:val="000000"/>
          <w:sz w:val="24"/>
          <w:szCs w:val="24"/>
        </w:rPr>
        <w:t xml:space="preserve"> Chemicals and </w:t>
      </w:r>
      <w:proofErr w:type="spellStart"/>
      <w:r w:rsidRPr="00A500E0">
        <w:rPr>
          <w:rFonts w:ascii="Times New Roman" w:hAnsi="Times New Roman" w:cs="Times New Roman"/>
          <w:color w:val="000000"/>
          <w:sz w:val="24"/>
          <w:szCs w:val="24"/>
        </w:rPr>
        <w:t>resuspended</w:t>
      </w:r>
      <w:proofErr w:type="spellEnd"/>
      <w:r w:rsidRPr="00A500E0">
        <w:rPr>
          <w:rFonts w:ascii="Times New Roman" w:hAnsi="Times New Roman" w:cs="Times New Roman"/>
          <w:color w:val="000000"/>
          <w:sz w:val="24"/>
          <w:szCs w:val="24"/>
        </w:rPr>
        <w:t xml:space="preserve"> in DMSO. BLU-667 was provided by Blueprint Medicine</w:t>
      </w:r>
      <w:r>
        <w:rPr>
          <w:rFonts w:ascii="Times New Roman" w:hAnsi="Times New Roman" w:cs="Times New Roman"/>
          <w:color w:val="000000"/>
          <w:sz w:val="24"/>
          <w:szCs w:val="24"/>
        </w:rPr>
        <w:t>s</w:t>
      </w:r>
      <w:r w:rsidRPr="00A500E0">
        <w:rPr>
          <w:rFonts w:ascii="Times New Roman" w:hAnsi="Times New Roman" w:cs="Times New Roman"/>
          <w:color w:val="000000"/>
          <w:sz w:val="24"/>
          <w:szCs w:val="24"/>
        </w:rPr>
        <w:t xml:space="preserve">. </w:t>
      </w:r>
      <w:proofErr w:type="spellStart"/>
      <w:r w:rsidRPr="00A500E0">
        <w:rPr>
          <w:rFonts w:ascii="Times New Roman" w:hAnsi="Times New Roman" w:cs="Times New Roman"/>
          <w:color w:val="000000"/>
          <w:sz w:val="24"/>
          <w:szCs w:val="24"/>
        </w:rPr>
        <w:t>Phospho</w:t>
      </w:r>
      <w:proofErr w:type="spellEnd"/>
      <w:r w:rsidRPr="00A500E0">
        <w:rPr>
          <w:rFonts w:ascii="Times New Roman" w:hAnsi="Times New Roman" w:cs="Times New Roman"/>
          <w:color w:val="000000"/>
          <w:sz w:val="24"/>
          <w:szCs w:val="24"/>
        </w:rPr>
        <w:t xml:space="preserve">-EGFR (Y1068), EGFR, </w:t>
      </w:r>
      <w:proofErr w:type="spellStart"/>
      <w:r w:rsidRPr="00A500E0">
        <w:rPr>
          <w:rFonts w:ascii="Times New Roman" w:hAnsi="Times New Roman" w:cs="Times New Roman"/>
          <w:color w:val="000000"/>
          <w:sz w:val="24"/>
          <w:szCs w:val="24"/>
        </w:rPr>
        <w:t>pBRAF</w:t>
      </w:r>
      <w:proofErr w:type="spellEnd"/>
      <w:r w:rsidRPr="00A500E0">
        <w:rPr>
          <w:rFonts w:ascii="Times New Roman" w:hAnsi="Times New Roman" w:cs="Times New Roman"/>
          <w:color w:val="000000"/>
          <w:sz w:val="24"/>
          <w:szCs w:val="24"/>
        </w:rPr>
        <w:t xml:space="preserve"> (Ser445), RET, </w:t>
      </w:r>
      <w:proofErr w:type="spellStart"/>
      <w:r w:rsidRPr="00A500E0">
        <w:rPr>
          <w:rFonts w:ascii="Times New Roman" w:hAnsi="Times New Roman" w:cs="Times New Roman"/>
          <w:color w:val="000000"/>
          <w:sz w:val="24"/>
          <w:szCs w:val="24"/>
        </w:rPr>
        <w:t>pAKT</w:t>
      </w:r>
      <w:proofErr w:type="spellEnd"/>
      <w:r w:rsidRPr="00A500E0">
        <w:rPr>
          <w:rFonts w:ascii="Times New Roman" w:hAnsi="Times New Roman" w:cs="Times New Roman"/>
          <w:color w:val="000000"/>
          <w:sz w:val="24"/>
          <w:szCs w:val="24"/>
        </w:rPr>
        <w:t xml:space="preserve"> (Ser473), AKT, pERK1/2 (Thr202/</w:t>
      </w:r>
      <w:r>
        <w:rPr>
          <w:rFonts w:ascii="Times New Roman" w:hAnsi="Times New Roman" w:cs="Times New Roman"/>
          <w:color w:val="000000"/>
          <w:sz w:val="24"/>
          <w:szCs w:val="24"/>
        </w:rPr>
        <w:t>Tyr</w:t>
      </w:r>
      <w:r w:rsidRPr="00A500E0">
        <w:rPr>
          <w:rFonts w:ascii="Times New Roman" w:hAnsi="Times New Roman" w:cs="Times New Roman"/>
          <w:color w:val="000000"/>
          <w:sz w:val="24"/>
          <w:szCs w:val="24"/>
        </w:rPr>
        <w:t xml:space="preserve">204), ERK1/2 and Actin antibodies were purchased from Cell Signaling Technology. </w:t>
      </w:r>
      <w:proofErr w:type="spellStart"/>
      <w:r w:rsidRPr="00A500E0">
        <w:rPr>
          <w:rFonts w:ascii="Times New Roman" w:hAnsi="Times New Roman" w:cs="Times New Roman"/>
          <w:color w:val="000000"/>
          <w:sz w:val="24"/>
          <w:szCs w:val="24"/>
        </w:rPr>
        <w:t>pRET</w:t>
      </w:r>
      <w:proofErr w:type="spellEnd"/>
      <w:r w:rsidRPr="00A500E0">
        <w:rPr>
          <w:rFonts w:ascii="Times New Roman" w:hAnsi="Times New Roman" w:cs="Times New Roman"/>
          <w:color w:val="000000"/>
          <w:sz w:val="24"/>
          <w:szCs w:val="24"/>
        </w:rPr>
        <w:t xml:space="preserve"> (Y1062) antibody was from </w:t>
      </w:r>
      <w:proofErr w:type="spellStart"/>
      <w:r w:rsidRPr="00A500E0">
        <w:rPr>
          <w:rFonts w:ascii="Times New Roman" w:hAnsi="Times New Roman" w:cs="Times New Roman"/>
          <w:color w:val="000000"/>
          <w:sz w:val="24"/>
          <w:szCs w:val="24"/>
        </w:rPr>
        <w:t>Abcam</w:t>
      </w:r>
      <w:proofErr w:type="spellEnd"/>
      <w:r w:rsidRPr="00A500E0">
        <w:rPr>
          <w:rFonts w:ascii="Times New Roman" w:hAnsi="Times New Roman" w:cs="Times New Roman"/>
          <w:color w:val="000000"/>
          <w:sz w:val="24"/>
          <w:szCs w:val="24"/>
        </w:rPr>
        <w:t>.</w:t>
      </w:r>
      <w:r w:rsidRPr="00A500E0">
        <w:rPr>
          <w:rFonts w:ascii="Times New Roman" w:eastAsia="Times New Roman" w:hAnsi="Times New Roman" w:cs="Times New Roman"/>
          <w:color w:val="222222"/>
          <w:spacing w:val="3"/>
          <w:sz w:val="24"/>
          <w:szCs w:val="24"/>
          <w:shd w:val="clear" w:color="auto" w:fill="FFFFFF"/>
        </w:rPr>
        <w:t> </w:t>
      </w:r>
    </w:p>
    <w:p w14:paraId="499106EF" w14:textId="77777777" w:rsidR="00585E1D" w:rsidRDefault="00585E1D" w:rsidP="00585E1D">
      <w:pPr>
        <w:tabs>
          <w:tab w:val="left" w:pos="220"/>
          <w:tab w:val="left" w:pos="720"/>
        </w:tabs>
        <w:autoSpaceDE w:val="0"/>
        <w:autoSpaceDN w:val="0"/>
        <w:adjustRightInd w:val="0"/>
        <w:spacing w:line="360" w:lineRule="auto"/>
        <w:rPr>
          <w:rFonts w:ascii="Times New Roman" w:hAnsi="Times New Roman" w:cs="Times New Roman"/>
          <w:b/>
          <w:i/>
          <w:color w:val="000000"/>
          <w:sz w:val="24"/>
          <w:szCs w:val="24"/>
        </w:rPr>
      </w:pPr>
    </w:p>
    <w:p w14:paraId="5BC3E88C" w14:textId="77777777" w:rsidR="00585E1D" w:rsidRPr="00904A84" w:rsidRDefault="00585E1D" w:rsidP="00585E1D">
      <w:pPr>
        <w:tabs>
          <w:tab w:val="left" w:pos="220"/>
          <w:tab w:val="left" w:pos="720"/>
        </w:tabs>
        <w:autoSpaceDE w:val="0"/>
        <w:autoSpaceDN w:val="0"/>
        <w:adjustRightInd w:val="0"/>
        <w:spacing w:line="360" w:lineRule="auto"/>
        <w:rPr>
          <w:rFonts w:ascii="Times New Roman" w:hAnsi="Times New Roman" w:cs="Times New Roman"/>
          <w:b/>
          <w:i/>
          <w:color w:val="000000"/>
          <w:sz w:val="24"/>
          <w:szCs w:val="24"/>
        </w:rPr>
      </w:pPr>
      <w:r w:rsidRPr="00904A84">
        <w:rPr>
          <w:rFonts w:ascii="Times New Roman" w:hAnsi="Times New Roman" w:cs="Times New Roman"/>
          <w:b/>
          <w:i/>
          <w:color w:val="000000"/>
          <w:sz w:val="24"/>
          <w:szCs w:val="24"/>
        </w:rPr>
        <w:t>Western blotting</w:t>
      </w:r>
    </w:p>
    <w:p w14:paraId="05BD2804" w14:textId="77777777" w:rsidR="00585E1D" w:rsidRPr="00904A84" w:rsidRDefault="00585E1D" w:rsidP="00585E1D">
      <w:pPr>
        <w:tabs>
          <w:tab w:val="left" w:pos="220"/>
          <w:tab w:val="left" w:pos="720"/>
        </w:tabs>
        <w:autoSpaceDE w:val="0"/>
        <w:autoSpaceDN w:val="0"/>
        <w:adjustRightInd w:val="0"/>
        <w:spacing w:line="360" w:lineRule="auto"/>
        <w:ind w:firstLineChars="295"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4A84">
        <w:rPr>
          <w:rFonts w:ascii="Times New Roman" w:hAnsi="Times New Roman" w:cs="Times New Roman"/>
          <w:color w:val="000000"/>
          <w:sz w:val="24"/>
          <w:szCs w:val="24"/>
        </w:rPr>
        <w:t>Cells were treated with drugs in 6-</w:t>
      </w:r>
      <w:proofErr w:type="gramStart"/>
      <w:r w:rsidRPr="00904A84">
        <w:rPr>
          <w:rFonts w:ascii="Times New Roman" w:hAnsi="Times New Roman" w:cs="Times New Roman"/>
          <w:color w:val="000000"/>
          <w:sz w:val="24"/>
          <w:szCs w:val="24"/>
        </w:rPr>
        <w:t>well</w:t>
      </w:r>
      <w:proofErr w:type="gramEnd"/>
      <w:r w:rsidRPr="00904A84">
        <w:rPr>
          <w:rFonts w:ascii="Times New Roman" w:hAnsi="Times New Roman" w:cs="Times New Roman"/>
          <w:color w:val="000000"/>
          <w:sz w:val="24"/>
          <w:szCs w:val="24"/>
        </w:rPr>
        <w:t xml:space="preserve"> plates for 6 hours. Cell protein lysates were prepared as previously described. </w:t>
      </w:r>
    </w:p>
    <w:p w14:paraId="44B4DD2C" w14:textId="77777777" w:rsidR="00585E1D" w:rsidRPr="00A500E0" w:rsidRDefault="00585E1D" w:rsidP="00585E1D">
      <w:pPr>
        <w:autoSpaceDE w:val="0"/>
        <w:autoSpaceDN w:val="0"/>
        <w:adjustRightInd w:val="0"/>
        <w:spacing w:line="480" w:lineRule="auto"/>
        <w:jc w:val="both"/>
        <w:rPr>
          <w:rFonts w:ascii="Times New Roman" w:eastAsia="Times New Roman" w:hAnsi="Times New Roman" w:cs="Times New Roman"/>
          <w:color w:val="222222"/>
          <w:spacing w:val="3"/>
          <w:sz w:val="24"/>
          <w:szCs w:val="24"/>
          <w:shd w:val="clear" w:color="auto" w:fill="FFFFFF"/>
        </w:rPr>
      </w:pPr>
    </w:p>
    <w:p w14:paraId="6995B1E8" w14:textId="77777777" w:rsidR="00585E1D" w:rsidRPr="00A500E0" w:rsidRDefault="00585E1D" w:rsidP="00585E1D">
      <w:pPr>
        <w:autoSpaceDE w:val="0"/>
        <w:autoSpaceDN w:val="0"/>
        <w:adjustRightInd w:val="0"/>
        <w:spacing w:line="480" w:lineRule="auto"/>
        <w:jc w:val="both"/>
        <w:outlineLvl w:val="0"/>
        <w:rPr>
          <w:rFonts w:ascii="Times New Roman" w:hAnsi="Times New Roman" w:cs="Times New Roman"/>
          <w:b/>
          <w:i/>
          <w:color w:val="000000"/>
          <w:sz w:val="24"/>
          <w:szCs w:val="24"/>
        </w:rPr>
      </w:pPr>
      <w:r w:rsidRPr="00A500E0">
        <w:rPr>
          <w:rFonts w:ascii="Times New Roman" w:hAnsi="Times New Roman" w:cs="Times New Roman"/>
          <w:b/>
          <w:i/>
          <w:color w:val="000000"/>
          <w:sz w:val="24"/>
          <w:szCs w:val="24"/>
        </w:rPr>
        <w:t>RT-PCR and sequencing</w:t>
      </w:r>
    </w:p>
    <w:p w14:paraId="2ED6F1B7" w14:textId="77777777" w:rsidR="00585E1D" w:rsidRPr="00A500E0" w:rsidRDefault="00585E1D" w:rsidP="00585E1D">
      <w:pPr>
        <w:autoSpaceDE w:val="0"/>
        <w:autoSpaceDN w:val="0"/>
        <w:adjustRightInd w:val="0"/>
        <w:spacing w:line="480" w:lineRule="auto"/>
        <w:jc w:val="both"/>
        <w:outlineLvl w:val="0"/>
        <w:rPr>
          <w:rFonts w:ascii="Times New Roman" w:hAnsi="Times New Roman" w:cs="Times New Roman"/>
          <w:b/>
          <w:i/>
          <w:color w:val="000000"/>
          <w:sz w:val="24"/>
          <w:szCs w:val="24"/>
        </w:rPr>
      </w:pPr>
      <w:r w:rsidRPr="00A500E0">
        <w:rPr>
          <w:rFonts w:ascii="Times New Roman" w:hAnsi="Times New Roman" w:cs="Times New Roman"/>
          <w:color w:val="000000"/>
          <w:sz w:val="24"/>
          <w:szCs w:val="24"/>
        </w:rPr>
        <w:tab/>
        <w:t>Total RNA from cell lines was extracted using an RNeasy Mini Kit (</w:t>
      </w:r>
      <w:proofErr w:type="spellStart"/>
      <w:r w:rsidRPr="00A500E0">
        <w:rPr>
          <w:rFonts w:ascii="Times New Roman" w:hAnsi="Times New Roman" w:cs="Times New Roman"/>
          <w:color w:val="000000"/>
          <w:sz w:val="24"/>
          <w:szCs w:val="24"/>
        </w:rPr>
        <w:t>Qiagen</w:t>
      </w:r>
      <w:proofErr w:type="spellEnd"/>
      <w:r w:rsidRPr="00A500E0">
        <w:rPr>
          <w:rFonts w:ascii="Times New Roman" w:hAnsi="Times New Roman" w:cs="Times New Roman"/>
          <w:color w:val="000000"/>
          <w:sz w:val="24"/>
          <w:szCs w:val="24"/>
        </w:rPr>
        <w:t xml:space="preserve">). RNA (1 </w:t>
      </w:r>
      <w:proofErr w:type="spellStart"/>
      <w:r w:rsidRPr="00A500E0">
        <w:rPr>
          <w:rFonts w:ascii="Times New Roman" w:hAnsi="Times New Roman" w:cs="Times New Roman"/>
          <w:color w:val="000000"/>
          <w:sz w:val="24"/>
          <w:szCs w:val="24"/>
        </w:rPr>
        <w:t>μg</w:t>
      </w:r>
      <w:proofErr w:type="spellEnd"/>
      <w:r w:rsidRPr="00A500E0">
        <w:rPr>
          <w:rFonts w:ascii="Times New Roman" w:hAnsi="Times New Roman" w:cs="Times New Roman"/>
          <w:color w:val="000000"/>
          <w:sz w:val="24"/>
          <w:szCs w:val="24"/>
        </w:rPr>
        <w:t xml:space="preserve">) was reverse transcribed using </w:t>
      </w:r>
      <w:proofErr w:type="spellStart"/>
      <w:r w:rsidRPr="00A500E0">
        <w:rPr>
          <w:rFonts w:ascii="Times New Roman" w:eastAsia="Times New Roman" w:hAnsi="Times New Roman" w:cs="Times New Roman"/>
          <w:color w:val="333333"/>
          <w:sz w:val="24"/>
          <w:szCs w:val="24"/>
          <w:shd w:val="clear" w:color="auto" w:fill="FFFFFF"/>
        </w:rPr>
        <w:t>SuperScript</w:t>
      </w:r>
      <w:proofErr w:type="spellEnd"/>
      <w:r w:rsidRPr="00A500E0">
        <w:rPr>
          <w:rFonts w:ascii="Times New Roman" w:eastAsia="Times New Roman" w:hAnsi="Times New Roman" w:cs="Times New Roman"/>
          <w:color w:val="333333"/>
          <w:sz w:val="24"/>
          <w:szCs w:val="24"/>
          <w:shd w:val="clear" w:color="auto" w:fill="FFFFFF"/>
        </w:rPr>
        <w:t>™ II Reverse Transcriptase</w:t>
      </w:r>
      <w:r w:rsidRPr="00A500E0">
        <w:rPr>
          <w:rFonts w:ascii="Times New Roman" w:eastAsia="Times New Roman" w:hAnsi="Times New Roman" w:cs="Times New Roman"/>
          <w:sz w:val="24"/>
          <w:szCs w:val="24"/>
        </w:rPr>
        <w:t xml:space="preserve"> </w:t>
      </w:r>
      <w:r w:rsidRPr="00A500E0">
        <w:rPr>
          <w:rFonts w:ascii="Times New Roman" w:hAnsi="Times New Roman" w:cs="Times New Roman"/>
          <w:color w:val="000000"/>
          <w:sz w:val="24"/>
          <w:szCs w:val="24"/>
        </w:rPr>
        <w:t>(</w:t>
      </w:r>
      <w:proofErr w:type="spellStart"/>
      <w:r w:rsidRPr="00A500E0">
        <w:rPr>
          <w:rFonts w:ascii="Times New Roman" w:hAnsi="Times New Roman" w:cs="Times New Roman"/>
          <w:color w:val="000000"/>
          <w:sz w:val="24"/>
          <w:szCs w:val="24"/>
        </w:rPr>
        <w:t>invitrogen</w:t>
      </w:r>
      <w:proofErr w:type="spellEnd"/>
      <w:r w:rsidRPr="00A500E0">
        <w:rPr>
          <w:rFonts w:ascii="Times New Roman" w:hAnsi="Times New Roman" w:cs="Times New Roman"/>
          <w:color w:val="000000"/>
          <w:sz w:val="24"/>
          <w:szCs w:val="24"/>
        </w:rPr>
        <w:t xml:space="preserve">), </w:t>
      </w:r>
      <w:proofErr w:type="gramStart"/>
      <w:r w:rsidRPr="00A500E0">
        <w:rPr>
          <w:rFonts w:ascii="Times New Roman" w:hAnsi="Times New Roman" w:cs="Times New Roman"/>
          <w:color w:val="000000"/>
          <w:sz w:val="24"/>
          <w:szCs w:val="24"/>
        </w:rPr>
        <w:t>according to</w:t>
      </w:r>
      <w:proofErr w:type="gramEnd"/>
      <w:r w:rsidRPr="00A500E0">
        <w:rPr>
          <w:rFonts w:ascii="Times New Roman" w:hAnsi="Times New Roman" w:cs="Times New Roman"/>
          <w:color w:val="000000"/>
          <w:sz w:val="24"/>
          <w:szCs w:val="24"/>
        </w:rPr>
        <w:t xml:space="preserve"> the manufacturer’s instructions. </w:t>
      </w:r>
      <w:r w:rsidRPr="009C0A9D">
        <w:rPr>
          <w:rFonts w:ascii="Times New Roman" w:hAnsi="Times New Roman" w:cs="Times New Roman"/>
          <w:i/>
          <w:color w:val="000000"/>
          <w:sz w:val="24"/>
          <w:szCs w:val="24"/>
        </w:rPr>
        <w:t>CCDC6-RET</w:t>
      </w:r>
      <w:r w:rsidRPr="00A500E0">
        <w:rPr>
          <w:rFonts w:ascii="Times New Roman" w:hAnsi="Times New Roman" w:cs="Times New Roman"/>
          <w:color w:val="000000"/>
          <w:sz w:val="24"/>
          <w:szCs w:val="24"/>
        </w:rPr>
        <w:t xml:space="preserve">, </w:t>
      </w:r>
      <w:r w:rsidRPr="009C0A9D">
        <w:rPr>
          <w:rFonts w:ascii="Times New Roman" w:hAnsi="Times New Roman" w:cs="Times New Roman"/>
          <w:i/>
          <w:color w:val="000000"/>
          <w:sz w:val="24"/>
          <w:szCs w:val="24"/>
        </w:rPr>
        <w:t>PCBP2-BRAF</w:t>
      </w:r>
      <w:r>
        <w:rPr>
          <w:rFonts w:ascii="Times New Roman" w:hAnsi="Times New Roman" w:cs="Times New Roman"/>
          <w:color w:val="000000"/>
          <w:sz w:val="24"/>
          <w:szCs w:val="24"/>
        </w:rPr>
        <w:t>,</w:t>
      </w:r>
      <w:r w:rsidRPr="00A500E0">
        <w:rPr>
          <w:rFonts w:ascii="Times New Roman" w:hAnsi="Times New Roman" w:cs="Times New Roman"/>
          <w:color w:val="000000"/>
          <w:sz w:val="24"/>
          <w:szCs w:val="24"/>
        </w:rPr>
        <w:t xml:space="preserve"> </w:t>
      </w:r>
      <w:r w:rsidRPr="009C0A9D">
        <w:rPr>
          <w:rFonts w:ascii="Times New Roman" w:hAnsi="Times New Roman" w:cs="Times New Roman"/>
          <w:i/>
          <w:color w:val="000000"/>
          <w:sz w:val="24"/>
          <w:szCs w:val="24"/>
        </w:rPr>
        <w:t>TBP</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EGFR</w:t>
      </w:r>
      <w:r>
        <w:rPr>
          <w:rFonts w:ascii="Times New Roman" w:hAnsi="Times New Roman" w:cs="Times New Roman"/>
          <w:color w:val="000000"/>
          <w:sz w:val="24"/>
          <w:szCs w:val="24"/>
        </w:rPr>
        <w:t xml:space="preserve"> exon 20</w:t>
      </w:r>
      <w:r w:rsidRPr="00A500E0">
        <w:rPr>
          <w:rFonts w:ascii="Times New Roman" w:hAnsi="Times New Roman" w:cs="Times New Roman"/>
          <w:color w:val="000000"/>
          <w:sz w:val="24"/>
          <w:szCs w:val="24"/>
        </w:rPr>
        <w:t xml:space="preserve"> were PCR amplified using the following primers: </w:t>
      </w:r>
      <w:r w:rsidRPr="009C0A9D">
        <w:rPr>
          <w:rFonts w:ascii="Times New Roman" w:hAnsi="Times New Roman" w:cs="Times New Roman"/>
          <w:i/>
          <w:color w:val="000000"/>
          <w:sz w:val="24"/>
          <w:szCs w:val="24"/>
        </w:rPr>
        <w:t>CCDC6</w:t>
      </w:r>
      <w:r w:rsidRPr="00A500E0">
        <w:rPr>
          <w:rFonts w:ascii="Times New Roman" w:hAnsi="Times New Roman" w:cs="Times New Roman"/>
          <w:color w:val="000000"/>
          <w:sz w:val="24"/>
          <w:szCs w:val="24"/>
        </w:rPr>
        <w:t xml:space="preserve"> exon 1 F–</w:t>
      </w:r>
      <w:r w:rsidRPr="00A500E0">
        <w:rPr>
          <w:rFonts w:ascii="Times New Roman" w:hAnsi="Times New Roman" w:cs="Times New Roman"/>
          <w:sz w:val="24"/>
          <w:szCs w:val="24"/>
        </w:rPr>
        <w:t xml:space="preserve"> CGGACAGCGCCAGCG</w:t>
      </w:r>
      <w:r>
        <w:rPr>
          <w:rFonts w:ascii="Times New Roman" w:hAnsi="Times New Roman" w:cs="Times New Roman"/>
          <w:color w:val="000000"/>
          <w:sz w:val="24"/>
          <w:szCs w:val="24"/>
        </w:rPr>
        <w:t xml:space="preserve"> and</w:t>
      </w:r>
      <w:r w:rsidRPr="00A500E0">
        <w:rPr>
          <w:rFonts w:ascii="Times New Roman" w:hAnsi="Times New Roman" w:cs="Times New Roman"/>
          <w:color w:val="000000"/>
          <w:sz w:val="24"/>
          <w:szCs w:val="24"/>
        </w:rPr>
        <w:t xml:space="preserve"> </w:t>
      </w:r>
      <w:r w:rsidRPr="009C0A9D">
        <w:rPr>
          <w:rFonts w:ascii="Times New Roman" w:hAnsi="Times New Roman" w:cs="Times New Roman"/>
          <w:i/>
          <w:color w:val="000000"/>
          <w:sz w:val="24"/>
          <w:szCs w:val="24"/>
        </w:rPr>
        <w:t>RET</w:t>
      </w:r>
      <w:r w:rsidRPr="00A500E0">
        <w:rPr>
          <w:rFonts w:ascii="Times New Roman" w:hAnsi="Times New Roman" w:cs="Times New Roman"/>
          <w:color w:val="000000"/>
          <w:sz w:val="24"/>
          <w:szCs w:val="24"/>
        </w:rPr>
        <w:t xml:space="preserve"> exon 19 R–</w:t>
      </w:r>
      <w:r w:rsidRPr="00A500E0">
        <w:rPr>
          <w:rFonts w:ascii="Times New Roman" w:hAnsi="Times New Roman" w:cs="Times New Roman"/>
          <w:sz w:val="24"/>
          <w:szCs w:val="24"/>
        </w:rPr>
        <w:t xml:space="preserve"> GCATTATTACAGTCCACCA</w:t>
      </w:r>
      <w:r w:rsidRPr="00A500E0">
        <w:rPr>
          <w:rFonts w:ascii="Times New Roman" w:hAnsi="Times New Roman" w:cs="Times New Roman"/>
          <w:color w:val="000000" w:themeColor="text1"/>
          <w:sz w:val="24"/>
          <w:szCs w:val="24"/>
        </w:rPr>
        <w:t>G</w:t>
      </w:r>
      <w:r w:rsidRPr="00A500E0">
        <w:rPr>
          <w:rFonts w:ascii="Times New Roman" w:hAnsi="Times New Roman" w:cs="Times New Roman"/>
          <w:sz w:val="24"/>
          <w:szCs w:val="24"/>
        </w:rPr>
        <w:t>CG</w:t>
      </w:r>
      <w:r w:rsidRPr="00A500E0">
        <w:rPr>
          <w:rFonts w:ascii="Times New Roman" w:hAnsi="Times New Roman" w:cs="Times New Roman"/>
          <w:color w:val="000000"/>
          <w:sz w:val="24"/>
          <w:szCs w:val="24"/>
        </w:rPr>
        <w:t>; (</w:t>
      </w:r>
      <w:r w:rsidRPr="009C0A9D">
        <w:rPr>
          <w:rFonts w:ascii="Times New Roman" w:hAnsi="Times New Roman" w:cs="Times New Roman"/>
          <w:i/>
          <w:color w:val="000000"/>
          <w:sz w:val="24"/>
          <w:szCs w:val="24"/>
        </w:rPr>
        <w:t>PCBP2-BRAF</w:t>
      </w:r>
      <w:r w:rsidRPr="00A500E0">
        <w:rPr>
          <w:rFonts w:ascii="Times New Roman" w:hAnsi="Times New Roman" w:cs="Times New Roman"/>
          <w:color w:val="000000"/>
          <w:sz w:val="24"/>
          <w:szCs w:val="24"/>
        </w:rPr>
        <w:t xml:space="preserve"> Primer 1) </w:t>
      </w:r>
      <w:r w:rsidRPr="009C0A9D">
        <w:rPr>
          <w:rFonts w:ascii="Times New Roman" w:hAnsi="Times New Roman" w:cs="Times New Roman"/>
          <w:i/>
          <w:color w:val="000000"/>
          <w:sz w:val="24"/>
          <w:szCs w:val="24"/>
        </w:rPr>
        <w:t>PCBP2</w:t>
      </w:r>
      <w:r w:rsidRPr="00A500E0">
        <w:rPr>
          <w:rFonts w:ascii="Times New Roman" w:hAnsi="Times New Roman" w:cs="Times New Roman"/>
          <w:color w:val="000000"/>
          <w:sz w:val="24"/>
          <w:szCs w:val="24"/>
        </w:rPr>
        <w:t xml:space="preserve"> exon 6 F– AGGTGGATGCAAGATCAAGG </w:t>
      </w:r>
      <w:r>
        <w:rPr>
          <w:rFonts w:ascii="Times New Roman" w:hAnsi="Times New Roman" w:cs="Times New Roman"/>
          <w:color w:val="000000"/>
          <w:sz w:val="24"/>
          <w:szCs w:val="24"/>
        </w:rPr>
        <w:t xml:space="preserve">and </w:t>
      </w:r>
      <w:r w:rsidRPr="009C0A9D">
        <w:rPr>
          <w:rFonts w:ascii="Times New Roman" w:hAnsi="Times New Roman" w:cs="Times New Roman"/>
          <w:i/>
          <w:color w:val="000000"/>
          <w:sz w:val="24"/>
          <w:szCs w:val="24"/>
        </w:rPr>
        <w:t>BRAF</w:t>
      </w:r>
      <w:r w:rsidRPr="00A500E0">
        <w:rPr>
          <w:rFonts w:ascii="Times New Roman" w:hAnsi="Times New Roman" w:cs="Times New Roman"/>
          <w:color w:val="000000"/>
          <w:sz w:val="24"/>
          <w:szCs w:val="24"/>
        </w:rPr>
        <w:t xml:space="preserve"> exon 13 R– </w:t>
      </w:r>
      <w:r w:rsidRPr="00A500E0">
        <w:rPr>
          <w:rFonts w:ascii="Times New Roman" w:hAnsi="Times New Roman" w:cs="Times New Roman"/>
          <w:sz w:val="24"/>
          <w:szCs w:val="24"/>
        </w:rPr>
        <w:t xml:space="preserve"> TAGCCAGTTGTGGCTTTGTG</w:t>
      </w:r>
      <w:r w:rsidRPr="00A500E0">
        <w:rPr>
          <w:rFonts w:ascii="Times New Roman" w:hAnsi="Times New Roman" w:cs="Times New Roman"/>
          <w:color w:val="000000"/>
          <w:sz w:val="24"/>
          <w:szCs w:val="24"/>
        </w:rPr>
        <w:t>; (</w:t>
      </w:r>
      <w:r w:rsidRPr="009C0A9D">
        <w:rPr>
          <w:rFonts w:ascii="Times New Roman" w:hAnsi="Times New Roman" w:cs="Times New Roman"/>
          <w:i/>
          <w:color w:val="000000"/>
          <w:sz w:val="24"/>
          <w:szCs w:val="24"/>
        </w:rPr>
        <w:t>PCBP2-BRAF</w:t>
      </w:r>
      <w:r w:rsidRPr="00A500E0">
        <w:rPr>
          <w:rFonts w:ascii="Times New Roman" w:hAnsi="Times New Roman" w:cs="Times New Roman"/>
          <w:color w:val="000000"/>
          <w:sz w:val="24"/>
          <w:szCs w:val="24"/>
        </w:rPr>
        <w:t xml:space="preserve"> Primer 2) </w:t>
      </w:r>
      <w:r w:rsidRPr="009C0A9D">
        <w:rPr>
          <w:rFonts w:ascii="Times New Roman" w:hAnsi="Times New Roman" w:cs="Times New Roman"/>
          <w:i/>
          <w:color w:val="000000"/>
          <w:sz w:val="24"/>
          <w:szCs w:val="24"/>
        </w:rPr>
        <w:t>PCBP2</w:t>
      </w:r>
      <w:r w:rsidRPr="00A500E0">
        <w:rPr>
          <w:rFonts w:ascii="Times New Roman" w:hAnsi="Times New Roman" w:cs="Times New Roman"/>
          <w:color w:val="000000"/>
          <w:sz w:val="24"/>
          <w:szCs w:val="24"/>
        </w:rPr>
        <w:t xml:space="preserve"> exon 2 F–</w:t>
      </w:r>
      <w:r w:rsidRPr="00A500E0">
        <w:rPr>
          <w:rFonts w:ascii="Times New Roman" w:hAnsi="Times New Roman" w:cs="Times New Roman"/>
          <w:sz w:val="24"/>
          <w:szCs w:val="24"/>
        </w:rPr>
        <w:t xml:space="preserve"> CGGTGTGATTGAAGGTGGAT</w:t>
      </w:r>
      <w:r>
        <w:rPr>
          <w:rFonts w:ascii="Times New Roman" w:hAnsi="Times New Roman" w:cs="Times New Roman"/>
          <w:color w:val="000000"/>
          <w:sz w:val="24"/>
          <w:szCs w:val="24"/>
        </w:rPr>
        <w:t xml:space="preserve"> and</w:t>
      </w:r>
      <w:r w:rsidRPr="00A500E0">
        <w:rPr>
          <w:rFonts w:ascii="Times New Roman" w:hAnsi="Times New Roman" w:cs="Times New Roman"/>
          <w:color w:val="000000"/>
          <w:sz w:val="24"/>
          <w:szCs w:val="24"/>
        </w:rPr>
        <w:t xml:space="preserve"> </w:t>
      </w:r>
      <w:r w:rsidRPr="009C0A9D">
        <w:rPr>
          <w:rFonts w:ascii="Times New Roman" w:hAnsi="Times New Roman" w:cs="Times New Roman"/>
          <w:i/>
          <w:color w:val="000000"/>
          <w:sz w:val="24"/>
          <w:szCs w:val="24"/>
        </w:rPr>
        <w:t>BRAF</w:t>
      </w:r>
      <w:r w:rsidRPr="00A500E0">
        <w:rPr>
          <w:rFonts w:ascii="Times New Roman" w:hAnsi="Times New Roman" w:cs="Times New Roman"/>
          <w:color w:val="000000"/>
          <w:sz w:val="24"/>
          <w:szCs w:val="24"/>
        </w:rPr>
        <w:t xml:space="preserve"> exon 18 R–</w:t>
      </w:r>
      <w:r w:rsidRPr="00A500E0">
        <w:rPr>
          <w:rFonts w:ascii="Times New Roman" w:hAnsi="Times New Roman" w:cs="Times New Roman"/>
          <w:sz w:val="24"/>
          <w:szCs w:val="24"/>
        </w:rPr>
        <w:t xml:space="preserve"> ACAGGAAACGCACCATATCC</w:t>
      </w:r>
      <w:r w:rsidRPr="00A500E0">
        <w:rPr>
          <w:rFonts w:ascii="Times New Roman" w:hAnsi="Times New Roman" w:cs="Times New Roman"/>
          <w:color w:val="000000"/>
          <w:sz w:val="24"/>
          <w:szCs w:val="24"/>
        </w:rPr>
        <w:t xml:space="preserve">; </w:t>
      </w:r>
      <w:r w:rsidRPr="009C0A9D">
        <w:rPr>
          <w:rFonts w:ascii="Times New Roman" w:hAnsi="Times New Roman" w:cs="Times New Roman"/>
          <w:i/>
          <w:color w:val="000000"/>
          <w:sz w:val="24"/>
          <w:szCs w:val="24"/>
        </w:rPr>
        <w:t>TBP</w:t>
      </w:r>
      <w:r w:rsidRPr="00A500E0">
        <w:rPr>
          <w:rFonts w:ascii="Times New Roman" w:hAnsi="Times New Roman" w:cs="Times New Roman"/>
          <w:color w:val="000000"/>
          <w:sz w:val="24"/>
          <w:szCs w:val="24"/>
        </w:rPr>
        <w:t xml:space="preserve"> F–</w:t>
      </w:r>
      <w:r w:rsidRPr="00A500E0">
        <w:rPr>
          <w:rFonts w:ascii="Times New Roman" w:hAnsi="Times New Roman" w:cs="Times New Roman"/>
          <w:sz w:val="24"/>
          <w:szCs w:val="24"/>
        </w:rPr>
        <w:t xml:space="preserve"> </w:t>
      </w:r>
      <w:r w:rsidRPr="00A500E0">
        <w:rPr>
          <w:rFonts w:ascii="Times New Roman" w:hAnsi="Times New Roman" w:cs="Times New Roman"/>
          <w:color w:val="000000"/>
          <w:sz w:val="24"/>
          <w:szCs w:val="24"/>
        </w:rPr>
        <w:t xml:space="preserve">CCCATGACTCCCATGACC </w:t>
      </w:r>
      <w:r>
        <w:rPr>
          <w:rFonts w:ascii="Times New Roman" w:hAnsi="Times New Roman" w:cs="Times New Roman"/>
          <w:color w:val="000000"/>
          <w:sz w:val="24"/>
          <w:szCs w:val="24"/>
        </w:rPr>
        <w:t xml:space="preserve">and </w:t>
      </w:r>
      <w:r w:rsidRPr="009C0A9D">
        <w:rPr>
          <w:rFonts w:ascii="Times New Roman" w:hAnsi="Times New Roman" w:cs="Times New Roman"/>
          <w:i/>
          <w:color w:val="000000"/>
          <w:sz w:val="24"/>
          <w:szCs w:val="24"/>
        </w:rPr>
        <w:t>TBP</w:t>
      </w:r>
      <w:r w:rsidRPr="00A500E0">
        <w:rPr>
          <w:rFonts w:ascii="Times New Roman" w:hAnsi="Times New Roman" w:cs="Times New Roman"/>
          <w:color w:val="000000"/>
          <w:sz w:val="24"/>
          <w:szCs w:val="24"/>
        </w:rPr>
        <w:t xml:space="preserve"> R–</w:t>
      </w:r>
      <w:r w:rsidRPr="00A500E0">
        <w:rPr>
          <w:rFonts w:ascii="Times New Roman" w:hAnsi="Times New Roman" w:cs="Times New Roman"/>
          <w:sz w:val="24"/>
          <w:szCs w:val="24"/>
        </w:rPr>
        <w:t xml:space="preserve"> </w:t>
      </w:r>
      <w:r w:rsidRPr="00A500E0">
        <w:rPr>
          <w:rFonts w:ascii="Times New Roman" w:hAnsi="Times New Roman" w:cs="Times New Roman"/>
          <w:color w:val="000000"/>
          <w:sz w:val="24"/>
          <w:szCs w:val="24"/>
        </w:rPr>
        <w:t>TTTACAACCAAGATTCACTGTGG</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EGFR </w:t>
      </w:r>
      <w:r>
        <w:rPr>
          <w:rFonts w:ascii="Times New Roman" w:hAnsi="Times New Roman" w:cs="Times New Roman"/>
          <w:color w:val="000000"/>
          <w:sz w:val="24"/>
          <w:szCs w:val="24"/>
        </w:rPr>
        <w:t xml:space="preserve">exon 20 </w:t>
      </w:r>
      <w:r w:rsidRPr="00E128ED">
        <w:rPr>
          <w:rFonts w:ascii="Times New Roman" w:hAnsi="Times New Roman" w:cs="Times New Roman"/>
          <w:color w:val="000000"/>
          <w:sz w:val="24"/>
          <w:szCs w:val="24"/>
        </w:rPr>
        <w:t>F–GAAGCCACACTGACGTGC and exon 20 R–CTCCTTATCTCCCCTCCCCG</w:t>
      </w:r>
      <w:r w:rsidRPr="00A500E0">
        <w:rPr>
          <w:rFonts w:ascii="Times New Roman" w:hAnsi="Times New Roman" w:cs="Times New Roman"/>
          <w:color w:val="000000"/>
          <w:sz w:val="24"/>
          <w:szCs w:val="24"/>
        </w:rPr>
        <w:t>. The PCR products were confirmed by agarose gel electrophoresis. Following amplification, sanger sequencing perfo</w:t>
      </w:r>
      <w:r>
        <w:rPr>
          <w:rFonts w:ascii="Times New Roman" w:hAnsi="Times New Roman" w:cs="Times New Roman"/>
          <w:color w:val="000000"/>
          <w:sz w:val="24"/>
          <w:szCs w:val="24"/>
        </w:rPr>
        <w:t>r</w:t>
      </w:r>
      <w:r w:rsidRPr="00A500E0">
        <w:rPr>
          <w:rFonts w:ascii="Times New Roman" w:hAnsi="Times New Roman" w:cs="Times New Roman"/>
          <w:color w:val="000000"/>
          <w:sz w:val="24"/>
          <w:szCs w:val="24"/>
        </w:rPr>
        <w:t xml:space="preserve">med at the CCIB DNA Core Facility at </w:t>
      </w:r>
      <w:r>
        <w:rPr>
          <w:rFonts w:ascii="Times New Roman" w:hAnsi="Times New Roman" w:cs="Times New Roman"/>
          <w:color w:val="000000"/>
          <w:sz w:val="24"/>
          <w:szCs w:val="24"/>
        </w:rPr>
        <w:t>MGH.</w:t>
      </w:r>
    </w:p>
    <w:p w14:paraId="0703CA8F" w14:textId="77777777" w:rsidR="00585E1D" w:rsidRPr="00A500E0" w:rsidRDefault="00585E1D" w:rsidP="00585E1D">
      <w:pPr>
        <w:tabs>
          <w:tab w:val="left" w:pos="220"/>
          <w:tab w:val="left" w:pos="720"/>
        </w:tabs>
        <w:autoSpaceDE w:val="0"/>
        <w:autoSpaceDN w:val="0"/>
        <w:adjustRightInd w:val="0"/>
        <w:spacing w:line="480" w:lineRule="auto"/>
        <w:jc w:val="both"/>
        <w:rPr>
          <w:rFonts w:ascii="Times New Roman" w:hAnsi="Times New Roman" w:cs="Times New Roman"/>
          <w:color w:val="000000"/>
          <w:sz w:val="24"/>
          <w:szCs w:val="24"/>
        </w:rPr>
      </w:pPr>
    </w:p>
    <w:p w14:paraId="377E7198" w14:textId="77777777" w:rsidR="00585E1D" w:rsidRPr="00A500E0" w:rsidRDefault="00585E1D" w:rsidP="00585E1D">
      <w:pPr>
        <w:autoSpaceDE w:val="0"/>
        <w:autoSpaceDN w:val="0"/>
        <w:adjustRightInd w:val="0"/>
        <w:spacing w:line="480" w:lineRule="auto"/>
        <w:jc w:val="both"/>
        <w:rPr>
          <w:rFonts w:ascii="Times New Roman" w:hAnsi="Times New Roman" w:cs="Times New Roman"/>
          <w:b/>
          <w:i/>
          <w:color w:val="000000"/>
          <w:sz w:val="24"/>
          <w:szCs w:val="24"/>
        </w:rPr>
      </w:pPr>
      <w:r w:rsidRPr="00A500E0">
        <w:rPr>
          <w:rFonts w:ascii="Times New Roman" w:hAnsi="Times New Roman" w:cs="Times New Roman"/>
          <w:b/>
          <w:bCs/>
          <w:i/>
          <w:color w:val="000000"/>
          <w:sz w:val="24"/>
          <w:szCs w:val="24"/>
        </w:rPr>
        <w:t xml:space="preserve">siRNA transfection </w:t>
      </w:r>
    </w:p>
    <w:p w14:paraId="08D89D0E" w14:textId="77777777" w:rsidR="00585E1D" w:rsidRDefault="00585E1D" w:rsidP="00585E1D">
      <w:pPr>
        <w:autoSpaceDE w:val="0"/>
        <w:autoSpaceDN w:val="0"/>
        <w:adjustRightInd w:val="0"/>
        <w:spacing w:line="480" w:lineRule="auto"/>
        <w:jc w:val="both"/>
        <w:rPr>
          <w:rFonts w:ascii="Times New Roman" w:hAnsi="Times New Roman" w:cs="Times New Roman"/>
          <w:sz w:val="24"/>
          <w:szCs w:val="24"/>
        </w:rPr>
      </w:pPr>
      <w:r w:rsidRPr="00A500E0">
        <w:rPr>
          <w:rFonts w:ascii="Times New Roman" w:hAnsi="Times New Roman" w:cs="Times New Roman"/>
          <w:color w:val="000000"/>
          <w:sz w:val="24"/>
          <w:szCs w:val="24"/>
        </w:rPr>
        <w:tab/>
      </w:r>
      <w:r w:rsidRPr="009C0A9D">
        <w:rPr>
          <w:rFonts w:ascii="Times New Roman" w:hAnsi="Times New Roman" w:cs="Times New Roman"/>
          <w:i/>
          <w:color w:val="000000"/>
          <w:sz w:val="24"/>
          <w:szCs w:val="24"/>
        </w:rPr>
        <w:t>BRAF</w:t>
      </w:r>
      <w:r w:rsidRPr="00A500E0">
        <w:rPr>
          <w:rFonts w:ascii="Times New Roman" w:hAnsi="Times New Roman" w:cs="Times New Roman"/>
          <w:color w:val="000000"/>
          <w:sz w:val="24"/>
          <w:szCs w:val="24"/>
        </w:rPr>
        <w:t xml:space="preserve"> siRNAs (#1 HSS101092, #2 HSS101093) and Silencer negative control #1 siRNA were obtained from </w:t>
      </w:r>
      <w:proofErr w:type="spellStart"/>
      <w:r w:rsidRPr="00A500E0">
        <w:rPr>
          <w:rFonts w:ascii="Times New Roman" w:hAnsi="Times New Roman" w:cs="Times New Roman"/>
          <w:color w:val="000000"/>
          <w:sz w:val="24"/>
          <w:szCs w:val="24"/>
        </w:rPr>
        <w:t>Ambion</w:t>
      </w:r>
      <w:proofErr w:type="spellEnd"/>
      <w:r w:rsidRPr="00A500E0">
        <w:rPr>
          <w:rFonts w:ascii="Times New Roman" w:hAnsi="Times New Roman" w:cs="Times New Roman"/>
          <w:color w:val="000000"/>
          <w:sz w:val="24"/>
          <w:szCs w:val="24"/>
        </w:rPr>
        <w:t xml:space="preserve">. MGH845-1 cells were reverse transfected with 30 </w:t>
      </w:r>
      <w:proofErr w:type="spellStart"/>
      <w:r w:rsidRPr="00A500E0">
        <w:rPr>
          <w:rFonts w:ascii="Times New Roman" w:hAnsi="Times New Roman" w:cs="Times New Roman"/>
          <w:color w:val="000000"/>
          <w:sz w:val="24"/>
          <w:szCs w:val="24"/>
        </w:rPr>
        <w:t>nM</w:t>
      </w:r>
      <w:proofErr w:type="spellEnd"/>
      <w:r w:rsidRPr="00A500E0">
        <w:rPr>
          <w:rFonts w:ascii="Times New Roman" w:hAnsi="Times New Roman" w:cs="Times New Roman"/>
          <w:color w:val="000000"/>
          <w:sz w:val="24"/>
          <w:szCs w:val="24"/>
        </w:rPr>
        <w:t xml:space="preserve"> siRNA and </w:t>
      </w:r>
      <w:proofErr w:type="spellStart"/>
      <w:r w:rsidRPr="00A17629">
        <w:rPr>
          <w:rFonts w:ascii="Times New Roman" w:eastAsia="Times New Roman" w:hAnsi="Times New Roman" w:cs="Times New Roman"/>
          <w:bCs/>
          <w:spacing w:val="15"/>
          <w:sz w:val="24"/>
          <w:szCs w:val="24"/>
        </w:rPr>
        <w:t>Lipofectamine</w:t>
      </w:r>
      <w:proofErr w:type="spellEnd"/>
      <w:r w:rsidRPr="00A17629">
        <w:rPr>
          <w:rFonts w:ascii="Times New Roman" w:eastAsia="Times New Roman" w:hAnsi="Times New Roman" w:cs="Times New Roman"/>
          <w:bCs/>
          <w:spacing w:val="15"/>
          <w:sz w:val="24"/>
          <w:szCs w:val="24"/>
        </w:rPr>
        <w:t xml:space="preserve">™ </w:t>
      </w:r>
      <w:proofErr w:type="spellStart"/>
      <w:r w:rsidRPr="00A17629">
        <w:rPr>
          <w:rFonts w:ascii="Times New Roman" w:eastAsia="Times New Roman" w:hAnsi="Times New Roman" w:cs="Times New Roman"/>
          <w:bCs/>
          <w:spacing w:val="15"/>
          <w:sz w:val="24"/>
          <w:szCs w:val="24"/>
        </w:rPr>
        <w:t>RNAiMAX</w:t>
      </w:r>
      <w:proofErr w:type="spellEnd"/>
      <w:r w:rsidRPr="00A17629">
        <w:rPr>
          <w:rFonts w:ascii="Times New Roman" w:eastAsia="Times New Roman" w:hAnsi="Times New Roman" w:cs="Times New Roman"/>
          <w:bCs/>
          <w:spacing w:val="15"/>
          <w:sz w:val="24"/>
          <w:szCs w:val="24"/>
        </w:rPr>
        <w:t xml:space="preserve"> Transfection Reagent </w:t>
      </w:r>
      <w:r w:rsidRPr="00A500E0">
        <w:rPr>
          <w:rFonts w:ascii="Times New Roman" w:hAnsi="Times New Roman" w:cs="Times New Roman"/>
          <w:color w:val="000000"/>
          <w:sz w:val="24"/>
          <w:szCs w:val="24"/>
        </w:rPr>
        <w:t xml:space="preserve">(Invitrogen) </w:t>
      </w:r>
      <w:proofErr w:type="gramStart"/>
      <w:r w:rsidRPr="00A500E0">
        <w:rPr>
          <w:rFonts w:ascii="Times New Roman" w:hAnsi="Times New Roman" w:cs="Times New Roman"/>
          <w:color w:val="000000"/>
          <w:sz w:val="24"/>
          <w:szCs w:val="24"/>
        </w:rPr>
        <w:t>according to</w:t>
      </w:r>
      <w:proofErr w:type="gramEnd"/>
      <w:r w:rsidRPr="00A500E0">
        <w:rPr>
          <w:rFonts w:ascii="Times New Roman" w:hAnsi="Times New Roman" w:cs="Times New Roman"/>
          <w:color w:val="000000"/>
          <w:sz w:val="24"/>
          <w:szCs w:val="24"/>
        </w:rPr>
        <w:t xml:space="preserve"> the manufacturer’s instructions. Transfected cells were cultured at 37</w:t>
      </w:r>
      <w:r w:rsidRPr="00A500E0">
        <w:rPr>
          <w:rFonts w:ascii="Cambria Math" w:eastAsia="MS Mincho" w:hAnsi="Cambria Math" w:cs="Cambria Math"/>
          <w:color w:val="000000"/>
          <w:sz w:val="24"/>
          <w:szCs w:val="24"/>
        </w:rPr>
        <w:t>℃</w:t>
      </w:r>
      <w:r w:rsidRPr="00A500E0">
        <w:rPr>
          <w:rFonts w:ascii="Times New Roman" w:hAnsi="Times New Roman" w:cs="Times New Roman"/>
          <w:color w:val="000000"/>
          <w:sz w:val="24"/>
          <w:szCs w:val="24"/>
        </w:rPr>
        <w:t xml:space="preserve"> for 48 hours before analysis. </w:t>
      </w:r>
      <w:r w:rsidRPr="00A500E0">
        <w:rPr>
          <w:rFonts w:ascii="Times New Roman" w:hAnsi="Times New Roman" w:cs="Times New Roman"/>
          <w:sz w:val="24"/>
          <w:szCs w:val="24"/>
        </w:rPr>
        <w:t xml:space="preserve"> </w:t>
      </w:r>
    </w:p>
    <w:p w14:paraId="1DDC97D2" w14:textId="1E966ED9" w:rsidR="00EF15E3" w:rsidRDefault="00EF15E3">
      <w:pPr>
        <w:rPr>
          <w:rFonts w:ascii="Times New Roman" w:hAnsi="Times New Roman" w:cs="Times New Roman"/>
          <w:b/>
          <w:i/>
          <w:sz w:val="24"/>
          <w:szCs w:val="24"/>
        </w:rPr>
      </w:pPr>
      <w:r>
        <w:rPr>
          <w:rFonts w:ascii="Times New Roman" w:hAnsi="Times New Roman" w:cs="Times New Roman"/>
          <w:b/>
          <w:i/>
          <w:sz w:val="24"/>
          <w:szCs w:val="24"/>
        </w:rPr>
        <w:br w:type="page"/>
      </w:r>
    </w:p>
    <w:p w14:paraId="0C274F81" w14:textId="77777777" w:rsidR="00213C56" w:rsidRPr="00EF15E3" w:rsidRDefault="00213C56" w:rsidP="00585E1D">
      <w:pPr>
        <w:autoSpaceDE w:val="0"/>
        <w:autoSpaceDN w:val="0"/>
        <w:adjustRightInd w:val="0"/>
        <w:spacing w:line="480" w:lineRule="auto"/>
        <w:jc w:val="both"/>
        <w:rPr>
          <w:rFonts w:ascii="Times New Roman" w:hAnsi="Times New Roman" w:cs="Times New Roman"/>
          <w:b/>
          <w:i/>
          <w:sz w:val="24"/>
          <w:szCs w:val="24"/>
        </w:rPr>
      </w:pPr>
    </w:p>
    <w:p w14:paraId="00847086" w14:textId="439DFA41" w:rsidR="00213C56" w:rsidRDefault="00213C56" w:rsidP="00585E1D">
      <w:pPr>
        <w:autoSpaceDE w:val="0"/>
        <w:autoSpaceDN w:val="0"/>
        <w:adjustRightInd w:val="0"/>
        <w:spacing w:line="480" w:lineRule="auto"/>
        <w:jc w:val="both"/>
        <w:rPr>
          <w:rFonts w:ascii="Times New Roman" w:hAnsi="Times New Roman" w:cs="Times New Roman"/>
          <w:b/>
          <w:i/>
          <w:sz w:val="24"/>
          <w:szCs w:val="24"/>
        </w:rPr>
      </w:pPr>
      <w:r w:rsidRPr="00EF15E3">
        <w:rPr>
          <w:rFonts w:ascii="Times New Roman" w:hAnsi="Times New Roman" w:cs="Times New Roman"/>
          <w:b/>
          <w:i/>
          <w:sz w:val="24"/>
          <w:szCs w:val="24"/>
        </w:rPr>
        <w:t>BLU667 + Osimertinib Treatment Protocol:</w:t>
      </w:r>
    </w:p>
    <w:p w14:paraId="5B21C514" w14:textId="77777777" w:rsidR="00EF15E3" w:rsidRPr="00EF15E3" w:rsidRDefault="00EF15E3" w:rsidP="00585E1D">
      <w:pPr>
        <w:autoSpaceDE w:val="0"/>
        <w:autoSpaceDN w:val="0"/>
        <w:adjustRightInd w:val="0"/>
        <w:spacing w:line="480" w:lineRule="auto"/>
        <w:jc w:val="both"/>
        <w:rPr>
          <w:rFonts w:ascii="Times New Roman" w:hAnsi="Times New Roman" w:cs="Times New Roman"/>
          <w:b/>
          <w:i/>
          <w:sz w:val="24"/>
          <w:szCs w:val="24"/>
        </w:rPr>
      </w:pPr>
    </w:p>
    <w:p w14:paraId="3B09F251" w14:textId="77777777" w:rsidR="00213C56" w:rsidRPr="005B7107" w:rsidRDefault="00213C56" w:rsidP="00213C56">
      <w:pPr>
        <w:pStyle w:val="Heading1"/>
        <w:numPr>
          <w:ilvl w:val="0"/>
          <w:numId w:val="0"/>
        </w:numPr>
        <w:ind w:left="360" w:hanging="360"/>
        <w:rPr>
          <w:lang w:val="en-US"/>
        </w:rPr>
      </w:pPr>
      <w:r>
        <w:rPr>
          <w:lang w:val="en-US"/>
        </w:rPr>
        <w:t>INclusion Criteria</w:t>
      </w:r>
    </w:p>
    <w:p w14:paraId="07A1D2BE" w14:textId="77777777" w:rsidR="00213C56" w:rsidRDefault="00213C56" w:rsidP="00213C56">
      <w:pPr>
        <w:rPr>
          <w:lang w:eastAsia="x-none"/>
        </w:rPr>
      </w:pPr>
    </w:p>
    <w:p w14:paraId="661E67D0" w14:textId="77777777" w:rsidR="00213C56" w:rsidRDefault="00213C56" w:rsidP="00213C56">
      <w:pPr>
        <w:widowControl w:val="0"/>
        <w:numPr>
          <w:ilvl w:val="0"/>
          <w:numId w:val="3"/>
        </w:numPr>
        <w:rPr>
          <w:lang w:eastAsia="x-none"/>
        </w:rPr>
      </w:pPr>
      <w:r>
        <w:rPr>
          <w:lang w:eastAsia="x-none"/>
        </w:rPr>
        <w:t>Signed informed consent document(s)</w:t>
      </w:r>
    </w:p>
    <w:p w14:paraId="37817785" w14:textId="77777777" w:rsidR="00213C56" w:rsidRDefault="00213C56" w:rsidP="00213C56">
      <w:pPr>
        <w:widowControl w:val="0"/>
        <w:numPr>
          <w:ilvl w:val="0"/>
          <w:numId w:val="3"/>
        </w:numPr>
        <w:rPr>
          <w:lang w:eastAsia="x-none"/>
        </w:rPr>
      </w:pPr>
      <w:r>
        <w:rPr>
          <w:lang w:eastAsia="x-none"/>
        </w:rPr>
        <w:t>Greater than or equal to 18 years of age</w:t>
      </w:r>
    </w:p>
    <w:p w14:paraId="7CD304CD" w14:textId="77777777" w:rsidR="00213C56" w:rsidRDefault="00213C56" w:rsidP="00213C56">
      <w:pPr>
        <w:widowControl w:val="0"/>
        <w:numPr>
          <w:ilvl w:val="0"/>
          <w:numId w:val="3"/>
        </w:numPr>
        <w:rPr>
          <w:lang w:eastAsia="x-none"/>
        </w:rPr>
      </w:pPr>
      <w:r>
        <w:rPr>
          <w:lang w:eastAsia="x-none"/>
        </w:rPr>
        <w:t>ECOG performance status 0-2 (See Appendix A)</w:t>
      </w:r>
    </w:p>
    <w:p w14:paraId="466C245C" w14:textId="77777777" w:rsidR="00213C56" w:rsidRDefault="00213C56" w:rsidP="00213C56">
      <w:pPr>
        <w:widowControl w:val="0"/>
        <w:numPr>
          <w:ilvl w:val="0"/>
          <w:numId w:val="3"/>
        </w:numPr>
        <w:rPr>
          <w:lang w:eastAsia="x-none"/>
        </w:rPr>
      </w:pPr>
      <w:r>
        <w:rPr>
          <w:lang w:eastAsia="x-none"/>
        </w:rPr>
        <w:t>Pathologically-confirmed, locally advanced or metastatic NSCLC</w:t>
      </w:r>
    </w:p>
    <w:p w14:paraId="3DBBA8E0" w14:textId="77777777" w:rsidR="00213C56" w:rsidRDefault="00213C56" w:rsidP="00213C56">
      <w:pPr>
        <w:widowControl w:val="0"/>
        <w:numPr>
          <w:ilvl w:val="0"/>
          <w:numId w:val="3"/>
        </w:numPr>
        <w:rPr>
          <w:lang w:eastAsia="x-none"/>
        </w:rPr>
      </w:pPr>
      <w:r w:rsidRPr="0086069E">
        <w:rPr>
          <w:i/>
          <w:lang w:eastAsia="x-none"/>
        </w:rPr>
        <w:t>EGFR</w:t>
      </w:r>
      <w:r>
        <w:rPr>
          <w:lang w:eastAsia="x-none"/>
        </w:rPr>
        <w:t xml:space="preserve"> mutation, as detected by local testing of tumor or circulating tumor nucleic acid in blood</w:t>
      </w:r>
    </w:p>
    <w:p w14:paraId="634A6FD7" w14:textId="77777777" w:rsidR="00213C56" w:rsidRDefault="00213C56" w:rsidP="00213C56">
      <w:pPr>
        <w:widowControl w:val="0"/>
        <w:numPr>
          <w:ilvl w:val="0"/>
          <w:numId w:val="3"/>
        </w:numPr>
        <w:rPr>
          <w:lang w:eastAsia="x-none"/>
        </w:rPr>
      </w:pPr>
      <w:r w:rsidRPr="0086069E">
        <w:rPr>
          <w:i/>
          <w:lang w:eastAsia="x-none"/>
        </w:rPr>
        <w:t>RET</w:t>
      </w:r>
      <w:r w:rsidRPr="00112582">
        <w:rPr>
          <w:lang w:eastAsia="x-none"/>
        </w:rPr>
        <w:t>-</w:t>
      </w:r>
      <w:r>
        <w:rPr>
          <w:lang w:eastAsia="x-none"/>
        </w:rPr>
        <w:t>fusion</w:t>
      </w:r>
      <w:r w:rsidRPr="00112582">
        <w:rPr>
          <w:lang w:eastAsia="x-none"/>
        </w:rPr>
        <w:t>, as determined by local testing of tumor or circulating tumor nucleic acid in blood</w:t>
      </w:r>
    </w:p>
    <w:p w14:paraId="39B17C79" w14:textId="77777777" w:rsidR="00213C56" w:rsidRDefault="00213C56" w:rsidP="00213C56">
      <w:pPr>
        <w:widowControl w:val="0"/>
        <w:numPr>
          <w:ilvl w:val="0"/>
          <w:numId w:val="3"/>
        </w:numPr>
        <w:rPr>
          <w:lang w:eastAsia="x-none"/>
        </w:rPr>
      </w:pPr>
      <w:r>
        <w:rPr>
          <w:lang w:eastAsia="x-none"/>
        </w:rPr>
        <w:t xml:space="preserve">Patients must have adequate organ function, including the following laboratory values at the screening visit: </w:t>
      </w:r>
    </w:p>
    <w:p w14:paraId="690100FA" w14:textId="77777777" w:rsidR="00213C56" w:rsidRDefault="00213C56" w:rsidP="00213C56">
      <w:pPr>
        <w:widowControl w:val="0"/>
        <w:numPr>
          <w:ilvl w:val="1"/>
          <w:numId w:val="3"/>
        </w:numPr>
        <w:rPr>
          <w:lang w:eastAsia="x-none"/>
        </w:rPr>
      </w:pPr>
      <w:r>
        <w:rPr>
          <w:lang w:eastAsia="x-none"/>
        </w:rPr>
        <w:t>Absolute neutrophil count (ANC) ≥1.0 x 10^9/L</w:t>
      </w:r>
    </w:p>
    <w:p w14:paraId="668F5A8C" w14:textId="77777777" w:rsidR="00213C56" w:rsidRDefault="00213C56" w:rsidP="00213C56">
      <w:pPr>
        <w:widowControl w:val="0"/>
        <w:numPr>
          <w:ilvl w:val="1"/>
          <w:numId w:val="3"/>
        </w:numPr>
        <w:rPr>
          <w:lang w:eastAsia="x-none"/>
        </w:rPr>
      </w:pPr>
      <w:r>
        <w:rPr>
          <w:lang w:eastAsia="x-none"/>
        </w:rPr>
        <w:t>Platelets ≥ 75 x 10^9/L</w:t>
      </w:r>
    </w:p>
    <w:p w14:paraId="2491A3FF" w14:textId="77777777" w:rsidR="00213C56" w:rsidRDefault="00213C56" w:rsidP="00213C56">
      <w:pPr>
        <w:widowControl w:val="0"/>
        <w:numPr>
          <w:ilvl w:val="1"/>
          <w:numId w:val="3"/>
        </w:numPr>
        <w:rPr>
          <w:lang w:eastAsia="x-none"/>
        </w:rPr>
      </w:pPr>
      <w:r>
        <w:rPr>
          <w:lang w:eastAsia="x-none"/>
        </w:rPr>
        <w:t>Hemoglobin (</w:t>
      </w:r>
      <w:proofErr w:type="spellStart"/>
      <w:r>
        <w:rPr>
          <w:lang w:eastAsia="x-none"/>
        </w:rPr>
        <w:t>Hgb</w:t>
      </w:r>
      <w:proofErr w:type="spellEnd"/>
      <w:r>
        <w:rPr>
          <w:lang w:eastAsia="x-none"/>
        </w:rPr>
        <w:t>) ≥ 9.0 g/</w:t>
      </w:r>
      <w:proofErr w:type="spellStart"/>
      <w:r>
        <w:rPr>
          <w:lang w:eastAsia="x-none"/>
        </w:rPr>
        <w:t>dL</w:t>
      </w:r>
      <w:proofErr w:type="spellEnd"/>
    </w:p>
    <w:p w14:paraId="024D4023" w14:textId="77777777" w:rsidR="00213C56" w:rsidRDefault="00213C56" w:rsidP="00213C56">
      <w:pPr>
        <w:widowControl w:val="0"/>
        <w:numPr>
          <w:ilvl w:val="1"/>
          <w:numId w:val="3"/>
        </w:numPr>
        <w:rPr>
          <w:lang w:eastAsia="x-none"/>
        </w:rPr>
      </w:pPr>
      <w:r>
        <w:rPr>
          <w:lang w:eastAsia="x-none"/>
        </w:rPr>
        <w:t>Calculated creatinine clearance ≥ 40 mL/min</w:t>
      </w:r>
    </w:p>
    <w:p w14:paraId="68A231AA" w14:textId="77777777" w:rsidR="00213C56" w:rsidRDefault="00213C56" w:rsidP="00213C56">
      <w:pPr>
        <w:widowControl w:val="0"/>
        <w:numPr>
          <w:ilvl w:val="1"/>
          <w:numId w:val="3"/>
        </w:numPr>
        <w:rPr>
          <w:lang w:eastAsia="x-none"/>
        </w:rPr>
      </w:pPr>
      <w:r>
        <w:rPr>
          <w:lang w:eastAsia="x-none"/>
        </w:rPr>
        <w:t>Total bilirubin &lt; 1.5 x ULN</w:t>
      </w:r>
    </w:p>
    <w:p w14:paraId="31583462" w14:textId="77777777" w:rsidR="00213C56" w:rsidRDefault="00213C56" w:rsidP="00213C56">
      <w:pPr>
        <w:widowControl w:val="0"/>
        <w:numPr>
          <w:ilvl w:val="1"/>
          <w:numId w:val="3"/>
        </w:numPr>
        <w:rPr>
          <w:lang w:eastAsia="x-none"/>
        </w:rPr>
      </w:pPr>
      <w:r>
        <w:rPr>
          <w:lang w:eastAsia="x-none"/>
        </w:rPr>
        <w:t xml:space="preserve">Aspartate transaminase (AST) ≤ 3 x ULN, except for patients with liver metastases, who may only be included if AST ≤ 5 x ULN. </w:t>
      </w:r>
    </w:p>
    <w:p w14:paraId="1FDE541E" w14:textId="77777777" w:rsidR="00213C56" w:rsidRDefault="00213C56" w:rsidP="00213C56">
      <w:pPr>
        <w:widowControl w:val="0"/>
        <w:numPr>
          <w:ilvl w:val="1"/>
          <w:numId w:val="3"/>
        </w:numPr>
        <w:rPr>
          <w:lang w:eastAsia="x-none"/>
        </w:rPr>
      </w:pPr>
      <w:r>
        <w:rPr>
          <w:lang w:eastAsia="x-none"/>
        </w:rPr>
        <w:t>Alanine transaminase (ALT) ≤ 3 x ULN, except for patients with liver metastases, who may only be included if AST ≤ 5 x ULN.</w:t>
      </w:r>
    </w:p>
    <w:p w14:paraId="2F4DC570" w14:textId="77777777" w:rsidR="00213C56" w:rsidRDefault="00213C56" w:rsidP="00213C56">
      <w:pPr>
        <w:rPr>
          <w:lang w:eastAsia="x-none"/>
        </w:rPr>
      </w:pPr>
    </w:p>
    <w:p w14:paraId="559C188D" w14:textId="77777777" w:rsidR="00213C56" w:rsidRDefault="00213C56" w:rsidP="00213C56">
      <w:pPr>
        <w:pStyle w:val="Heading1"/>
        <w:numPr>
          <w:ilvl w:val="0"/>
          <w:numId w:val="0"/>
        </w:numPr>
        <w:rPr>
          <w:lang w:val="en-US"/>
        </w:rPr>
      </w:pPr>
      <w:r>
        <w:rPr>
          <w:lang w:val="en-US"/>
        </w:rPr>
        <w:t>Exclusion criteria</w:t>
      </w:r>
    </w:p>
    <w:p w14:paraId="6066C245" w14:textId="77777777" w:rsidR="00213C56" w:rsidRDefault="00213C56" w:rsidP="00213C56">
      <w:pPr>
        <w:rPr>
          <w:lang w:eastAsia="x-none"/>
        </w:rPr>
      </w:pPr>
    </w:p>
    <w:p w14:paraId="6137C43B" w14:textId="77777777" w:rsidR="00213C56" w:rsidRPr="007D1ECE" w:rsidRDefault="00213C56" w:rsidP="00213C56">
      <w:pPr>
        <w:widowControl w:val="0"/>
        <w:numPr>
          <w:ilvl w:val="0"/>
          <w:numId w:val="4"/>
        </w:numPr>
        <w:rPr>
          <w:lang w:eastAsia="x-none"/>
        </w:rPr>
      </w:pPr>
      <w:r w:rsidRPr="0021452E">
        <w:t>Presence or history of interstitial lung disease or interstitial pneumonitis, including</w:t>
      </w:r>
      <w:r>
        <w:t xml:space="preserve"> </w:t>
      </w:r>
      <w:r w:rsidRPr="0021452E">
        <w:t>clinically significant radiation pneumonitis (i.e., affecting</w:t>
      </w:r>
      <w:r>
        <w:t xml:space="preserve"> </w:t>
      </w:r>
      <w:r w:rsidRPr="0021452E">
        <w:t>activities of daily</w:t>
      </w:r>
      <w:r>
        <w:t xml:space="preserve"> </w:t>
      </w:r>
      <w:r w:rsidRPr="0021452E">
        <w:t>living or</w:t>
      </w:r>
      <w:r>
        <w:t xml:space="preserve"> </w:t>
      </w:r>
      <w:r w:rsidRPr="0021452E">
        <w:t>requiring therapeutic intervention).</w:t>
      </w:r>
    </w:p>
    <w:p w14:paraId="336FEC3E" w14:textId="77777777" w:rsidR="00213C56" w:rsidRPr="000F2047" w:rsidRDefault="00213C56" w:rsidP="00213C56">
      <w:pPr>
        <w:widowControl w:val="0"/>
        <w:numPr>
          <w:ilvl w:val="0"/>
          <w:numId w:val="4"/>
        </w:numPr>
        <w:rPr>
          <w:lang w:eastAsia="x-none"/>
        </w:rPr>
      </w:pPr>
      <w:r w:rsidRPr="0021452E">
        <w:t>Clinically significant, uncontrolled heart diseases.</w:t>
      </w:r>
    </w:p>
    <w:p w14:paraId="67C6D412" w14:textId="77777777" w:rsidR="00213C56" w:rsidRPr="000F2047" w:rsidRDefault="00213C56" w:rsidP="00213C56">
      <w:pPr>
        <w:widowControl w:val="0"/>
        <w:numPr>
          <w:ilvl w:val="1"/>
          <w:numId w:val="4"/>
        </w:numPr>
        <w:rPr>
          <w:lang w:eastAsia="x-none"/>
        </w:rPr>
      </w:pPr>
      <w:r w:rsidRPr="0021452E">
        <w:t>Unstable angina within 6</w:t>
      </w:r>
      <w:r>
        <w:t xml:space="preserve"> </w:t>
      </w:r>
      <w:r w:rsidRPr="0021452E">
        <w:t>months prior to screening</w:t>
      </w:r>
    </w:p>
    <w:p w14:paraId="51C2B6AA" w14:textId="77777777" w:rsidR="00213C56" w:rsidRPr="000F2047" w:rsidRDefault="00213C56" w:rsidP="00213C56">
      <w:pPr>
        <w:widowControl w:val="0"/>
        <w:numPr>
          <w:ilvl w:val="1"/>
          <w:numId w:val="4"/>
        </w:numPr>
        <w:rPr>
          <w:lang w:eastAsia="x-none"/>
        </w:rPr>
      </w:pPr>
      <w:r w:rsidRPr="0021452E">
        <w:t>Myocardial infarction within 6 months prior to screening</w:t>
      </w:r>
    </w:p>
    <w:p w14:paraId="35E688D3" w14:textId="77777777" w:rsidR="00213C56" w:rsidRPr="000F2047" w:rsidRDefault="00213C56" w:rsidP="00213C56">
      <w:pPr>
        <w:widowControl w:val="0"/>
        <w:numPr>
          <w:ilvl w:val="1"/>
          <w:numId w:val="4"/>
        </w:numPr>
        <w:rPr>
          <w:lang w:eastAsia="x-none"/>
        </w:rPr>
      </w:pPr>
      <w:r w:rsidRPr="0021452E">
        <w:t>History</w:t>
      </w:r>
      <w:r>
        <w:t xml:space="preserve"> </w:t>
      </w:r>
      <w:r w:rsidRPr="0021452E">
        <w:t>of documented congestive heart</w:t>
      </w:r>
      <w:r>
        <w:t xml:space="preserve"> </w:t>
      </w:r>
      <w:r w:rsidRPr="0021452E">
        <w:t>failure (New York</w:t>
      </w:r>
      <w:r>
        <w:t xml:space="preserve"> </w:t>
      </w:r>
      <w:r w:rsidRPr="0021452E">
        <w:t>Heart Association</w:t>
      </w:r>
      <w:r>
        <w:t xml:space="preserve"> </w:t>
      </w:r>
      <w:r w:rsidRPr="0021452E">
        <w:t>functional classification III-IV)</w:t>
      </w:r>
    </w:p>
    <w:p w14:paraId="681BE429" w14:textId="77777777" w:rsidR="00213C56" w:rsidRPr="000F2047" w:rsidRDefault="00213C56" w:rsidP="00213C56">
      <w:pPr>
        <w:widowControl w:val="0"/>
        <w:numPr>
          <w:ilvl w:val="1"/>
          <w:numId w:val="4"/>
        </w:numPr>
        <w:rPr>
          <w:lang w:eastAsia="x-none"/>
        </w:rPr>
      </w:pPr>
      <w:r w:rsidRPr="0021452E">
        <w:t>Uncontrolled hypertension defined by</w:t>
      </w:r>
      <w:r>
        <w:t xml:space="preserve"> </w:t>
      </w:r>
      <w:r w:rsidRPr="0021452E">
        <w:t>a Systolic Blood Pressure (SBP) ≥ 1</w:t>
      </w:r>
      <w:r>
        <w:t>8</w:t>
      </w:r>
      <w:r w:rsidRPr="0021452E">
        <w:t>0 mm Hg and/or Diastolic Blood Pressure (DBP) ≥ 100 mm Hg, with or</w:t>
      </w:r>
      <w:r>
        <w:t xml:space="preserve"> </w:t>
      </w:r>
      <w:r w:rsidRPr="0021452E">
        <w:t>without</w:t>
      </w:r>
      <w:r w:rsidRPr="000F2047">
        <w:rPr>
          <w:lang w:eastAsia="x-none"/>
        </w:rPr>
        <w:t xml:space="preserve"> </w:t>
      </w:r>
      <w:r w:rsidRPr="0021452E">
        <w:t>anti</w:t>
      </w:r>
      <w:r>
        <w:t xml:space="preserve">- </w:t>
      </w:r>
      <w:r w:rsidRPr="0021452E">
        <w:t>hypertensive</w:t>
      </w:r>
      <w:r>
        <w:t xml:space="preserve"> </w:t>
      </w:r>
      <w:r w:rsidRPr="0021452E">
        <w:t>medication. Initiation or adjustment of antihypertensive</w:t>
      </w:r>
      <w:r w:rsidRPr="000F2047">
        <w:rPr>
          <w:lang w:eastAsia="x-none"/>
        </w:rPr>
        <w:t xml:space="preserve"> </w:t>
      </w:r>
      <w:r w:rsidRPr="0021452E">
        <w:t>medication(s) is allowed</w:t>
      </w:r>
      <w:r>
        <w:t xml:space="preserve"> </w:t>
      </w:r>
      <w:r w:rsidRPr="0021452E">
        <w:t>prior to screening</w:t>
      </w:r>
    </w:p>
    <w:p w14:paraId="110CED1D" w14:textId="77777777" w:rsidR="00213C56" w:rsidRDefault="00213C56" w:rsidP="00213C56">
      <w:pPr>
        <w:numPr>
          <w:ilvl w:val="1"/>
          <w:numId w:val="4"/>
        </w:numPr>
        <w:autoSpaceDE w:val="0"/>
        <w:autoSpaceDN w:val="0"/>
        <w:adjustRightInd w:val="0"/>
        <w:spacing w:line="211" w:lineRule="atLeast"/>
      </w:pPr>
      <w:r w:rsidRPr="00586071">
        <w:t>Any clinically important abnormalities in rhythm, conduction or morphology of resting ECG e.g. complete left bundle branch block, third degree heart block and second degree heart block</w:t>
      </w:r>
      <w:r w:rsidRPr="0021452E">
        <w:t xml:space="preserve"> </w:t>
      </w:r>
      <w:r>
        <w:t>not controlled by medication</w:t>
      </w:r>
    </w:p>
    <w:p w14:paraId="37F11A72" w14:textId="77777777" w:rsidR="00213C56" w:rsidRPr="007D1ECE" w:rsidRDefault="00213C56" w:rsidP="00213C56">
      <w:pPr>
        <w:numPr>
          <w:ilvl w:val="1"/>
          <w:numId w:val="4"/>
        </w:numPr>
        <w:autoSpaceDE w:val="0"/>
        <w:autoSpaceDN w:val="0"/>
        <w:adjustRightInd w:val="0"/>
        <w:spacing w:line="211" w:lineRule="atLeast"/>
      </w:pPr>
      <w:proofErr w:type="spellStart"/>
      <w:r w:rsidRPr="0021452E">
        <w:t>QTcF</w:t>
      </w:r>
      <w:proofErr w:type="spellEnd"/>
      <w:r>
        <w:t xml:space="preserve"> </w:t>
      </w:r>
      <w:r w:rsidRPr="0021452E">
        <w:t>≥ 470ms</w:t>
      </w:r>
      <w:r>
        <w:t xml:space="preserve"> </w:t>
      </w:r>
      <w:r w:rsidRPr="0021452E">
        <w:t>on the screening E</w:t>
      </w:r>
      <w:r>
        <w:t xml:space="preserve">KG. </w:t>
      </w:r>
      <w:r w:rsidRPr="008F1776">
        <w:t xml:space="preserve">Patient has a history of prolonged QT syndrome or </w:t>
      </w:r>
      <w:proofErr w:type="spellStart"/>
      <w:r w:rsidRPr="008F1776">
        <w:t>Torsades</w:t>
      </w:r>
      <w:proofErr w:type="spellEnd"/>
      <w:r w:rsidRPr="008F1776">
        <w:t xml:space="preserve"> de pointes. Patient has a familial history of prolonged QT syndrome</w:t>
      </w:r>
    </w:p>
    <w:p w14:paraId="379067FF" w14:textId="77777777" w:rsidR="00213C56" w:rsidRDefault="00213C56" w:rsidP="00213C56">
      <w:pPr>
        <w:pStyle w:val="SageListNumber"/>
        <w:numPr>
          <w:ilvl w:val="0"/>
          <w:numId w:val="0"/>
        </w:numPr>
        <w:spacing w:before="0"/>
        <w:ind w:left="360" w:hanging="360"/>
      </w:pPr>
    </w:p>
    <w:p w14:paraId="39F280A6" w14:textId="77777777" w:rsidR="00213C56" w:rsidRDefault="00213C56" w:rsidP="00213C56">
      <w:pPr>
        <w:pStyle w:val="SageListNumber"/>
        <w:numPr>
          <w:ilvl w:val="0"/>
          <w:numId w:val="4"/>
        </w:numPr>
        <w:spacing w:before="0"/>
      </w:pPr>
      <w:r w:rsidRPr="008F1776">
        <w:t>Patient received any anti-cancer therapy (including both systemic therapy and radiotherapy) within 14 days or 5 half-lives prior to the first dose of study drug</w:t>
      </w:r>
      <w:r>
        <w:t>, whichever is shorter</w:t>
      </w:r>
      <w:r w:rsidRPr="008F1776">
        <w:t>.</w:t>
      </w:r>
      <w:r>
        <w:t xml:space="preserve"> Prior osimertinib may be continued uninterrupted without a wash-out</w:t>
      </w:r>
    </w:p>
    <w:p w14:paraId="273E2012" w14:textId="77777777" w:rsidR="00213C56" w:rsidRPr="008F1776" w:rsidRDefault="00213C56" w:rsidP="00213C56">
      <w:pPr>
        <w:pStyle w:val="SageListNumber"/>
        <w:numPr>
          <w:ilvl w:val="0"/>
          <w:numId w:val="4"/>
        </w:numPr>
        <w:spacing w:before="0"/>
      </w:pPr>
      <w:r>
        <w:t>Patient is taking (and cannot cease) one of the prohibited concomitant medications listed below. If no specific wash-out period is listed in the table for a prohibited medication, the default wash-out period is 5 days or 5 half-lives, whichever is shorter</w:t>
      </w:r>
    </w:p>
    <w:p w14:paraId="15611C1F" w14:textId="77777777" w:rsidR="00213C56" w:rsidRPr="00B96F48" w:rsidRDefault="00213C56" w:rsidP="00213C56">
      <w:pPr>
        <w:widowControl w:val="0"/>
        <w:numPr>
          <w:ilvl w:val="0"/>
          <w:numId w:val="4"/>
        </w:numPr>
      </w:pPr>
      <w:r w:rsidRPr="00B96F48">
        <w:t xml:space="preserve">Unable or unwilling to swallow tablets </w:t>
      </w:r>
      <w:r>
        <w:t xml:space="preserve">or capsules </w:t>
      </w:r>
      <w:r w:rsidRPr="00B96F48">
        <w:t>as per dosing schedule</w:t>
      </w:r>
    </w:p>
    <w:p w14:paraId="498092F9" w14:textId="77777777" w:rsidR="00213C56" w:rsidRPr="008F1776" w:rsidRDefault="00213C56" w:rsidP="00213C56">
      <w:pPr>
        <w:widowControl w:val="0"/>
        <w:numPr>
          <w:ilvl w:val="0"/>
          <w:numId w:val="4"/>
        </w:numPr>
      </w:pPr>
      <w:r w:rsidRPr="008F1776">
        <w:t>Patient has had a major surgical procedure within 14 days of the first dose of study drug (procedures such as central venous catheter placement, tumor needle biopsy, and feeding tube placement are not considered major surgical procedures).</w:t>
      </w:r>
    </w:p>
    <w:p w14:paraId="64933FC2" w14:textId="77777777" w:rsidR="00213C56" w:rsidRDefault="00213C56" w:rsidP="00213C56">
      <w:pPr>
        <w:ind w:left="720"/>
        <w:rPr>
          <w:lang w:eastAsia="x-none"/>
        </w:rPr>
      </w:pPr>
    </w:p>
    <w:p w14:paraId="0001E580" w14:textId="77777777" w:rsidR="00213C56" w:rsidRDefault="00213C56" w:rsidP="00213C56"/>
    <w:p w14:paraId="63CE01D1" w14:textId="77777777" w:rsidR="00213C56" w:rsidRDefault="00213C56" w:rsidP="00213C56"/>
    <w:p w14:paraId="7128901B" w14:textId="77777777" w:rsidR="00213C56" w:rsidRDefault="00213C56" w:rsidP="00213C56">
      <w:pPr>
        <w:autoSpaceDE w:val="0"/>
        <w:autoSpaceDN w:val="0"/>
        <w:adjustRightInd w:val="0"/>
        <w:rPr>
          <w:b/>
        </w:rPr>
      </w:pPr>
      <w:r>
        <w:rPr>
          <w:b/>
        </w:rPr>
        <w:t>Treatment Schedule</w:t>
      </w:r>
    </w:p>
    <w:p w14:paraId="3C2D5A10" w14:textId="77777777" w:rsidR="00213C56" w:rsidRDefault="00213C56" w:rsidP="00213C56">
      <w:pPr>
        <w:autoSpaceDE w:val="0"/>
        <w:autoSpaceDN w:val="0"/>
        <w:adjustRightInd w:val="0"/>
      </w:pPr>
    </w:p>
    <w:p w14:paraId="32E4F433" w14:textId="77777777" w:rsidR="00213C56" w:rsidRDefault="00213C56" w:rsidP="00213C56">
      <w:pPr>
        <w:autoSpaceDE w:val="0"/>
        <w:autoSpaceDN w:val="0"/>
        <w:adjustRightInd w:val="0"/>
      </w:pPr>
      <w:r w:rsidRPr="009936F7">
        <w:t>Treatment</w:t>
      </w:r>
      <w:r>
        <w:t xml:space="preserve"> periods will be divided into 28</w:t>
      </w:r>
      <w:r w:rsidRPr="009936F7">
        <w:t xml:space="preserve">-day treatment cycles. </w:t>
      </w:r>
      <w:r>
        <w:t>During the first cycle when the dose of BLU-667 is being escalated, t</w:t>
      </w:r>
      <w:r w:rsidRPr="009936F7">
        <w:t xml:space="preserve">here will be </w:t>
      </w:r>
      <w:r>
        <w:t xml:space="preserve">safety laboratory assessments every two weeks (plus an additional safety lab check on C1D8). </w:t>
      </w:r>
      <w:r w:rsidRPr="009936F7">
        <w:t>Treatment will be continuous unless there is a delay. There will be a +/- 5-day visit</w:t>
      </w:r>
      <w:r>
        <w:t xml:space="preserve"> </w:t>
      </w:r>
      <w:r w:rsidRPr="009936F7">
        <w:t>window for assessments on D1 of each cycle. On Day 1 of all treatment cycles, the patient will first be assessed for continued</w:t>
      </w:r>
      <w:r>
        <w:t xml:space="preserve"> </w:t>
      </w:r>
      <w:r w:rsidRPr="009936F7">
        <w:t>treatment. These assessments will include:</w:t>
      </w:r>
    </w:p>
    <w:p w14:paraId="147920F2" w14:textId="77777777" w:rsidR="00213C56" w:rsidRPr="009936F7" w:rsidRDefault="00213C56" w:rsidP="00213C56">
      <w:pPr>
        <w:autoSpaceDE w:val="0"/>
        <w:autoSpaceDN w:val="0"/>
        <w:adjustRightInd w:val="0"/>
      </w:pPr>
    </w:p>
    <w:p w14:paraId="2DC02F0A" w14:textId="77777777" w:rsidR="00EF15E3" w:rsidRDefault="00213C56" w:rsidP="00213C56">
      <w:pPr>
        <w:pStyle w:val="ListParagraph"/>
        <w:numPr>
          <w:ilvl w:val="0"/>
          <w:numId w:val="7"/>
        </w:numPr>
        <w:autoSpaceDE w:val="0"/>
        <w:autoSpaceDN w:val="0"/>
        <w:adjustRightInd w:val="0"/>
      </w:pPr>
      <w:r w:rsidRPr="009936F7">
        <w:t>Physical exam to include vital signs, performance status</w:t>
      </w:r>
    </w:p>
    <w:p w14:paraId="40EB9057" w14:textId="77777777" w:rsidR="00EF15E3" w:rsidRDefault="00213C56" w:rsidP="00213C56">
      <w:pPr>
        <w:pStyle w:val="ListParagraph"/>
        <w:numPr>
          <w:ilvl w:val="0"/>
          <w:numId w:val="7"/>
        </w:numPr>
        <w:autoSpaceDE w:val="0"/>
        <w:autoSpaceDN w:val="0"/>
        <w:adjustRightInd w:val="0"/>
      </w:pPr>
      <w:r w:rsidRPr="009936F7">
        <w:t>Report of medications, both new and ongoing</w:t>
      </w:r>
    </w:p>
    <w:p w14:paraId="0A5EFE07" w14:textId="77777777" w:rsidR="00EF15E3" w:rsidRDefault="00213C56" w:rsidP="00213C56">
      <w:pPr>
        <w:pStyle w:val="ListParagraph"/>
        <w:numPr>
          <w:ilvl w:val="0"/>
          <w:numId w:val="7"/>
        </w:numPr>
        <w:autoSpaceDE w:val="0"/>
        <w:autoSpaceDN w:val="0"/>
        <w:adjustRightInd w:val="0"/>
      </w:pPr>
      <w:r w:rsidRPr="009936F7">
        <w:t>Review of any symptoms and health problems that have been experienced</w:t>
      </w:r>
      <w:r>
        <w:t xml:space="preserve"> </w:t>
      </w:r>
      <w:r w:rsidRPr="009936F7">
        <w:t>since starting the medication.</w:t>
      </w:r>
    </w:p>
    <w:p w14:paraId="382A8EB1" w14:textId="77777777" w:rsidR="00EF15E3" w:rsidRDefault="00213C56" w:rsidP="00213C56">
      <w:pPr>
        <w:pStyle w:val="ListParagraph"/>
        <w:numPr>
          <w:ilvl w:val="0"/>
          <w:numId w:val="7"/>
        </w:numPr>
        <w:autoSpaceDE w:val="0"/>
        <w:autoSpaceDN w:val="0"/>
        <w:adjustRightInd w:val="0"/>
      </w:pPr>
      <w:r w:rsidRPr="009936F7">
        <w:t>Blood samples. Approximately 2 tablespoons for hematology and</w:t>
      </w:r>
      <w:r>
        <w:t xml:space="preserve"> </w:t>
      </w:r>
      <w:r w:rsidRPr="009936F7">
        <w:t>chemistries, including liver and kidney function tests.</w:t>
      </w:r>
    </w:p>
    <w:p w14:paraId="210AD6CF" w14:textId="53B0E069" w:rsidR="00213C56" w:rsidRDefault="00213C56" w:rsidP="00213C56">
      <w:pPr>
        <w:pStyle w:val="ListParagraph"/>
        <w:numPr>
          <w:ilvl w:val="0"/>
          <w:numId w:val="7"/>
        </w:numPr>
        <w:autoSpaceDE w:val="0"/>
        <w:autoSpaceDN w:val="0"/>
        <w:adjustRightInd w:val="0"/>
      </w:pPr>
      <w:r w:rsidRPr="009936F7">
        <w:t>Review of drug diary and dispensation of new drug</w:t>
      </w:r>
    </w:p>
    <w:p w14:paraId="37DF807E" w14:textId="77777777" w:rsidR="00213C56" w:rsidRDefault="00213C56" w:rsidP="00213C56"/>
    <w:p w14:paraId="14512B95" w14:textId="77777777" w:rsidR="00213C56" w:rsidRPr="009936F7" w:rsidRDefault="00213C56" w:rsidP="00213C56">
      <w:pPr>
        <w:autoSpaceDE w:val="0"/>
        <w:autoSpaceDN w:val="0"/>
        <w:adjustRightInd w:val="0"/>
      </w:pPr>
      <w:r w:rsidRPr="009936F7">
        <w:t>Tumor assessments (</w:t>
      </w:r>
      <w:r>
        <w:t>using CT/MRI) will occur every 8</w:t>
      </w:r>
      <w:r w:rsidRPr="009936F7">
        <w:t>-12 weeks from the first day of</w:t>
      </w:r>
      <w:r>
        <w:t xml:space="preserve"> </w:t>
      </w:r>
      <w:r w:rsidRPr="009936F7">
        <w:t>dosing until disease progression or drug discontinuation. Imaging studies should include</w:t>
      </w:r>
      <w:r>
        <w:t xml:space="preserve"> </w:t>
      </w:r>
      <w:r w:rsidRPr="009936F7">
        <w:t>sites of known or suspected disease and follow local institutional standards. All study</w:t>
      </w:r>
      <w:r>
        <w:t xml:space="preserve"> </w:t>
      </w:r>
      <w:r w:rsidRPr="009936F7">
        <w:t>treatments are outlined in the study calendar below.</w:t>
      </w:r>
    </w:p>
    <w:p w14:paraId="0901A363" w14:textId="77777777" w:rsidR="00213C56" w:rsidRDefault="00213C56" w:rsidP="00213C56">
      <w:pPr>
        <w:autoSpaceDE w:val="0"/>
        <w:autoSpaceDN w:val="0"/>
        <w:adjustRightInd w:val="0"/>
      </w:pPr>
    </w:p>
    <w:p w14:paraId="1EE5BF8B" w14:textId="77777777" w:rsidR="00213C56" w:rsidRDefault="00213C56" w:rsidP="00213C56">
      <w:pPr>
        <w:autoSpaceDE w:val="0"/>
        <w:autoSpaceDN w:val="0"/>
        <w:adjustRightInd w:val="0"/>
      </w:pPr>
    </w:p>
    <w:p w14:paraId="6EF20246" w14:textId="77777777" w:rsidR="00213C56" w:rsidRPr="009936F7" w:rsidRDefault="00213C56" w:rsidP="00213C56">
      <w:pPr>
        <w:autoSpaceDE w:val="0"/>
        <w:autoSpaceDN w:val="0"/>
        <w:adjustRightInd w:val="0"/>
        <w:rPr>
          <w:b/>
        </w:rPr>
      </w:pPr>
      <w:r w:rsidRPr="009936F7">
        <w:rPr>
          <w:b/>
        </w:rPr>
        <w:t>STUDY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134"/>
        <w:gridCol w:w="1060"/>
        <w:gridCol w:w="1061"/>
        <w:gridCol w:w="1061"/>
        <w:gridCol w:w="1060"/>
        <w:gridCol w:w="1061"/>
        <w:gridCol w:w="1285"/>
      </w:tblGrid>
      <w:tr w:rsidR="00213C56" w:rsidRPr="00BA4F48" w14:paraId="12E0F5C0" w14:textId="77777777" w:rsidTr="00390AC7">
        <w:tc>
          <w:tcPr>
            <w:tcW w:w="1630" w:type="dxa"/>
            <w:shd w:val="clear" w:color="auto" w:fill="auto"/>
          </w:tcPr>
          <w:p w14:paraId="554E1BE8" w14:textId="77777777" w:rsidR="00213C56" w:rsidRPr="00BA4F48" w:rsidRDefault="00213C56" w:rsidP="00390AC7">
            <w:pPr>
              <w:autoSpaceDE w:val="0"/>
              <w:autoSpaceDN w:val="0"/>
              <w:adjustRightInd w:val="0"/>
              <w:jc w:val="center"/>
              <w:rPr>
                <w:b/>
                <w:sz w:val="20"/>
                <w:szCs w:val="20"/>
              </w:rPr>
            </w:pPr>
            <w:r w:rsidRPr="00BA4F48">
              <w:rPr>
                <w:b/>
                <w:sz w:val="20"/>
                <w:szCs w:val="20"/>
              </w:rPr>
              <w:t>Protocol Activity</w:t>
            </w:r>
          </w:p>
        </w:tc>
        <w:tc>
          <w:tcPr>
            <w:tcW w:w="1134" w:type="dxa"/>
            <w:shd w:val="clear" w:color="auto" w:fill="auto"/>
          </w:tcPr>
          <w:p w14:paraId="30918373" w14:textId="77777777" w:rsidR="00213C56" w:rsidRPr="00BA4F48" w:rsidRDefault="00213C56" w:rsidP="00390AC7">
            <w:pPr>
              <w:autoSpaceDE w:val="0"/>
              <w:autoSpaceDN w:val="0"/>
              <w:adjustRightInd w:val="0"/>
              <w:jc w:val="center"/>
              <w:rPr>
                <w:b/>
                <w:sz w:val="20"/>
                <w:szCs w:val="20"/>
              </w:rPr>
            </w:pPr>
            <w:r w:rsidRPr="00BA4F48">
              <w:rPr>
                <w:b/>
                <w:sz w:val="20"/>
                <w:szCs w:val="20"/>
              </w:rPr>
              <w:t>Screening (≤28 days)</w:t>
            </w:r>
          </w:p>
        </w:tc>
        <w:tc>
          <w:tcPr>
            <w:tcW w:w="1064" w:type="dxa"/>
            <w:shd w:val="clear" w:color="auto" w:fill="auto"/>
          </w:tcPr>
          <w:p w14:paraId="596CA965" w14:textId="77777777" w:rsidR="00213C56" w:rsidRPr="00BA4F48" w:rsidRDefault="00213C56" w:rsidP="00390AC7">
            <w:pPr>
              <w:autoSpaceDE w:val="0"/>
              <w:autoSpaceDN w:val="0"/>
              <w:adjustRightInd w:val="0"/>
              <w:jc w:val="center"/>
              <w:rPr>
                <w:b/>
                <w:sz w:val="20"/>
                <w:szCs w:val="20"/>
              </w:rPr>
            </w:pPr>
            <w:r w:rsidRPr="00BA4F48">
              <w:rPr>
                <w:b/>
                <w:sz w:val="20"/>
                <w:szCs w:val="20"/>
              </w:rPr>
              <w:t>Cycle 1</w:t>
            </w:r>
          </w:p>
          <w:p w14:paraId="38AB60A2" w14:textId="77777777" w:rsidR="00213C56" w:rsidRPr="00BA4F48" w:rsidRDefault="00213C56" w:rsidP="00390AC7">
            <w:pPr>
              <w:autoSpaceDE w:val="0"/>
              <w:autoSpaceDN w:val="0"/>
              <w:adjustRightInd w:val="0"/>
              <w:jc w:val="center"/>
              <w:rPr>
                <w:b/>
                <w:sz w:val="20"/>
                <w:szCs w:val="20"/>
              </w:rPr>
            </w:pPr>
            <w:r w:rsidRPr="00BA4F48">
              <w:rPr>
                <w:b/>
                <w:sz w:val="20"/>
                <w:szCs w:val="20"/>
              </w:rPr>
              <w:t>Day 1</w:t>
            </w:r>
          </w:p>
        </w:tc>
        <w:tc>
          <w:tcPr>
            <w:tcW w:w="1065" w:type="dxa"/>
          </w:tcPr>
          <w:p w14:paraId="21A6F1A2" w14:textId="77777777" w:rsidR="00213C56" w:rsidRPr="00BA4F48" w:rsidRDefault="00213C56" w:rsidP="00390AC7">
            <w:pPr>
              <w:autoSpaceDE w:val="0"/>
              <w:autoSpaceDN w:val="0"/>
              <w:adjustRightInd w:val="0"/>
              <w:jc w:val="center"/>
              <w:rPr>
                <w:b/>
                <w:sz w:val="20"/>
                <w:szCs w:val="20"/>
              </w:rPr>
            </w:pPr>
            <w:r>
              <w:rPr>
                <w:b/>
                <w:sz w:val="20"/>
                <w:szCs w:val="20"/>
              </w:rPr>
              <w:t>Cycle 1 Day 8</w:t>
            </w:r>
          </w:p>
        </w:tc>
        <w:tc>
          <w:tcPr>
            <w:tcW w:w="1065" w:type="dxa"/>
            <w:shd w:val="clear" w:color="auto" w:fill="auto"/>
          </w:tcPr>
          <w:p w14:paraId="1C9091F8" w14:textId="77777777" w:rsidR="00213C56" w:rsidRPr="00BA4F48" w:rsidRDefault="00213C56" w:rsidP="00390AC7">
            <w:pPr>
              <w:autoSpaceDE w:val="0"/>
              <w:autoSpaceDN w:val="0"/>
              <w:adjustRightInd w:val="0"/>
              <w:jc w:val="center"/>
              <w:rPr>
                <w:b/>
                <w:sz w:val="20"/>
                <w:szCs w:val="20"/>
              </w:rPr>
            </w:pPr>
            <w:r w:rsidRPr="00BA4F48">
              <w:rPr>
                <w:b/>
                <w:sz w:val="20"/>
                <w:szCs w:val="20"/>
              </w:rPr>
              <w:t>Cycle 1</w:t>
            </w:r>
          </w:p>
          <w:p w14:paraId="713CA0D2" w14:textId="77777777" w:rsidR="00213C56" w:rsidRPr="00BA4F48" w:rsidRDefault="00213C56" w:rsidP="00390AC7">
            <w:pPr>
              <w:autoSpaceDE w:val="0"/>
              <w:autoSpaceDN w:val="0"/>
              <w:adjustRightInd w:val="0"/>
              <w:jc w:val="center"/>
              <w:rPr>
                <w:b/>
                <w:sz w:val="20"/>
                <w:szCs w:val="20"/>
              </w:rPr>
            </w:pPr>
            <w:r w:rsidRPr="00BA4F48">
              <w:rPr>
                <w:b/>
                <w:sz w:val="20"/>
                <w:szCs w:val="20"/>
              </w:rPr>
              <w:t>Day 15</w:t>
            </w:r>
          </w:p>
        </w:tc>
        <w:tc>
          <w:tcPr>
            <w:tcW w:w="1064" w:type="dxa"/>
            <w:shd w:val="clear" w:color="auto" w:fill="auto"/>
          </w:tcPr>
          <w:p w14:paraId="3DF28E4D" w14:textId="77777777" w:rsidR="00213C56" w:rsidRPr="00BA4F48" w:rsidRDefault="00213C56" w:rsidP="00390AC7">
            <w:pPr>
              <w:autoSpaceDE w:val="0"/>
              <w:autoSpaceDN w:val="0"/>
              <w:adjustRightInd w:val="0"/>
              <w:jc w:val="center"/>
              <w:rPr>
                <w:b/>
                <w:sz w:val="20"/>
                <w:szCs w:val="20"/>
              </w:rPr>
            </w:pPr>
            <w:r w:rsidRPr="00BA4F48">
              <w:rPr>
                <w:b/>
                <w:sz w:val="20"/>
                <w:szCs w:val="20"/>
              </w:rPr>
              <w:t>Cycle 2</w:t>
            </w:r>
          </w:p>
          <w:p w14:paraId="1D49FD1C" w14:textId="77777777" w:rsidR="00213C56" w:rsidRPr="00BA4F48" w:rsidRDefault="00213C56" w:rsidP="00390AC7">
            <w:pPr>
              <w:autoSpaceDE w:val="0"/>
              <w:autoSpaceDN w:val="0"/>
              <w:adjustRightInd w:val="0"/>
              <w:jc w:val="center"/>
              <w:rPr>
                <w:b/>
                <w:sz w:val="20"/>
                <w:szCs w:val="20"/>
              </w:rPr>
            </w:pPr>
            <w:r w:rsidRPr="00BA4F48">
              <w:rPr>
                <w:b/>
                <w:sz w:val="20"/>
                <w:szCs w:val="20"/>
              </w:rPr>
              <w:t>Day 1</w:t>
            </w:r>
          </w:p>
        </w:tc>
        <w:tc>
          <w:tcPr>
            <w:tcW w:w="1065" w:type="dxa"/>
            <w:shd w:val="clear" w:color="auto" w:fill="auto"/>
          </w:tcPr>
          <w:p w14:paraId="3A7FEC8B" w14:textId="77777777" w:rsidR="00213C56" w:rsidRPr="00BA4F48" w:rsidRDefault="00213C56" w:rsidP="00390AC7">
            <w:pPr>
              <w:autoSpaceDE w:val="0"/>
              <w:autoSpaceDN w:val="0"/>
              <w:adjustRightInd w:val="0"/>
              <w:jc w:val="center"/>
              <w:rPr>
                <w:b/>
                <w:sz w:val="20"/>
                <w:szCs w:val="20"/>
              </w:rPr>
            </w:pPr>
            <w:r w:rsidRPr="00BA4F48">
              <w:rPr>
                <w:b/>
                <w:sz w:val="20"/>
                <w:szCs w:val="20"/>
              </w:rPr>
              <w:t>Cycle 3</w:t>
            </w:r>
            <w:r>
              <w:rPr>
                <w:b/>
                <w:sz w:val="20"/>
                <w:szCs w:val="20"/>
              </w:rPr>
              <w:t>+</w:t>
            </w:r>
          </w:p>
          <w:p w14:paraId="58A27460" w14:textId="77777777" w:rsidR="00213C56" w:rsidRPr="00BA4F48" w:rsidRDefault="00213C56" w:rsidP="00390AC7">
            <w:pPr>
              <w:autoSpaceDE w:val="0"/>
              <w:autoSpaceDN w:val="0"/>
              <w:adjustRightInd w:val="0"/>
              <w:jc w:val="center"/>
              <w:rPr>
                <w:b/>
                <w:sz w:val="20"/>
                <w:szCs w:val="20"/>
              </w:rPr>
            </w:pPr>
            <w:r w:rsidRPr="00BA4F48">
              <w:rPr>
                <w:b/>
                <w:sz w:val="20"/>
                <w:szCs w:val="20"/>
              </w:rPr>
              <w:t>Day 1</w:t>
            </w:r>
          </w:p>
        </w:tc>
        <w:tc>
          <w:tcPr>
            <w:tcW w:w="1287" w:type="dxa"/>
            <w:shd w:val="clear" w:color="auto" w:fill="auto"/>
          </w:tcPr>
          <w:p w14:paraId="6B576595" w14:textId="77777777" w:rsidR="00213C56" w:rsidRPr="00BA4F48" w:rsidRDefault="00213C56" w:rsidP="00390AC7">
            <w:pPr>
              <w:autoSpaceDE w:val="0"/>
              <w:autoSpaceDN w:val="0"/>
              <w:adjustRightInd w:val="0"/>
              <w:jc w:val="center"/>
              <w:rPr>
                <w:b/>
                <w:sz w:val="20"/>
                <w:szCs w:val="20"/>
              </w:rPr>
            </w:pPr>
            <w:r w:rsidRPr="00BA4F48">
              <w:rPr>
                <w:b/>
                <w:sz w:val="20"/>
                <w:szCs w:val="20"/>
              </w:rPr>
              <w:t>End of Treatment</w:t>
            </w:r>
          </w:p>
        </w:tc>
      </w:tr>
      <w:tr w:rsidR="00213C56" w:rsidRPr="00BA4F48" w14:paraId="74B1DD40" w14:textId="77777777" w:rsidTr="00390AC7">
        <w:tc>
          <w:tcPr>
            <w:tcW w:w="1630" w:type="dxa"/>
            <w:shd w:val="clear" w:color="auto" w:fill="auto"/>
          </w:tcPr>
          <w:p w14:paraId="5B407A86" w14:textId="77777777" w:rsidR="00213C56" w:rsidRPr="00BA4F48" w:rsidRDefault="00213C56" w:rsidP="00390AC7">
            <w:pPr>
              <w:autoSpaceDE w:val="0"/>
              <w:autoSpaceDN w:val="0"/>
              <w:adjustRightInd w:val="0"/>
              <w:rPr>
                <w:sz w:val="20"/>
                <w:szCs w:val="20"/>
              </w:rPr>
            </w:pPr>
            <w:r w:rsidRPr="00BA4F48">
              <w:rPr>
                <w:sz w:val="20"/>
                <w:szCs w:val="20"/>
              </w:rPr>
              <w:t>Informed consent</w:t>
            </w:r>
          </w:p>
        </w:tc>
        <w:tc>
          <w:tcPr>
            <w:tcW w:w="1134" w:type="dxa"/>
            <w:shd w:val="clear" w:color="auto" w:fill="auto"/>
          </w:tcPr>
          <w:p w14:paraId="53A95439"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2210FDFA" w14:textId="77777777" w:rsidR="00213C56" w:rsidRPr="00BA4F48" w:rsidRDefault="00213C56" w:rsidP="00390AC7">
            <w:pPr>
              <w:autoSpaceDE w:val="0"/>
              <w:autoSpaceDN w:val="0"/>
              <w:adjustRightInd w:val="0"/>
              <w:rPr>
                <w:sz w:val="20"/>
                <w:szCs w:val="20"/>
              </w:rPr>
            </w:pPr>
          </w:p>
        </w:tc>
        <w:tc>
          <w:tcPr>
            <w:tcW w:w="1065" w:type="dxa"/>
          </w:tcPr>
          <w:p w14:paraId="00EC2F8C" w14:textId="77777777" w:rsidR="00213C56" w:rsidRPr="00BA4F48" w:rsidRDefault="00213C56" w:rsidP="00390AC7">
            <w:pPr>
              <w:autoSpaceDE w:val="0"/>
              <w:autoSpaceDN w:val="0"/>
              <w:adjustRightInd w:val="0"/>
              <w:rPr>
                <w:sz w:val="20"/>
                <w:szCs w:val="20"/>
              </w:rPr>
            </w:pPr>
          </w:p>
        </w:tc>
        <w:tc>
          <w:tcPr>
            <w:tcW w:w="1065" w:type="dxa"/>
            <w:shd w:val="clear" w:color="auto" w:fill="auto"/>
          </w:tcPr>
          <w:p w14:paraId="7FE8CB86" w14:textId="77777777" w:rsidR="00213C56" w:rsidRPr="00BA4F48" w:rsidRDefault="00213C56" w:rsidP="00390AC7">
            <w:pPr>
              <w:autoSpaceDE w:val="0"/>
              <w:autoSpaceDN w:val="0"/>
              <w:adjustRightInd w:val="0"/>
              <w:rPr>
                <w:sz w:val="20"/>
                <w:szCs w:val="20"/>
              </w:rPr>
            </w:pPr>
          </w:p>
        </w:tc>
        <w:tc>
          <w:tcPr>
            <w:tcW w:w="1064" w:type="dxa"/>
            <w:shd w:val="clear" w:color="auto" w:fill="auto"/>
          </w:tcPr>
          <w:p w14:paraId="20D4C054" w14:textId="77777777" w:rsidR="00213C56" w:rsidRPr="00BA4F48" w:rsidRDefault="00213C56" w:rsidP="00390AC7">
            <w:pPr>
              <w:autoSpaceDE w:val="0"/>
              <w:autoSpaceDN w:val="0"/>
              <w:adjustRightInd w:val="0"/>
              <w:rPr>
                <w:sz w:val="20"/>
                <w:szCs w:val="20"/>
              </w:rPr>
            </w:pPr>
          </w:p>
        </w:tc>
        <w:tc>
          <w:tcPr>
            <w:tcW w:w="1065" w:type="dxa"/>
            <w:shd w:val="clear" w:color="auto" w:fill="auto"/>
          </w:tcPr>
          <w:p w14:paraId="1CE32412" w14:textId="77777777" w:rsidR="00213C56" w:rsidRPr="00BA4F48" w:rsidRDefault="00213C56" w:rsidP="00390AC7">
            <w:pPr>
              <w:autoSpaceDE w:val="0"/>
              <w:autoSpaceDN w:val="0"/>
              <w:adjustRightInd w:val="0"/>
              <w:rPr>
                <w:sz w:val="20"/>
                <w:szCs w:val="20"/>
              </w:rPr>
            </w:pPr>
          </w:p>
        </w:tc>
        <w:tc>
          <w:tcPr>
            <w:tcW w:w="1287" w:type="dxa"/>
            <w:shd w:val="clear" w:color="auto" w:fill="auto"/>
          </w:tcPr>
          <w:p w14:paraId="50EB79F0" w14:textId="77777777" w:rsidR="00213C56" w:rsidRPr="00BA4F48" w:rsidRDefault="00213C56" w:rsidP="00390AC7">
            <w:pPr>
              <w:autoSpaceDE w:val="0"/>
              <w:autoSpaceDN w:val="0"/>
              <w:adjustRightInd w:val="0"/>
              <w:rPr>
                <w:sz w:val="20"/>
                <w:szCs w:val="20"/>
              </w:rPr>
            </w:pPr>
          </w:p>
        </w:tc>
      </w:tr>
      <w:tr w:rsidR="00213C56" w:rsidRPr="00BA4F48" w14:paraId="277D4A5E" w14:textId="77777777" w:rsidTr="00390AC7">
        <w:tc>
          <w:tcPr>
            <w:tcW w:w="1630" w:type="dxa"/>
            <w:shd w:val="clear" w:color="auto" w:fill="auto"/>
          </w:tcPr>
          <w:p w14:paraId="6681E41F" w14:textId="77777777" w:rsidR="00213C56" w:rsidRPr="00BA4F48" w:rsidRDefault="00213C56" w:rsidP="00390AC7">
            <w:pPr>
              <w:autoSpaceDE w:val="0"/>
              <w:autoSpaceDN w:val="0"/>
              <w:adjustRightInd w:val="0"/>
              <w:rPr>
                <w:sz w:val="20"/>
                <w:szCs w:val="20"/>
              </w:rPr>
            </w:pPr>
            <w:r w:rsidRPr="00BA4F48">
              <w:rPr>
                <w:sz w:val="20"/>
                <w:szCs w:val="20"/>
              </w:rPr>
              <w:t>Registration</w:t>
            </w:r>
          </w:p>
        </w:tc>
        <w:tc>
          <w:tcPr>
            <w:tcW w:w="1134" w:type="dxa"/>
            <w:shd w:val="clear" w:color="auto" w:fill="auto"/>
          </w:tcPr>
          <w:p w14:paraId="20196D7A" w14:textId="77777777" w:rsidR="00213C56" w:rsidRPr="00BA4F48" w:rsidRDefault="00213C56" w:rsidP="00390AC7">
            <w:pPr>
              <w:autoSpaceDE w:val="0"/>
              <w:autoSpaceDN w:val="0"/>
              <w:adjustRightInd w:val="0"/>
              <w:rPr>
                <w:sz w:val="20"/>
                <w:szCs w:val="20"/>
              </w:rPr>
            </w:pPr>
          </w:p>
        </w:tc>
        <w:tc>
          <w:tcPr>
            <w:tcW w:w="1064" w:type="dxa"/>
            <w:shd w:val="clear" w:color="auto" w:fill="auto"/>
          </w:tcPr>
          <w:p w14:paraId="0A89B099"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tcPr>
          <w:p w14:paraId="5F4897CD" w14:textId="77777777" w:rsidR="00213C56" w:rsidRPr="00BA4F48" w:rsidRDefault="00213C56" w:rsidP="00390AC7">
            <w:pPr>
              <w:autoSpaceDE w:val="0"/>
              <w:autoSpaceDN w:val="0"/>
              <w:adjustRightInd w:val="0"/>
              <w:rPr>
                <w:sz w:val="20"/>
                <w:szCs w:val="20"/>
              </w:rPr>
            </w:pPr>
          </w:p>
        </w:tc>
        <w:tc>
          <w:tcPr>
            <w:tcW w:w="1065" w:type="dxa"/>
            <w:shd w:val="clear" w:color="auto" w:fill="auto"/>
          </w:tcPr>
          <w:p w14:paraId="7EF4727A" w14:textId="77777777" w:rsidR="00213C56" w:rsidRPr="00BA4F48" w:rsidRDefault="00213C56" w:rsidP="00390AC7">
            <w:pPr>
              <w:autoSpaceDE w:val="0"/>
              <w:autoSpaceDN w:val="0"/>
              <w:adjustRightInd w:val="0"/>
              <w:rPr>
                <w:sz w:val="20"/>
                <w:szCs w:val="20"/>
              </w:rPr>
            </w:pPr>
          </w:p>
        </w:tc>
        <w:tc>
          <w:tcPr>
            <w:tcW w:w="1064" w:type="dxa"/>
            <w:shd w:val="clear" w:color="auto" w:fill="auto"/>
          </w:tcPr>
          <w:p w14:paraId="02D8BED1" w14:textId="77777777" w:rsidR="00213C56" w:rsidRPr="00BA4F48" w:rsidRDefault="00213C56" w:rsidP="00390AC7">
            <w:pPr>
              <w:autoSpaceDE w:val="0"/>
              <w:autoSpaceDN w:val="0"/>
              <w:adjustRightInd w:val="0"/>
              <w:rPr>
                <w:sz w:val="20"/>
                <w:szCs w:val="20"/>
              </w:rPr>
            </w:pPr>
          </w:p>
        </w:tc>
        <w:tc>
          <w:tcPr>
            <w:tcW w:w="1065" w:type="dxa"/>
            <w:shd w:val="clear" w:color="auto" w:fill="auto"/>
          </w:tcPr>
          <w:p w14:paraId="501CFB37" w14:textId="77777777" w:rsidR="00213C56" w:rsidRPr="00BA4F48" w:rsidRDefault="00213C56" w:rsidP="00390AC7">
            <w:pPr>
              <w:autoSpaceDE w:val="0"/>
              <w:autoSpaceDN w:val="0"/>
              <w:adjustRightInd w:val="0"/>
              <w:rPr>
                <w:sz w:val="20"/>
                <w:szCs w:val="20"/>
              </w:rPr>
            </w:pPr>
          </w:p>
        </w:tc>
        <w:tc>
          <w:tcPr>
            <w:tcW w:w="1287" w:type="dxa"/>
            <w:shd w:val="clear" w:color="auto" w:fill="auto"/>
          </w:tcPr>
          <w:p w14:paraId="02DE5C08" w14:textId="77777777" w:rsidR="00213C56" w:rsidRPr="00BA4F48" w:rsidRDefault="00213C56" w:rsidP="00390AC7">
            <w:pPr>
              <w:autoSpaceDE w:val="0"/>
              <w:autoSpaceDN w:val="0"/>
              <w:adjustRightInd w:val="0"/>
              <w:rPr>
                <w:sz w:val="20"/>
                <w:szCs w:val="20"/>
              </w:rPr>
            </w:pPr>
          </w:p>
        </w:tc>
      </w:tr>
      <w:tr w:rsidR="00213C56" w:rsidRPr="00BA4F48" w14:paraId="12764776" w14:textId="77777777" w:rsidTr="00390AC7">
        <w:tc>
          <w:tcPr>
            <w:tcW w:w="1630" w:type="dxa"/>
            <w:shd w:val="clear" w:color="auto" w:fill="auto"/>
          </w:tcPr>
          <w:p w14:paraId="0C9AB91E" w14:textId="77777777" w:rsidR="00213C56" w:rsidRPr="00BA4F48" w:rsidRDefault="00213C56" w:rsidP="00390AC7">
            <w:pPr>
              <w:autoSpaceDE w:val="0"/>
              <w:autoSpaceDN w:val="0"/>
              <w:adjustRightInd w:val="0"/>
              <w:rPr>
                <w:sz w:val="20"/>
                <w:szCs w:val="20"/>
              </w:rPr>
            </w:pPr>
            <w:r w:rsidRPr="00BA4F48">
              <w:rPr>
                <w:sz w:val="20"/>
                <w:szCs w:val="20"/>
              </w:rPr>
              <w:t>Tumor History</w:t>
            </w:r>
          </w:p>
        </w:tc>
        <w:tc>
          <w:tcPr>
            <w:tcW w:w="1134" w:type="dxa"/>
            <w:shd w:val="clear" w:color="auto" w:fill="auto"/>
          </w:tcPr>
          <w:p w14:paraId="26BC6A86"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254F5A1E" w14:textId="77777777" w:rsidR="00213C56" w:rsidRPr="00BA4F48" w:rsidRDefault="00213C56" w:rsidP="00390AC7">
            <w:pPr>
              <w:autoSpaceDE w:val="0"/>
              <w:autoSpaceDN w:val="0"/>
              <w:adjustRightInd w:val="0"/>
              <w:rPr>
                <w:sz w:val="20"/>
                <w:szCs w:val="20"/>
              </w:rPr>
            </w:pPr>
          </w:p>
        </w:tc>
        <w:tc>
          <w:tcPr>
            <w:tcW w:w="1065" w:type="dxa"/>
          </w:tcPr>
          <w:p w14:paraId="7040F6A7" w14:textId="77777777" w:rsidR="00213C56" w:rsidRPr="00BA4F48" w:rsidRDefault="00213C56" w:rsidP="00390AC7">
            <w:pPr>
              <w:autoSpaceDE w:val="0"/>
              <w:autoSpaceDN w:val="0"/>
              <w:adjustRightInd w:val="0"/>
              <w:rPr>
                <w:sz w:val="20"/>
                <w:szCs w:val="20"/>
              </w:rPr>
            </w:pPr>
          </w:p>
        </w:tc>
        <w:tc>
          <w:tcPr>
            <w:tcW w:w="1065" w:type="dxa"/>
            <w:shd w:val="clear" w:color="auto" w:fill="auto"/>
          </w:tcPr>
          <w:p w14:paraId="074368FF" w14:textId="77777777" w:rsidR="00213C56" w:rsidRPr="00BA4F48" w:rsidRDefault="00213C56" w:rsidP="00390AC7">
            <w:pPr>
              <w:autoSpaceDE w:val="0"/>
              <w:autoSpaceDN w:val="0"/>
              <w:adjustRightInd w:val="0"/>
              <w:rPr>
                <w:sz w:val="20"/>
                <w:szCs w:val="20"/>
              </w:rPr>
            </w:pPr>
          </w:p>
        </w:tc>
        <w:tc>
          <w:tcPr>
            <w:tcW w:w="1064" w:type="dxa"/>
            <w:shd w:val="clear" w:color="auto" w:fill="auto"/>
          </w:tcPr>
          <w:p w14:paraId="401FA9B9" w14:textId="77777777" w:rsidR="00213C56" w:rsidRPr="00BA4F48" w:rsidRDefault="00213C56" w:rsidP="00390AC7">
            <w:pPr>
              <w:autoSpaceDE w:val="0"/>
              <w:autoSpaceDN w:val="0"/>
              <w:adjustRightInd w:val="0"/>
              <w:rPr>
                <w:sz w:val="20"/>
                <w:szCs w:val="20"/>
              </w:rPr>
            </w:pPr>
          </w:p>
        </w:tc>
        <w:tc>
          <w:tcPr>
            <w:tcW w:w="1065" w:type="dxa"/>
            <w:shd w:val="clear" w:color="auto" w:fill="auto"/>
          </w:tcPr>
          <w:p w14:paraId="19BEE2B2" w14:textId="77777777" w:rsidR="00213C56" w:rsidRPr="00BA4F48" w:rsidRDefault="00213C56" w:rsidP="00390AC7">
            <w:pPr>
              <w:autoSpaceDE w:val="0"/>
              <w:autoSpaceDN w:val="0"/>
              <w:adjustRightInd w:val="0"/>
              <w:rPr>
                <w:sz w:val="20"/>
                <w:szCs w:val="20"/>
              </w:rPr>
            </w:pPr>
          </w:p>
        </w:tc>
        <w:tc>
          <w:tcPr>
            <w:tcW w:w="1287" w:type="dxa"/>
            <w:shd w:val="clear" w:color="auto" w:fill="auto"/>
          </w:tcPr>
          <w:p w14:paraId="4B0B7AE4" w14:textId="77777777" w:rsidR="00213C56" w:rsidRPr="00BA4F48" w:rsidRDefault="00213C56" w:rsidP="00390AC7">
            <w:pPr>
              <w:autoSpaceDE w:val="0"/>
              <w:autoSpaceDN w:val="0"/>
              <w:adjustRightInd w:val="0"/>
              <w:rPr>
                <w:sz w:val="20"/>
                <w:szCs w:val="20"/>
              </w:rPr>
            </w:pPr>
          </w:p>
        </w:tc>
      </w:tr>
      <w:tr w:rsidR="00213C56" w:rsidRPr="00BA4F48" w14:paraId="52AA09AA" w14:textId="77777777" w:rsidTr="00390AC7">
        <w:tc>
          <w:tcPr>
            <w:tcW w:w="1630" w:type="dxa"/>
            <w:shd w:val="clear" w:color="auto" w:fill="auto"/>
          </w:tcPr>
          <w:p w14:paraId="5EA02A0B" w14:textId="77777777" w:rsidR="00213C56" w:rsidRPr="00BA4F48" w:rsidRDefault="00213C56" w:rsidP="00390AC7">
            <w:pPr>
              <w:autoSpaceDE w:val="0"/>
              <w:autoSpaceDN w:val="0"/>
              <w:adjustRightInd w:val="0"/>
              <w:rPr>
                <w:sz w:val="20"/>
                <w:szCs w:val="20"/>
              </w:rPr>
            </w:pPr>
            <w:r w:rsidRPr="00BA4F48">
              <w:rPr>
                <w:sz w:val="20"/>
                <w:szCs w:val="20"/>
              </w:rPr>
              <w:t>Medical History</w:t>
            </w:r>
          </w:p>
        </w:tc>
        <w:tc>
          <w:tcPr>
            <w:tcW w:w="1134" w:type="dxa"/>
            <w:shd w:val="clear" w:color="auto" w:fill="auto"/>
          </w:tcPr>
          <w:p w14:paraId="4179E055"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7B9FEBC6" w14:textId="77777777" w:rsidR="00213C56" w:rsidRPr="00BA4F48" w:rsidRDefault="00213C56" w:rsidP="00390AC7">
            <w:pPr>
              <w:autoSpaceDE w:val="0"/>
              <w:autoSpaceDN w:val="0"/>
              <w:adjustRightInd w:val="0"/>
              <w:rPr>
                <w:sz w:val="20"/>
                <w:szCs w:val="20"/>
              </w:rPr>
            </w:pPr>
          </w:p>
        </w:tc>
        <w:tc>
          <w:tcPr>
            <w:tcW w:w="1065" w:type="dxa"/>
          </w:tcPr>
          <w:p w14:paraId="41251566" w14:textId="77777777" w:rsidR="00213C56" w:rsidRPr="00BA4F48" w:rsidRDefault="00213C56" w:rsidP="00390AC7">
            <w:pPr>
              <w:autoSpaceDE w:val="0"/>
              <w:autoSpaceDN w:val="0"/>
              <w:adjustRightInd w:val="0"/>
              <w:rPr>
                <w:sz w:val="20"/>
                <w:szCs w:val="20"/>
              </w:rPr>
            </w:pPr>
          </w:p>
        </w:tc>
        <w:tc>
          <w:tcPr>
            <w:tcW w:w="1065" w:type="dxa"/>
            <w:shd w:val="clear" w:color="auto" w:fill="auto"/>
          </w:tcPr>
          <w:p w14:paraId="46B2B74E" w14:textId="77777777" w:rsidR="00213C56" w:rsidRPr="00BA4F48" w:rsidRDefault="00213C56" w:rsidP="00390AC7">
            <w:pPr>
              <w:autoSpaceDE w:val="0"/>
              <w:autoSpaceDN w:val="0"/>
              <w:adjustRightInd w:val="0"/>
              <w:rPr>
                <w:sz w:val="20"/>
                <w:szCs w:val="20"/>
              </w:rPr>
            </w:pPr>
          </w:p>
        </w:tc>
        <w:tc>
          <w:tcPr>
            <w:tcW w:w="1064" w:type="dxa"/>
            <w:shd w:val="clear" w:color="auto" w:fill="auto"/>
          </w:tcPr>
          <w:p w14:paraId="512F0F97" w14:textId="77777777" w:rsidR="00213C56" w:rsidRPr="00BA4F48" w:rsidRDefault="00213C56" w:rsidP="00390AC7">
            <w:pPr>
              <w:autoSpaceDE w:val="0"/>
              <w:autoSpaceDN w:val="0"/>
              <w:adjustRightInd w:val="0"/>
              <w:rPr>
                <w:sz w:val="20"/>
                <w:szCs w:val="20"/>
              </w:rPr>
            </w:pPr>
          </w:p>
        </w:tc>
        <w:tc>
          <w:tcPr>
            <w:tcW w:w="1065" w:type="dxa"/>
            <w:shd w:val="clear" w:color="auto" w:fill="auto"/>
          </w:tcPr>
          <w:p w14:paraId="1575EF0C" w14:textId="77777777" w:rsidR="00213C56" w:rsidRPr="00BA4F48" w:rsidRDefault="00213C56" w:rsidP="00390AC7">
            <w:pPr>
              <w:autoSpaceDE w:val="0"/>
              <w:autoSpaceDN w:val="0"/>
              <w:adjustRightInd w:val="0"/>
              <w:rPr>
                <w:sz w:val="20"/>
                <w:szCs w:val="20"/>
              </w:rPr>
            </w:pPr>
          </w:p>
        </w:tc>
        <w:tc>
          <w:tcPr>
            <w:tcW w:w="1287" w:type="dxa"/>
            <w:shd w:val="clear" w:color="auto" w:fill="auto"/>
          </w:tcPr>
          <w:p w14:paraId="68605502" w14:textId="77777777" w:rsidR="00213C56" w:rsidRPr="00BA4F48" w:rsidRDefault="00213C56" w:rsidP="00390AC7">
            <w:pPr>
              <w:autoSpaceDE w:val="0"/>
              <w:autoSpaceDN w:val="0"/>
              <w:adjustRightInd w:val="0"/>
              <w:rPr>
                <w:sz w:val="20"/>
                <w:szCs w:val="20"/>
              </w:rPr>
            </w:pPr>
          </w:p>
        </w:tc>
      </w:tr>
      <w:tr w:rsidR="00213C56" w:rsidRPr="00BA4F48" w14:paraId="34A77BCA" w14:textId="77777777" w:rsidTr="00390AC7">
        <w:tc>
          <w:tcPr>
            <w:tcW w:w="1630" w:type="dxa"/>
            <w:shd w:val="clear" w:color="auto" w:fill="auto"/>
          </w:tcPr>
          <w:p w14:paraId="604193BA" w14:textId="77777777" w:rsidR="00213C56" w:rsidRPr="00BA4F48" w:rsidRDefault="00213C56" w:rsidP="00390AC7">
            <w:pPr>
              <w:autoSpaceDE w:val="0"/>
              <w:autoSpaceDN w:val="0"/>
              <w:adjustRightInd w:val="0"/>
              <w:rPr>
                <w:sz w:val="20"/>
                <w:szCs w:val="20"/>
              </w:rPr>
            </w:pPr>
            <w:r w:rsidRPr="00BA4F48">
              <w:rPr>
                <w:sz w:val="20"/>
                <w:szCs w:val="20"/>
              </w:rPr>
              <w:t>Signs &amp; Symptoms</w:t>
            </w:r>
          </w:p>
        </w:tc>
        <w:tc>
          <w:tcPr>
            <w:tcW w:w="1134" w:type="dxa"/>
            <w:shd w:val="clear" w:color="auto" w:fill="auto"/>
          </w:tcPr>
          <w:p w14:paraId="4ECD1FA9"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2E446F1C"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tcPr>
          <w:p w14:paraId="12676169" w14:textId="77777777" w:rsidR="00213C56" w:rsidRPr="00BA4F48" w:rsidRDefault="00213C56" w:rsidP="00390AC7">
            <w:pPr>
              <w:autoSpaceDE w:val="0"/>
              <w:autoSpaceDN w:val="0"/>
              <w:adjustRightInd w:val="0"/>
              <w:rPr>
                <w:sz w:val="20"/>
                <w:szCs w:val="20"/>
              </w:rPr>
            </w:pPr>
            <w:r>
              <w:rPr>
                <w:sz w:val="20"/>
                <w:szCs w:val="20"/>
              </w:rPr>
              <w:t>X</w:t>
            </w:r>
          </w:p>
        </w:tc>
        <w:tc>
          <w:tcPr>
            <w:tcW w:w="1065" w:type="dxa"/>
            <w:shd w:val="clear" w:color="auto" w:fill="auto"/>
          </w:tcPr>
          <w:p w14:paraId="2310C3A0" w14:textId="77777777" w:rsidR="00213C56" w:rsidRPr="00BA4F48" w:rsidRDefault="00213C56" w:rsidP="00390AC7">
            <w:pPr>
              <w:autoSpaceDE w:val="0"/>
              <w:autoSpaceDN w:val="0"/>
              <w:adjustRightInd w:val="0"/>
              <w:rPr>
                <w:sz w:val="20"/>
                <w:szCs w:val="20"/>
              </w:rPr>
            </w:pPr>
            <w:r>
              <w:rPr>
                <w:sz w:val="20"/>
                <w:szCs w:val="20"/>
              </w:rPr>
              <w:t>X</w:t>
            </w:r>
          </w:p>
        </w:tc>
        <w:tc>
          <w:tcPr>
            <w:tcW w:w="1064" w:type="dxa"/>
            <w:shd w:val="clear" w:color="auto" w:fill="auto"/>
          </w:tcPr>
          <w:p w14:paraId="552D99BB" w14:textId="77777777" w:rsidR="00213C56" w:rsidRPr="00BA4F48" w:rsidRDefault="00213C56" w:rsidP="00390AC7">
            <w:pPr>
              <w:autoSpaceDE w:val="0"/>
              <w:autoSpaceDN w:val="0"/>
              <w:adjustRightInd w:val="0"/>
              <w:rPr>
                <w:sz w:val="20"/>
                <w:szCs w:val="20"/>
              </w:rPr>
            </w:pPr>
            <w:r>
              <w:rPr>
                <w:sz w:val="20"/>
                <w:szCs w:val="20"/>
              </w:rPr>
              <w:t>X</w:t>
            </w:r>
          </w:p>
        </w:tc>
        <w:tc>
          <w:tcPr>
            <w:tcW w:w="1065" w:type="dxa"/>
            <w:shd w:val="clear" w:color="auto" w:fill="auto"/>
          </w:tcPr>
          <w:p w14:paraId="516F7526" w14:textId="77777777" w:rsidR="00213C56" w:rsidRPr="00BA4F48" w:rsidRDefault="00213C56" w:rsidP="00390AC7">
            <w:pPr>
              <w:autoSpaceDE w:val="0"/>
              <w:autoSpaceDN w:val="0"/>
              <w:adjustRightInd w:val="0"/>
              <w:rPr>
                <w:sz w:val="20"/>
                <w:szCs w:val="20"/>
              </w:rPr>
            </w:pPr>
            <w:r>
              <w:rPr>
                <w:sz w:val="20"/>
                <w:szCs w:val="20"/>
              </w:rPr>
              <w:t>X</w:t>
            </w:r>
          </w:p>
        </w:tc>
        <w:tc>
          <w:tcPr>
            <w:tcW w:w="1287" w:type="dxa"/>
            <w:shd w:val="clear" w:color="auto" w:fill="auto"/>
          </w:tcPr>
          <w:p w14:paraId="3BEE00F5" w14:textId="77777777" w:rsidR="00213C56" w:rsidRPr="00BA4F48" w:rsidRDefault="00213C56" w:rsidP="00390AC7">
            <w:pPr>
              <w:autoSpaceDE w:val="0"/>
              <w:autoSpaceDN w:val="0"/>
              <w:adjustRightInd w:val="0"/>
              <w:rPr>
                <w:sz w:val="20"/>
                <w:szCs w:val="20"/>
              </w:rPr>
            </w:pPr>
            <w:r>
              <w:rPr>
                <w:sz w:val="20"/>
                <w:szCs w:val="20"/>
              </w:rPr>
              <w:t>X</w:t>
            </w:r>
          </w:p>
        </w:tc>
      </w:tr>
      <w:tr w:rsidR="00213C56" w:rsidRPr="00BA4F48" w14:paraId="78F4DC8D" w14:textId="77777777" w:rsidTr="00390AC7">
        <w:tc>
          <w:tcPr>
            <w:tcW w:w="1630" w:type="dxa"/>
            <w:shd w:val="clear" w:color="auto" w:fill="auto"/>
          </w:tcPr>
          <w:p w14:paraId="1844C47C" w14:textId="77777777" w:rsidR="00213C56" w:rsidRPr="00BA4F48" w:rsidRDefault="00213C56" w:rsidP="00390AC7">
            <w:pPr>
              <w:autoSpaceDE w:val="0"/>
              <w:autoSpaceDN w:val="0"/>
              <w:adjustRightInd w:val="0"/>
              <w:rPr>
                <w:sz w:val="20"/>
                <w:szCs w:val="20"/>
              </w:rPr>
            </w:pPr>
            <w:r w:rsidRPr="00BA4F48">
              <w:rPr>
                <w:sz w:val="20"/>
                <w:szCs w:val="20"/>
              </w:rPr>
              <w:t>Vitals, ECOG status</w:t>
            </w:r>
          </w:p>
        </w:tc>
        <w:tc>
          <w:tcPr>
            <w:tcW w:w="1134" w:type="dxa"/>
            <w:shd w:val="clear" w:color="auto" w:fill="auto"/>
          </w:tcPr>
          <w:p w14:paraId="21328332"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29DFC6D8"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tcPr>
          <w:p w14:paraId="08DC105C" w14:textId="77777777" w:rsidR="00213C56" w:rsidRPr="00BA4F48" w:rsidRDefault="00213C56" w:rsidP="00390AC7">
            <w:pPr>
              <w:autoSpaceDE w:val="0"/>
              <w:autoSpaceDN w:val="0"/>
              <w:adjustRightInd w:val="0"/>
              <w:rPr>
                <w:sz w:val="20"/>
                <w:szCs w:val="20"/>
              </w:rPr>
            </w:pPr>
            <w:r>
              <w:rPr>
                <w:sz w:val="20"/>
                <w:szCs w:val="20"/>
              </w:rPr>
              <w:t>X</w:t>
            </w:r>
          </w:p>
        </w:tc>
        <w:tc>
          <w:tcPr>
            <w:tcW w:w="1065" w:type="dxa"/>
            <w:shd w:val="clear" w:color="auto" w:fill="auto"/>
          </w:tcPr>
          <w:p w14:paraId="7D6C3C43" w14:textId="77777777" w:rsidR="00213C56" w:rsidRPr="00BA4F48" w:rsidRDefault="00213C56" w:rsidP="00390AC7">
            <w:pPr>
              <w:autoSpaceDE w:val="0"/>
              <w:autoSpaceDN w:val="0"/>
              <w:adjustRightInd w:val="0"/>
              <w:rPr>
                <w:sz w:val="20"/>
                <w:szCs w:val="20"/>
              </w:rPr>
            </w:pPr>
            <w:r>
              <w:rPr>
                <w:sz w:val="20"/>
                <w:szCs w:val="20"/>
              </w:rPr>
              <w:t>X</w:t>
            </w:r>
          </w:p>
        </w:tc>
        <w:tc>
          <w:tcPr>
            <w:tcW w:w="1064" w:type="dxa"/>
            <w:shd w:val="clear" w:color="auto" w:fill="auto"/>
          </w:tcPr>
          <w:p w14:paraId="3C50C1F0"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shd w:val="clear" w:color="auto" w:fill="auto"/>
          </w:tcPr>
          <w:p w14:paraId="012CE7BD"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287" w:type="dxa"/>
            <w:shd w:val="clear" w:color="auto" w:fill="auto"/>
          </w:tcPr>
          <w:p w14:paraId="32C2DF14" w14:textId="77777777" w:rsidR="00213C56" w:rsidRPr="00BA4F48" w:rsidRDefault="00213C56" w:rsidP="00390AC7">
            <w:pPr>
              <w:autoSpaceDE w:val="0"/>
              <w:autoSpaceDN w:val="0"/>
              <w:adjustRightInd w:val="0"/>
              <w:rPr>
                <w:sz w:val="20"/>
                <w:szCs w:val="20"/>
              </w:rPr>
            </w:pPr>
            <w:r w:rsidRPr="00BA4F48">
              <w:rPr>
                <w:sz w:val="20"/>
                <w:szCs w:val="20"/>
              </w:rPr>
              <w:t>X</w:t>
            </w:r>
          </w:p>
        </w:tc>
      </w:tr>
      <w:tr w:rsidR="00213C56" w:rsidRPr="00BA4F48" w14:paraId="15F5C708" w14:textId="77777777" w:rsidTr="00390AC7">
        <w:tc>
          <w:tcPr>
            <w:tcW w:w="1630" w:type="dxa"/>
            <w:shd w:val="clear" w:color="auto" w:fill="auto"/>
          </w:tcPr>
          <w:p w14:paraId="64BE1434" w14:textId="77777777" w:rsidR="00213C56" w:rsidRPr="00BA4F48" w:rsidRDefault="00213C56" w:rsidP="00390AC7">
            <w:pPr>
              <w:autoSpaceDE w:val="0"/>
              <w:autoSpaceDN w:val="0"/>
              <w:adjustRightInd w:val="0"/>
              <w:rPr>
                <w:sz w:val="20"/>
                <w:szCs w:val="20"/>
              </w:rPr>
            </w:pPr>
            <w:r w:rsidRPr="00BA4F48">
              <w:rPr>
                <w:sz w:val="20"/>
                <w:szCs w:val="20"/>
              </w:rPr>
              <w:t>Physical Exam</w:t>
            </w:r>
          </w:p>
        </w:tc>
        <w:tc>
          <w:tcPr>
            <w:tcW w:w="1134" w:type="dxa"/>
            <w:shd w:val="clear" w:color="auto" w:fill="auto"/>
          </w:tcPr>
          <w:p w14:paraId="6B1A049A"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602F6F7F"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tcPr>
          <w:p w14:paraId="16D5362D" w14:textId="77777777" w:rsidR="00213C56" w:rsidRPr="00BA4F48" w:rsidRDefault="00213C56" w:rsidP="00390AC7">
            <w:pPr>
              <w:autoSpaceDE w:val="0"/>
              <w:autoSpaceDN w:val="0"/>
              <w:adjustRightInd w:val="0"/>
              <w:rPr>
                <w:sz w:val="20"/>
                <w:szCs w:val="20"/>
              </w:rPr>
            </w:pPr>
            <w:r>
              <w:rPr>
                <w:sz w:val="20"/>
                <w:szCs w:val="20"/>
              </w:rPr>
              <w:t>X</w:t>
            </w:r>
          </w:p>
        </w:tc>
        <w:tc>
          <w:tcPr>
            <w:tcW w:w="1065" w:type="dxa"/>
            <w:shd w:val="clear" w:color="auto" w:fill="auto"/>
          </w:tcPr>
          <w:p w14:paraId="0C8C2A6D"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78445569"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shd w:val="clear" w:color="auto" w:fill="auto"/>
          </w:tcPr>
          <w:p w14:paraId="708D97B9"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287" w:type="dxa"/>
            <w:shd w:val="clear" w:color="auto" w:fill="auto"/>
          </w:tcPr>
          <w:p w14:paraId="03029AB5" w14:textId="77777777" w:rsidR="00213C56" w:rsidRPr="00BA4F48" w:rsidRDefault="00213C56" w:rsidP="00390AC7">
            <w:pPr>
              <w:autoSpaceDE w:val="0"/>
              <w:autoSpaceDN w:val="0"/>
              <w:adjustRightInd w:val="0"/>
              <w:rPr>
                <w:sz w:val="20"/>
                <w:szCs w:val="20"/>
              </w:rPr>
            </w:pPr>
            <w:r w:rsidRPr="00BA4F48">
              <w:rPr>
                <w:sz w:val="20"/>
                <w:szCs w:val="20"/>
              </w:rPr>
              <w:t>X</w:t>
            </w:r>
          </w:p>
        </w:tc>
      </w:tr>
      <w:tr w:rsidR="00213C56" w:rsidRPr="00BA4F48" w14:paraId="273C97AE" w14:textId="77777777" w:rsidTr="00390AC7">
        <w:tc>
          <w:tcPr>
            <w:tcW w:w="1630" w:type="dxa"/>
            <w:shd w:val="clear" w:color="auto" w:fill="auto"/>
          </w:tcPr>
          <w:p w14:paraId="10E13702" w14:textId="77777777" w:rsidR="00213C56" w:rsidRPr="00BA4F48" w:rsidRDefault="00213C56" w:rsidP="00390AC7">
            <w:pPr>
              <w:autoSpaceDE w:val="0"/>
              <w:autoSpaceDN w:val="0"/>
              <w:adjustRightInd w:val="0"/>
              <w:rPr>
                <w:sz w:val="20"/>
                <w:szCs w:val="20"/>
              </w:rPr>
            </w:pPr>
            <w:r w:rsidRPr="00BA4F48">
              <w:rPr>
                <w:sz w:val="20"/>
                <w:szCs w:val="20"/>
              </w:rPr>
              <w:t>Laboratory Studies</w:t>
            </w:r>
          </w:p>
        </w:tc>
        <w:tc>
          <w:tcPr>
            <w:tcW w:w="1134" w:type="dxa"/>
            <w:shd w:val="clear" w:color="auto" w:fill="auto"/>
          </w:tcPr>
          <w:p w14:paraId="2B07FB94"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6C4B2AEA"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tcPr>
          <w:p w14:paraId="1ABA3E28" w14:textId="77777777" w:rsidR="00213C56" w:rsidRPr="00BA4F48" w:rsidRDefault="00213C56" w:rsidP="00390AC7">
            <w:pPr>
              <w:autoSpaceDE w:val="0"/>
              <w:autoSpaceDN w:val="0"/>
              <w:adjustRightInd w:val="0"/>
              <w:rPr>
                <w:sz w:val="20"/>
                <w:szCs w:val="20"/>
              </w:rPr>
            </w:pPr>
            <w:r>
              <w:rPr>
                <w:sz w:val="20"/>
                <w:szCs w:val="20"/>
              </w:rPr>
              <w:t>X</w:t>
            </w:r>
          </w:p>
        </w:tc>
        <w:tc>
          <w:tcPr>
            <w:tcW w:w="1065" w:type="dxa"/>
            <w:shd w:val="clear" w:color="auto" w:fill="auto"/>
          </w:tcPr>
          <w:p w14:paraId="75EF54C7" w14:textId="77777777" w:rsidR="00213C56" w:rsidRPr="00BA4F48" w:rsidRDefault="00213C56" w:rsidP="00390AC7">
            <w:pPr>
              <w:autoSpaceDE w:val="0"/>
              <w:autoSpaceDN w:val="0"/>
              <w:adjustRightInd w:val="0"/>
              <w:rPr>
                <w:sz w:val="20"/>
                <w:szCs w:val="20"/>
              </w:rPr>
            </w:pPr>
            <w:r>
              <w:rPr>
                <w:sz w:val="20"/>
                <w:szCs w:val="20"/>
              </w:rPr>
              <w:t>X</w:t>
            </w:r>
          </w:p>
        </w:tc>
        <w:tc>
          <w:tcPr>
            <w:tcW w:w="1064" w:type="dxa"/>
            <w:shd w:val="clear" w:color="auto" w:fill="auto"/>
          </w:tcPr>
          <w:p w14:paraId="799444BC"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shd w:val="clear" w:color="auto" w:fill="auto"/>
          </w:tcPr>
          <w:p w14:paraId="481DD69C"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287" w:type="dxa"/>
            <w:shd w:val="clear" w:color="auto" w:fill="auto"/>
          </w:tcPr>
          <w:p w14:paraId="3BBEF152" w14:textId="77777777" w:rsidR="00213C56" w:rsidRPr="00BA4F48" w:rsidRDefault="00213C56" w:rsidP="00390AC7">
            <w:pPr>
              <w:autoSpaceDE w:val="0"/>
              <w:autoSpaceDN w:val="0"/>
              <w:adjustRightInd w:val="0"/>
              <w:rPr>
                <w:sz w:val="20"/>
                <w:szCs w:val="20"/>
              </w:rPr>
            </w:pPr>
            <w:r w:rsidRPr="00BA4F48">
              <w:rPr>
                <w:sz w:val="20"/>
                <w:szCs w:val="20"/>
              </w:rPr>
              <w:t>X</w:t>
            </w:r>
          </w:p>
        </w:tc>
      </w:tr>
      <w:tr w:rsidR="00213C56" w:rsidRPr="00BA4F48" w14:paraId="72611449" w14:textId="77777777" w:rsidTr="00390AC7">
        <w:tc>
          <w:tcPr>
            <w:tcW w:w="1630" w:type="dxa"/>
            <w:shd w:val="clear" w:color="auto" w:fill="auto"/>
          </w:tcPr>
          <w:p w14:paraId="5A93AD39" w14:textId="77777777" w:rsidR="00213C56" w:rsidRPr="00BA4F48" w:rsidRDefault="00213C56" w:rsidP="00390AC7">
            <w:pPr>
              <w:autoSpaceDE w:val="0"/>
              <w:autoSpaceDN w:val="0"/>
              <w:adjustRightInd w:val="0"/>
              <w:rPr>
                <w:sz w:val="20"/>
                <w:szCs w:val="20"/>
              </w:rPr>
            </w:pPr>
            <w:r w:rsidRPr="00BA4F48">
              <w:rPr>
                <w:sz w:val="20"/>
                <w:szCs w:val="20"/>
              </w:rPr>
              <w:t>Adverse Events</w:t>
            </w:r>
          </w:p>
        </w:tc>
        <w:tc>
          <w:tcPr>
            <w:tcW w:w="1134" w:type="dxa"/>
            <w:shd w:val="clear" w:color="auto" w:fill="auto"/>
          </w:tcPr>
          <w:p w14:paraId="6E695AB1"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5AC92339"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tcPr>
          <w:p w14:paraId="71592356" w14:textId="77777777" w:rsidR="00213C56" w:rsidRPr="00BA4F48" w:rsidRDefault="00213C56" w:rsidP="00390AC7">
            <w:pPr>
              <w:autoSpaceDE w:val="0"/>
              <w:autoSpaceDN w:val="0"/>
              <w:adjustRightInd w:val="0"/>
              <w:rPr>
                <w:sz w:val="20"/>
                <w:szCs w:val="20"/>
              </w:rPr>
            </w:pPr>
            <w:r>
              <w:rPr>
                <w:sz w:val="20"/>
                <w:szCs w:val="20"/>
              </w:rPr>
              <w:t>X</w:t>
            </w:r>
          </w:p>
        </w:tc>
        <w:tc>
          <w:tcPr>
            <w:tcW w:w="1065" w:type="dxa"/>
            <w:shd w:val="clear" w:color="auto" w:fill="auto"/>
          </w:tcPr>
          <w:p w14:paraId="03AD8E16"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34308E93"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shd w:val="clear" w:color="auto" w:fill="auto"/>
          </w:tcPr>
          <w:p w14:paraId="45DA7A2A"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287" w:type="dxa"/>
            <w:shd w:val="clear" w:color="auto" w:fill="auto"/>
          </w:tcPr>
          <w:p w14:paraId="698D7226" w14:textId="77777777" w:rsidR="00213C56" w:rsidRPr="00BA4F48" w:rsidRDefault="00213C56" w:rsidP="00390AC7">
            <w:pPr>
              <w:autoSpaceDE w:val="0"/>
              <w:autoSpaceDN w:val="0"/>
              <w:adjustRightInd w:val="0"/>
              <w:rPr>
                <w:sz w:val="20"/>
                <w:szCs w:val="20"/>
              </w:rPr>
            </w:pPr>
            <w:r w:rsidRPr="00BA4F48">
              <w:rPr>
                <w:sz w:val="20"/>
                <w:szCs w:val="20"/>
              </w:rPr>
              <w:t>X</w:t>
            </w:r>
          </w:p>
        </w:tc>
      </w:tr>
      <w:tr w:rsidR="00213C56" w:rsidRPr="00BA4F48" w14:paraId="23A70380" w14:textId="77777777" w:rsidTr="00390AC7">
        <w:tc>
          <w:tcPr>
            <w:tcW w:w="1630" w:type="dxa"/>
            <w:shd w:val="clear" w:color="auto" w:fill="auto"/>
          </w:tcPr>
          <w:p w14:paraId="115437B9" w14:textId="77777777" w:rsidR="00213C56" w:rsidRPr="00BA4F48" w:rsidRDefault="00213C56" w:rsidP="00390AC7">
            <w:pPr>
              <w:autoSpaceDE w:val="0"/>
              <w:autoSpaceDN w:val="0"/>
              <w:adjustRightInd w:val="0"/>
              <w:rPr>
                <w:sz w:val="20"/>
                <w:szCs w:val="20"/>
              </w:rPr>
            </w:pPr>
            <w:r w:rsidRPr="00BA4F48">
              <w:rPr>
                <w:sz w:val="20"/>
                <w:szCs w:val="20"/>
              </w:rPr>
              <w:t>Concomitant Medications</w:t>
            </w:r>
          </w:p>
        </w:tc>
        <w:tc>
          <w:tcPr>
            <w:tcW w:w="1134" w:type="dxa"/>
            <w:shd w:val="clear" w:color="auto" w:fill="auto"/>
          </w:tcPr>
          <w:p w14:paraId="66EA69C7"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49E8F2A0"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tcPr>
          <w:p w14:paraId="08B0BD38" w14:textId="77777777" w:rsidR="00213C56" w:rsidRPr="00BA4F48" w:rsidRDefault="00213C56" w:rsidP="00390AC7">
            <w:pPr>
              <w:autoSpaceDE w:val="0"/>
              <w:autoSpaceDN w:val="0"/>
              <w:adjustRightInd w:val="0"/>
              <w:rPr>
                <w:sz w:val="20"/>
                <w:szCs w:val="20"/>
              </w:rPr>
            </w:pPr>
            <w:r>
              <w:rPr>
                <w:sz w:val="20"/>
                <w:szCs w:val="20"/>
              </w:rPr>
              <w:t>X</w:t>
            </w:r>
          </w:p>
        </w:tc>
        <w:tc>
          <w:tcPr>
            <w:tcW w:w="1065" w:type="dxa"/>
            <w:shd w:val="clear" w:color="auto" w:fill="auto"/>
          </w:tcPr>
          <w:p w14:paraId="7F57BFB1"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4" w:type="dxa"/>
            <w:shd w:val="clear" w:color="auto" w:fill="auto"/>
          </w:tcPr>
          <w:p w14:paraId="6461EBE6"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065" w:type="dxa"/>
            <w:shd w:val="clear" w:color="auto" w:fill="auto"/>
          </w:tcPr>
          <w:p w14:paraId="1BA3C779" w14:textId="77777777" w:rsidR="00213C56" w:rsidRPr="00BA4F48" w:rsidRDefault="00213C56" w:rsidP="00390AC7">
            <w:pPr>
              <w:autoSpaceDE w:val="0"/>
              <w:autoSpaceDN w:val="0"/>
              <w:adjustRightInd w:val="0"/>
              <w:rPr>
                <w:sz w:val="20"/>
                <w:szCs w:val="20"/>
              </w:rPr>
            </w:pPr>
            <w:r w:rsidRPr="00BA4F48">
              <w:rPr>
                <w:sz w:val="20"/>
                <w:szCs w:val="20"/>
              </w:rPr>
              <w:t>X</w:t>
            </w:r>
          </w:p>
        </w:tc>
        <w:tc>
          <w:tcPr>
            <w:tcW w:w="1287" w:type="dxa"/>
            <w:shd w:val="clear" w:color="auto" w:fill="auto"/>
          </w:tcPr>
          <w:p w14:paraId="75283C87" w14:textId="77777777" w:rsidR="00213C56" w:rsidRPr="00BA4F48" w:rsidRDefault="00213C56" w:rsidP="00390AC7">
            <w:pPr>
              <w:autoSpaceDE w:val="0"/>
              <w:autoSpaceDN w:val="0"/>
              <w:adjustRightInd w:val="0"/>
              <w:rPr>
                <w:sz w:val="20"/>
                <w:szCs w:val="20"/>
              </w:rPr>
            </w:pPr>
            <w:r w:rsidRPr="00BA4F48">
              <w:rPr>
                <w:sz w:val="20"/>
                <w:szCs w:val="20"/>
              </w:rPr>
              <w:t>X</w:t>
            </w:r>
          </w:p>
        </w:tc>
      </w:tr>
      <w:tr w:rsidR="00213C56" w:rsidRPr="00BA4F48" w14:paraId="205E3C78" w14:textId="77777777" w:rsidTr="00390AC7">
        <w:tc>
          <w:tcPr>
            <w:tcW w:w="1630" w:type="dxa"/>
            <w:shd w:val="clear" w:color="auto" w:fill="auto"/>
          </w:tcPr>
          <w:p w14:paraId="593E1419" w14:textId="77777777" w:rsidR="00213C56" w:rsidRPr="00BA4F48" w:rsidRDefault="00213C56" w:rsidP="00390AC7">
            <w:pPr>
              <w:autoSpaceDE w:val="0"/>
              <w:autoSpaceDN w:val="0"/>
              <w:adjustRightInd w:val="0"/>
              <w:rPr>
                <w:sz w:val="20"/>
                <w:szCs w:val="20"/>
              </w:rPr>
            </w:pPr>
            <w:r w:rsidRPr="00BA4F48">
              <w:rPr>
                <w:sz w:val="20"/>
                <w:szCs w:val="20"/>
              </w:rPr>
              <w:t>Tumor Assessment</w:t>
            </w:r>
          </w:p>
        </w:tc>
        <w:tc>
          <w:tcPr>
            <w:tcW w:w="1134" w:type="dxa"/>
            <w:shd w:val="clear" w:color="auto" w:fill="auto"/>
          </w:tcPr>
          <w:p w14:paraId="3D95F1AD" w14:textId="77777777" w:rsidR="00213C56" w:rsidRPr="00BA4F48" w:rsidRDefault="00213C56" w:rsidP="00390AC7">
            <w:pPr>
              <w:autoSpaceDE w:val="0"/>
              <w:autoSpaceDN w:val="0"/>
              <w:adjustRightInd w:val="0"/>
              <w:rPr>
                <w:sz w:val="20"/>
                <w:szCs w:val="20"/>
              </w:rPr>
            </w:pPr>
          </w:p>
        </w:tc>
        <w:tc>
          <w:tcPr>
            <w:tcW w:w="1064" w:type="dxa"/>
            <w:shd w:val="clear" w:color="auto" w:fill="auto"/>
          </w:tcPr>
          <w:p w14:paraId="3C655795" w14:textId="77777777" w:rsidR="00213C56" w:rsidRPr="00BA4F48" w:rsidRDefault="00213C56" w:rsidP="00390AC7">
            <w:pPr>
              <w:autoSpaceDE w:val="0"/>
              <w:autoSpaceDN w:val="0"/>
              <w:adjustRightInd w:val="0"/>
              <w:rPr>
                <w:sz w:val="20"/>
                <w:szCs w:val="20"/>
              </w:rPr>
            </w:pPr>
          </w:p>
        </w:tc>
        <w:tc>
          <w:tcPr>
            <w:tcW w:w="1065" w:type="dxa"/>
          </w:tcPr>
          <w:p w14:paraId="16DDD1E3" w14:textId="77777777" w:rsidR="00213C56" w:rsidRPr="00BA4F48" w:rsidRDefault="00213C56" w:rsidP="00390AC7">
            <w:pPr>
              <w:autoSpaceDE w:val="0"/>
              <w:autoSpaceDN w:val="0"/>
              <w:adjustRightInd w:val="0"/>
              <w:rPr>
                <w:sz w:val="20"/>
                <w:szCs w:val="20"/>
              </w:rPr>
            </w:pPr>
          </w:p>
        </w:tc>
        <w:tc>
          <w:tcPr>
            <w:tcW w:w="1065" w:type="dxa"/>
            <w:shd w:val="clear" w:color="auto" w:fill="auto"/>
          </w:tcPr>
          <w:p w14:paraId="56C9B460" w14:textId="77777777" w:rsidR="00213C56" w:rsidRPr="00BA4F48" w:rsidRDefault="00213C56" w:rsidP="00390AC7">
            <w:pPr>
              <w:autoSpaceDE w:val="0"/>
              <w:autoSpaceDN w:val="0"/>
              <w:adjustRightInd w:val="0"/>
              <w:rPr>
                <w:sz w:val="20"/>
                <w:szCs w:val="20"/>
              </w:rPr>
            </w:pPr>
          </w:p>
        </w:tc>
        <w:tc>
          <w:tcPr>
            <w:tcW w:w="1064" w:type="dxa"/>
            <w:shd w:val="clear" w:color="auto" w:fill="auto"/>
          </w:tcPr>
          <w:p w14:paraId="1319A896" w14:textId="77777777" w:rsidR="00213C56" w:rsidRPr="00BA4F48" w:rsidRDefault="00213C56" w:rsidP="00390AC7">
            <w:pPr>
              <w:autoSpaceDE w:val="0"/>
              <w:autoSpaceDN w:val="0"/>
              <w:adjustRightInd w:val="0"/>
              <w:rPr>
                <w:sz w:val="20"/>
                <w:szCs w:val="20"/>
              </w:rPr>
            </w:pPr>
          </w:p>
        </w:tc>
        <w:tc>
          <w:tcPr>
            <w:tcW w:w="1065" w:type="dxa"/>
            <w:shd w:val="clear" w:color="auto" w:fill="auto"/>
          </w:tcPr>
          <w:p w14:paraId="5A653092" w14:textId="77777777" w:rsidR="00213C56" w:rsidRPr="00BA4F48" w:rsidRDefault="00213C56" w:rsidP="00390AC7">
            <w:pPr>
              <w:autoSpaceDE w:val="0"/>
              <w:autoSpaceDN w:val="0"/>
              <w:adjustRightInd w:val="0"/>
              <w:rPr>
                <w:sz w:val="20"/>
                <w:szCs w:val="20"/>
                <w:vertAlign w:val="superscript"/>
              </w:rPr>
            </w:pPr>
            <w:r w:rsidRPr="00BA4F48">
              <w:rPr>
                <w:sz w:val="20"/>
                <w:szCs w:val="20"/>
              </w:rPr>
              <w:t>X</w:t>
            </w:r>
            <w:r w:rsidRPr="00BA4F48">
              <w:rPr>
                <w:sz w:val="20"/>
                <w:szCs w:val="20"/>
                <w:vertAlign w:val="superscript"/>
              </w:rPr>
              <w:t>1</w:t>
            </w:r>
          </w:p>
        </w:tc>
        <w:tc>
          <w:tcPr>
            <w:tcW w:w="1287" w:type="dxa"/>
            <w:shd w:val="clear" w:color="auto" w:fill="auto"/>
          </w:tcPr>
          <w:p w14:paraId="77054613" w14:textId="77777777" w:rsidR="00213C56" w:rsidRPr="00BA4F48" w:rsidRDefault="00213C56" w:rsidP="00390AC7">
            <w:pPr>
              <w:autoSpaceDE w:val="0"/>
              <w:autoSpaceDN w:val="0"/>
              <w:adjustRightInd w:val="0"/>
              <w:rPr>
                <w:sz w:val="20"/>
                <w:szCs w:val="20"/>
              </w:rPr>
            </w:pPr>
          </w:p>
        </w:tc>
      </w:tr>
    </w:tbl>
    <w:p w14:paraId="5A427AEB" w14:textId="77777777" w:rsidR="00213C56" w:rsidRDefault="00213C56" w:rsidP="00213C56">
      <w:pPr>
        <w:autoSpaceDE w:val="0"/>
        <w:autoSpaceDN w:val="0"/>
        <w:adjustRightInd w:val="0"/>
      </w:pPr>
    </w:p>
    <w:p w14:paraId="43727378" w14:textId="77777777" w:rsidR="00213C56" w:rsidRDefault="00213C56" w:rsidP="00213C56">
      <w:pPr>
        <w:autoSpaceDE w:val="0"/>
        <w:autoSpaceDN w:val="0"/>
        <w:adjustRightInd w:val="0"/>
      </w:pPr>
      <w:r>
        <w:rPr>
          <w:vertAlign w:val="superscript"/>
        </w:rPr>
        <w:t>1</w:t>
      </w:r>
      <w:r>
        <w:t xml:space="preserve">Tumor assessment will occur between week 8 and 12 weeks after starting protocol therapy, and then every 8-12 weeks thereafter. </w:t>
      </w:r>
    </w:p>
    <w:p w14:paraId="18C4A43A" w14:textId="77777777" w:rsidR="00213C56" w:rsidRDefault="00213C56" w:rsidP="00213C56"/>
    <w:p w14:paraId="08163C05" w14:textId="77777777" w:rsidR="007A66BA" w:rsidRDefault="00603BAE"/>
    <w:sectPr w:rsidR="007A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00BE"/>
    <w:multiLevelType w:val="multilevel"/>
    <w:tmpl w:val="DC949950"/>
    <w:styleLink w:val="NumberingList"/>
    <w:lvl w:ilvl="0">
      <w:start w:val="1"/>
      <w:numFmt w:val="decimal"/>
      <w:pStyle w:val="Heading1"/>
      <w:lvlText w:val="%1."/>
      <w:lvlJc w:val="left"/>
      <w:pPr>
        <w:ind w:left="360" w:hanging="360"/>
      </w:pPr>
      <w:rPr>
        <w:rFonts w:ascii="Times New Roman" w:hAnsi="Times New Roman" w:hint="default"/>
        <w:b/>
        <w:color w:val="000000"/>
        <w:sz w:val="24"/>
      </w:rPr>
    </w:lvl>
    <w:lvl w:ilvl="1">
      <w:start w:val="1"/>
      <w:numFmt w:val="decimal"/>
      <w:pStyle w:val="Heading2"/>
      <w:lvlText w:val="%1.%2"/>
      <w:lvlJc w:val="left"/>
      <w:pPr>
        <w:ind w:left="1980" w:hanging="720"/>
      </w:pPr>
      <w:rPr>
        <w:rFonts w:ascii="Times New Roman" w:hAnsi="Times New Roman" w:hint="default"/>
        <w:b/>
        <w:i w:val="0"/>
        <w:color w:val="000000"/>
        <w:sz w:val="24"/>
        <w:u w:val="none"/>
      </w:rPr>
    </w:lvl>
    <w:lvl w:ilvl="2">
      <w:start w:val="1"/>
      <w:numFmt w:val="decimal"/>
      <w:pStyle w:val="Level3Heading"/>
      <w:lvlText w:val="%1.%2.%3"/>
      <w:lvlJc w:val="left"/>
      <w:pPr>
        <w:ind w:left="720" w:hanging="720"/>
      </w:pPr>
      <w:rPr>
        <w:rFonts w:ascii="Times New Roman" w:hAnsi="Times New Roman" w:hint="default"/>
        <w:b w:val="0"/>
        <w:i w:val="0"/>
        <w:color w:val="000000"/>
        <w:sz w:val="24"/>
        <w:u w:val="none"/>
      </w:rPr>
    </w:lvl>
    <w:lvl w:ilvl="3">
      <w:start w:val="1"/>
      <w:numFmt w:val="decimal"/>
      <w:pStyle w:val="Level4Heading"/>
      <w:lvlText w:val="%1.%2.%3.%4"/>
      <w:lvlJc w:val="left"/>
      <w:pPr>
        <w:ind w:left="1080" w:hanging="1080"/>
      </w:pPr>
      <w:rPr>
        <w:rFonts w:ascii="Times New Roman" w:hAnsi="Times New Roman" w:hint="default"/>
        <w:b w:val="0"/>
        <w:i w:val="0"/>
        <w:color w:val="000000"/>
        <w:sz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99E78DF"/>
    <w:multiLevelType w:val="multilevel"/>
    <w:tmpl w:val="DC949950"/>
    <w:numStyleLink w:val="NumberingList"/>
  </w:abstractNum>
  <w:abstractNum w:abstractNumId="2">
    <w:nsid w:val="1B205016"/>
    <w:multiLevelType w:val="multilevel"/>
    <w:tmpl w:val="CECAD1BA"/>
    <w:styleLink w:val="NumberSage"/>
    <w:lvl w:ilvl="0">
      <w:start w:val="1"/>
      <w:numFmt w:val="decimal"/>
      <w:pStyle w:val="SageListNumber"/>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08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1D66B7"/>
    <w:multiLevelType w:val="hybridMultilevel"/>
    <w:tmpl w:val="A4FE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B57287"/>
    <w:multiLevelType w:val="hybridMultilevel"/>
    <w:tmpl w:val="3E96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B3372"/>
    <w:multiLevelType w:val="multilevel"/>
    <w:tmpl w:val="CECAD1BA"/>
    <w:numStyleLink w:val="NumberSage"/>
  </w:abstractNum>
  <w:abstractNum w:abstractNumId="6">
    <w:nsid w:val="55747DDA"/>
    <w:multiLevelType w:val="hybridMultilevel"/>
    <w:tmpl w:val="EBB05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1D"/>
    <w:rsid w:val="00011671"/>
    <w:rsid w:val="00011816"/>
    <w:rsid w:val="000145C7"/>
    <w:rsid w:val="00024ACD"/>
    <w:rsid w:val="0002589F"/>
    <w:rsid w:val="00034694"/>
    <w:rsid w:val="00037F20"/>
    <w:rsid w:val="00051DF8"/>
    <w:rsid w:val="00066540"/>
    <w:rsid w:val="000814B4"/>
    <w:rsid w:val="000C3AA8"/>
    <w:rsid w:val="000F71A3"/>
    <w:rsid w:val="001430BD"/>
    <w:rsid w:val="00147B2C"/>
    <w:rsid w:val="00154F0F"/>
    <w:rsid w:val="001B069B"/>
    <w:rsid w:val="001D6227"/>
    <w:rsid w:val="00204B3F"/>
    <w:rsid w:val="00213C56"/>
    <w:rsid w:val="002316D7"/>
    <w:rsid w:val="002366DC"/>
    <w:rsid w:val="00247E43"/>
    <w:rsid w:val="002719AB"/>
    <w:rsid w:val="00285048"/>
    <w:rsid w:val="002E389C"/>
    <w:rsid w:val="00304792"/>
    <w:rsid w:val="00312C68"/>
    <w:rsid w:val="00330F57"/>
    <w:rsid w:val="00347F0D"/>
    <w:rsid w:val="00357806"/>
    <w:rsid w:val="00360AD3"/>
    <w:rsid w:val="00377307"/>
    <w:rsid w:val="00392091"/>
    <w:rsid w:val="003962F5"/>
    <w:rsid w:val="003F67CA"/>
    <w:rsid w:val="00411A60"/>
    <w:rsid w:val="00432818"/>
    <w:rsid w:val="0043572F"/>
    <w:rsid w:val="00445A0C"/>
    <w:rsid w:val="004560AF"/>
    <w:rsid w:val="00491C34"/>
    <w:rsid w:val="004A3889"/>
    <w:rsid w:val="00514DF0"/>
    <w:rsid w:val="00534379"/>
    <w:rsid w:val="00545896"/>
    <w:rsid w:val="00583371"/>
    <w:rsid w:val="00585E1D"/>
    <w:rsid w:val="005945F9"/>
    <w:rsid w:val="00603BAE"/>
    <w:rsid w:val="00606741"/>
    <w:rsid w:val="0062366D"/>
    <w:rsid w:val="00645C90"/>
    <w:rsid w:val="00651169"/>
    <w:rsid w:val="00681F52"/>
    <w:rsid w:val="00690876"/>
    <w:rsid w:val="006B5BB5"/>
    <w:rsid w:val="006C37AB"/>
    <w:rsid w:val="007014F1"/>
    <w:rsid w:val="0075249F"/>
    <w:rsid w:val="00753347"/>
    <w:rsid w:val="0077159E"/>
    <w:rsid w:val="00771E8A"/>
    <w:rsid w:val="007B5E89"/>
    <w:rsid w:val="007D5086"/>
    <w:rsid w:val="007F1F8E"/>
    <w:rsid w:val="008145B5"/>
    <w:rsid w:val="0082176A"/>
    <w:rsid w:val="00845FC1"/>
    <w:rsid w:val="00860403"/>
    <w:rsid w:val="008E4F27"/>
    <w:rsid w:val="008F2ABA"/>
    <w:rsid w:val="00933F32"/>
    <w:rsid w:val="00937039"/>
    <w:rsid w:val="00941D12"/>
    <w:rsid w:val="00954689"/>
    <w:rsid w:val="00956E46"/>
    <w:rsid w:val="0096564C"/>
    <w:rsid w:val="00965CAD"/>
    <w:rsid w:val="0098175F"/>
    <w:rsid w:val="009A518F"/>
    <w:rsid w:val="009B0456"/>
    <w:rsid w:val="009C640D"/>
    <w:rsid w:val="009F545F"/>
    <w:rsid w:val="009F5619"/>
    <w:rsid w:val="00A204C5"/>
    <w:rsid w:val="00A22947"/>
    <w:rsid w:val="00A3440C"/>
    <w:rsid w:val="00A744B3"/>
    <w:rsid w:val="00A873DA"/>
    <w:rsid w:val="00A94C16"/>
    <w:rsid w:val="00AA3BE6"/>
    <w:rsid w:val="00AA46E1"/>
    <w:rsid w:val="00AA4B8D"/>
    <w:rsid w:val="00B04AFF"/>
    <w:rsid w:val="00B1059D"/>
    <w:rsid w:val="00B2344E"/>
    <w:rsid w:val="00B347D5"/>
    <w:rsid w:val="00B5302D"/>
    <w:rsid w:val="00B752DB"/>
    <w:rsid w:val="00B7664B"/>
    <w:rsid w:val="00B77980"/>
    <w:rsid w:val="00BA29D7"/>
    <w:rsid w:val="00BC7464"/>
    <w:rsid w:val="00BF1492"/>
    <w:rsid w:val="00BF6DD1"/>
    <w:rsid w:val="00C101B7"/>
    <w:rsid w:val="00C558A9"/>
    <w:rsid w:val="00CB15DF"/>
    <w:rsid w:val="00CD6446"/>
    <w:rsid w:val="00CF22E6"/>
    <w:rsid w:val="00D14F38"/>
    <w:rsid w:val="00D37D92"/>
    <w:rsid w:val="00D47DB5"/>
    <w:rsid w:val="00D67695"/>
    <w:rsid w:val="00D742EE"/>
    <w:rsid w:val="00DB0141"/>
    <w:rsid w:val="00DF36F4"/>
    <w:rsid w:val="00E2296F"/>
    <w:rsid w:val="00E916AA"/>
    <w:rsid w:val="00EA7166"/>
    <w:rsid w:val="00ED3931"/>
    <w:rsid w:val="00ED581F"/>
    <w:rsid w:val="00EF15E3"/>
    <w:rsid w:val="00F16AC8"/>
    <w:rsid w:val="00F67388"/>
    <w:rsid w:val="00F70820"/>
    <w:rsid w:val="00F739EA"/>
    <w:rsid w:val="00F852B7"/>
    <w:rsid w:val="00FE4680"/>
    <w:rsid w:val="00FF50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B766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1D"/>
    <w:rPr>
      <w:rFonts w:eastAsiaTheme="minorEastAsia"/>
      <w:sz w:val="22"/>
      <w:szCs w:val="22"/>
    </w:rPr>
  </w:style>
  <w:style w:type="paragraph" w:styleId="Heading1">
    <w:name w:val="heading 1"/>
    <w:aliases w:val="Level 1 Heading"/>
    <w:basedOn w:val="Normal"/>
    <w:next w:val="Normal"/>
    <w:link w:val="Heading1Char"/>
    <w:qFormat/>
    <w:rsid w:val="00213C56"/>
    <w:pPr>
      <w:keepNext/>
      <w:keepLines/>
      <w:widowControl w:val="0"/>
      <w:numPr>
        <w:numId w:val="2"/>
      </w:numPr>
      <w:outlineLvl w:val="0"/>
    </w:pPr>
    <w:rPr>
      <w:rFonts w:ascii="Times New Roman" w:eastAsia="Times New Roman" w:hAnsi="Times New Roman" w:cs="Times New Roman"/>
      <w:b/>
      <w:caps/>
      <w:snapToGrid w:val="0"/>
      <w:color w:val="000000"/>
      <w:sz w:val="20"/>
      <w:szCs w:val="20"/>
      <w:lang w:val="x-none" w:eastAsia="x-none"/>
    </w:rPr>
  </w:style>
  <w:style w:type="paragraph" w:styleId="Heading2">
    <w:name w:val="heading 2"/>
    <w:aliases w:val="Level 2 Heading"/>
    <w:basedOn w:val="Normal"/>
    <w:next w:val="Normal"/>
    <w:link w:val="Heading2Char"/>
    <w:qFormat/>
    <w:rsid w:val="00213C56"/>
    <w:pPr>
      <w:keepNext/>
      <w:keepLines/>
      <w:widowControl w:val="0"/>
      <w:numPr>
        <w:ilvl w:val="1"/>
        <w:numId w:val="2"/>
      </w:numPr>
      <w:outlineLvl w:val="1"/>
    </w:pPr>
    <w:rPr>
      <w:rFonts w:ascii="Times New Roman" w:eastAsia="Times New Roman" w:hAnsi="Times New Roman" w:cs="Times New Roman"/>
      <w:b/>
      <w:snapToGrid w:val="0"/>
      <w:color w:val="000000"/>
      <w:sz w:val="20"/>
      <w:szCs w:val="20"/>
      <w:lang w:val="x-none" w:eastAsia="x-none"/>
    </w:rPr>
  </w:style>
  <w:style w:type="paragraph" w:styleId="Heading3">
    <w:name w:val="heading 3"/>
    <w:basedOn w:val="Normal"/>
    <w:next w:val="Normal"/>
    <w:link w:val="Heading3Char"/>
    <w:uiPriority w:val="9"/>
    <w:semiHidden/>
    <w:unhideWhenUsed/>
    <w:qFormat/>
    <w:rsid w:val="00213C5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13C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E1D"/>
    <w:rPr>
      <w:color w:val="0563C1" w:themeColor="hyperlink"/>
      <w:u w:val="single"/>
    </w:rPr>
  </w:style>
  <w:style w:type="table" w:styleId="PlainTable1">
    <w:name w:val="Plain Table 1"/>
    <w:basedOn w:val="TableNormal"/>
    <w:uiPriority w:val="41"/>
    <w:rsid w:val="004A388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aliases w:val="Level 1 Heading Char"/>
    <w:basedOn w:val="DefaultParagraphFont"/>
    <w:link w:val="Heading1"/>
    <w:rsid w:val="00213C56"/>
    <w:rPr>
      <w:rFonts w:ascii="Times New Roman" w:eastAsia="Times New Roman" w:hAnsi="Times New Roman" w:cs="Times New Roman"/>
      <w:b/>
      <w:caps/>
      <w:snapToGrid w:val="0"/>
      <w:color w:val="000000"/>
      <w:sz w:val="20"/>
      <w:szCs w:val="20"/>
      <w:lang w:val="x-none" w:eastAsia="x-none"/>
    </w:rPr>
  </w:style>
  <w:style w:type="character" w:customStyle="1" w:styleId="Heading2Char">
    <w:name w:val="Heading 2 Char"/>
    <w:aliases w:val="Level 2 Heading Char"/>
    <w:basedOn w:val="DefaultParagraphFont"/>
    <w:link w:val="Heading2"/>
    <w:rsid w:val="00213C56"/>
    <w:rPr>
      <w:rFonts w:ascii="Times New Roman" w:eastAsia="Times New Roman" w:hAnsi="Times New Roman" w:cs="Times New Roman"/>
      <w:b/>
      <w:snapToGrid w:val="0"/>
      <w:color w:val="000000"/>
      <w:sz w:val="20"/>
      <w:szCs w:val="20"/>
      <w:lang w:val="x-none" w:eastAsia="x-none"/>
    </w:rPr>
  </w:style>
  <w:style w:type="numbering" w:customStyle="1" w:styleId="NumberingList">
    <w:name w:val="Numbering List"/>
    <w:uiPriority w:val="99"/>
    <w:rsid w:val="00213C56"/>
    <w:pPr>
      <w:numPr>
        <w:numId w:val="1"/>
      </w:numPr>
    </w:pPr>
  </w:style>
  <w:style w:type="paragraph" w:customStyle="1" w:styleId="Level3Heading">
    <w:name w:val="Level 3 Heading"/>
    <w:basedOn w:val="Heading3"/>
    <w:next w:val="Normal"/>
    <w:qFormat/>
    <w:rsid w:val="00213C56"/>
    <w:pPr>
      <w:widowControl w:val="0"/>
      <w:numPr>
        <w:ilvl w:val="2"/>
        <w:numId w:val="2"/>
      </w:numPr>
      <w:tabs>
        <w:tab w:val="num" w:pos="360"/>
      </w:tabs>
      <w:spacing w:before="0"/>
      <w:ind w:left="0" w:firstLine="0"/>
      <w:outlineLvl w:val="9"/>
    </w:pPr>
    <w:rPr>
      <w:rFonts w:ascii="Times New Roman" w:eastAsia="Times New Roman" w:hAnsi="Times New Roman" w:cs="Times New Roman"/>
      <w:snapToGrid w:val="0"/>
      <w:color w:val="000000"/>
      <w:sz w:val="20"/>
      <w:szCs w:val="20"/>
      <w:lang w:val="x-none" w:eastAsia="x-none"/>
    </w:rPr>
  </w:style>
  <w:style w:type="paragraph" w:customStyle="1" w:styleId="Level4Heading">
    <w:name w:val="Level 4 Heading"/>
    <w:basedOn w:val="Heading4"/>
    <w:next w:val="Normal"/>
    <w:qFormat/>
    <w:rsid w:val="00213C56"/>
    <w:pPr>
      <w:widowControl w:val="0"/>
      <w:numPr>
        <w:ilvl w:val="3"/>
        <w:numId w:val="2"/>
      </w:numPr>
      <w:tabs>
        <w:tab w:val="num" w:pos="360"/>
      </w:tabs>
      <w:spacing w:before="0"/>
      <w:ind w:left="0" w:firstLine="0"/>
      <w:outlineLvl w:val="9"/>
    </w:pPr>
    <w:rPr>
      <w:rFonts w:ascii="Times New Roman" w:eastAsia="Times New Roman" w:hAnsi="Times New Roman" w:cs="Times New Roman"/>
      <w:i w:val="0"/>
      <w:iCs w:val="0"/>
      <w:snapToGrid w:val="0"/>
      <w:color w:val="000000"/>
      <w:sz w:val="20"/>
      <w:szCs w:val="20"/>
      <w:lang w:val="x-none" w:eastAsia="x-none"/>
    </w:rPr>
  </w:style>
  <w:style w:type="numbering" w:customStyle="1" w:styleId="NumberSage">
    <w:name w:val="Number Sage"/>
    <w:basedOn w:val="NoList"/>
    <w:rsid w:val="00213C56"/>
    <w:pPr>
      <w:numPr>
        <w:numId w:val="5"/>
      </w:numPr>
    </w:pPr>
  </w:style>
  <w:style w:type="paragraph" w:customStyle="1" w:styleId="SageListNumber">
    <w:name w:val="Sage List Number"/>
    <w:basedOn w:val="Normal"/>
    <w:rsid w:val="00213C56"/>
    <w:pPr>
      <w:numPr>
        <w:numId w:val="6"/>
      </w:numPr>
      <w:spacing w:before="240"/>
    </w:pPr>
    <w:rPr>
      <w:rFonts w:ascii="Times New Roman" w:eastAsia="Arial Unicode MS" w:hAnsi="Times New Roman" w:cs="Times New Roman"/>
      <w:sz w:val="24"/>
      <w:szCs w:val="24"/>
      <w:lang w:eastAsia="zh-TW"/>
    </w:rPr>
  </w:style>
  <w:style w:type="character" w:customStyle="1" w:styleId="Heading3Char">
    <w:name w:val="Heading 3 Char"/>
    <w:basedOn w:val="DefaultParagraphFont"/>
    <w:link w:val="Heading3"/>
    <w:uiPriority w:val="9"/>
    <w:semiHidden/>
    <w:rsid w:val="00213C5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13C56"/>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21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ssets.ctfassets.net/vhribv12lmne/6Rt6csmCPuaguuqmgi2iY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1710</Words>
  <Characters>9751</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Piotrowska Z*1, Isozaki H*1, Lennerz J2, Gainor JF1, Lennes IT1, Zhu VW3, Marcou</vt:lpstr>
      <vt:lpstr>Direct Correspondence to: </vt:lpstr>
      <vt:lpstr/>
      <vt:lpstr>Lecia V. Sequist, MD, MPH</vt:lpstr>
      <vt:lpstr>Massachusetts General Hospital</vt:lpstr>
      <vt:lpstr>55 Fruit Street, POB 212</vt:lpstr>
      <vt:lpstr>Boston, MA  02114</vt:lpstr>
      <vt:lpstr>Email: Lvsequist@partners.org</vt:lpstr>
      <vt:lpstr/>
      <vt:lpstr>or</vt:lpstr>
      <vt:lpstr/>
      <vt:lpstr>Aaron N. Hata, MD, PhD</vt:lpstr>
      <vt:lpstr>Massachusetts General Hospital </vt:lpstr>
      <vt:lpstr>149 13th Street</vt:lpstr>
      <vt:lpstr>Charlestown, MA  02129</vt:lpstr>
      <vt:lpstr>Email: Ahata@mgh.harvard.edu</vt:lpstr>
      <vt:lpstr>Reagents and antibodies</vt:lpstr>
      <vt:lpstr>RT-PCR and sequencing</vt:lpstr>
      <vt:lpstr>Total RNA from cell lines was extracted using an RNeasy Mini Kit (Qiagen). RNA </vt:lpstr>
      <vt:lpstr>INclusion Criteria</vt:lpstr>
      <vt:lpstr>Exclusion criteria</vt:lpstr>
    </vt:vector>
  </TitlesOfParts>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 Piotrowska</dc:creator>
  <cp:keywords/>
  <dc:description/>
  <cp:lastModifiedBy>Zosia Piotrowska</cp:lastModifiedBy>
  <cp:revision>2</cp:revision>
  <dcterms:created xsi:type="dcterms:W3CDTF">2018-09-20T19:53:00Z</dcterms:created>
  <dcterms:modified xsi:type="dcterms:W3CDTF">2018-09-20T19:53:00Z</dcterms:modified>
</cp:coreProperties>
</file>