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0DDA" w14:textId="77777777" w:rsidR="00C41158" w:rsidRDefault="00C41158" w:rsidP="00C41158">
      <w:pPr>
        <w:spacing w:after="0" w:line="480" w:lineRule="auto"/>
        <w:rPr>
          <w:b/>
        </w:rPr>
      </w:pPr>
      <w:r w:rsidRPr="00665CA1">
        <w:rPr>
          <w:b/>
        </w:rPr>
        <w:t>Supplementary Figure Legends</w:t>
      </w:r>
    </w:p>
    <w:p w14:paraId="07DB1FC4" w14:textId="77777777" w:rsidR="00C41158" w:rsidRDefault="00C41158" w:rsidP="00C41158">
      <w:pPr>
        <w:spacing w:after="0" w:line="480" w:lineRule="auto"/>
        <w:rPr>
          <w:b/>
        </w:rPr>
      </w:pPr>
    </w:p>
    <w:p w14:paraId="7C5E6530" w14:textId="0A27A99E" w:rsidR="00C41158" w:rsidRDefault="00C41158" w:rsidP="00C41158">
      <w:pPr>
        <w:spacing w:after="0" w:line="480" w:lineRule="auto"/>
      </w:pPr>
      <w:r>
        <w:rPr>
          <w:b/>
        </w:rPr>
        <w:t xml:space="preserve">Supplementary Figure </w:t>
      </w:r>
      <w:r w:rsidR="00D25604">
        <w:rPr>
          <w:b/>
        </w:rPr>
        <w:t>S</w:t>
      </w:r>
      <w:r>
        <w:rPr>
          <w:b/>
        </w:rPr>
        <w:t xml:space="preserve">1. Neoantigen landscape in tumors before and at acquired resistance to ICIs. </w:t>
      </w:r>
      <w:r w:rsidRPr="004110F6">
        <w:t xml:space="preserve">Distribution of neoantigens with strong, intermediate or weak predicted </w:t>
      </w:r>
      <w:r w:rsidR="009761D3">
        <w:t>HLA</w:t>
      </w:r>
      <w:r w:rsidRPr="004110F6">
        <w:t xml:space="preserve"> I binding in </w:t>
      </w:r>
      <w:r>
        <w:t>paired</w:t>
      </w:r>
      <w:r w:rsidRPr="004110F6">
        <w:t xml:space="preserve"> pre-</w:t>
      </w:r>
      <w:r>
        <w:t>immunotherapy (P1) and</w:t>
      </w:r>
      <w:r w:rsidRPr="004110F6">
        <w:t xml:space="preserve"> immunotherapy</w:t>
      </w:r>
      <w:r>
        <w:t xml:space="preserve"> resistant (IR) specimens </w:t>
      </w:r>
      <w:r w:rsidRPr="009E615E">
        <w:rPr>
          <w:b/>
        </w:rPr>
        <w:t>(A)</w:t>
      </w:r>
      <w:r w:rsidRPr="00DE76B2">
        <w:rPr>
          <w:b/>
        </w:rPr>
        <w:t xml:space="preserve"> </w:t>
      </w:r>
      <w:r w:rsidRPr="00006E65">
        <w:t>and overall in the cohort under investigation</w:t>
      </w:r>
      <w:r>
        <w:rPr>
          <w:b/>
        </w:rPr>
        <w:t xml:space="preserve"> </w:t>
      </w:r>
      <w:r w:rsidRPr="009E615E">
        <w:rPr>
          <w:b/>
        </w:rPr>
        <w:t>(B)</w:t>
      </w:r>
      <w:r>
        <w:t>.</w:t>
      </w:r>
      <w:r>
        <w:rPr>
          <w:b/>
        </w:rPr>
        <w:t xml:space="preserve"> </w:t>
      </w:r>
    </w:p>
    <w:p w14:paraId="4C5CCB1D" w14:textId="77777777" w:rsidR="00C41158" w:rsidRDefault="00C41158" w:rsidP="00C41158">
      <w:pPr>
        <w:spacing w:after="0" w:line="480" w:lineRule="auto"/>
      </w:pPr>
    </w:p>
    <w:p w14:paraId="1EE8E7F0" w14:textId="2EA2D89C" w:rsidR="00C41158" w:rsidRPr="00413608" w:rsidRDefault="00C41158" w:rsidP="00C41158">
      <w:pPr>
        <w:spacing w:after="0" w:line="480" w:lineRule="auto"/>
      </w:pPr>
      <w:r w:rsidRPr="00FF3503">
        <w:rPr>
          <w:b/>
        </w:rPr>
        <w:t xml:space="preserve">Supplementary Figure </w:t>
      </w:r>
      <w:r w:rsidR="00D25604">
        <w:rPr>
          <w:b/>
        </w:rPr>
        <w:t>S</w:t>
      </w:r>
      <w:r w:rsidRPr="00FF3503">
        <w:rPr>
          <w:b/>
        </w:rPr>
        <w:t>2.</w:t>
      </w:r>
      <w:r>
        <w:rPr>
          <w:b/>
        </w:rPr>
        <w:t xml:space="preserve"> </w:t>
      </w:r>
      <w:r w:rsidRPr="00413608">
        <w:rPr>
          <w:b/>
        </w:rPr>
        <w:t xml:space="preserve">Analysis of </w:t>
      </w:r>
      <w:r>
        <w:rPr>
          <w:b/>
        </w:rPr>
        <w:t>m</w:t>
      </w:r>
      <w:r w:rsidRPr="00413608">
        <w:rPr>
          <w:b/>
        </w:rPr>
        <w:t xml:space="preserve">utational signatures. </w:t>
      </w:r>
      <w:r w:rsidRPr="00DE76B2">
        <w:rPr>
          <w:b/>
        </w:rPr>
        <w:t>(</w:t>
      </w:r>
      <w:r w:rsidRPr="005E6F39">
        <w:rPr>
          <w:b/>
        </w:rPr>
        <w:t>A)</w:t>
      </w:r>
      <w:r>
        <w:t xml:space="preserve"> Three mutational signatures discovered by the Bayes NMF algorithm for cases of resistance to immune checkpoint blockade and </w:t>
      </w:r>
      <w:r w:rsidRPr="005E6F39">
        <w:rPr>
          <w:b/>
        </w:rPr>
        <w:t>(B)</w:t>
      </w:r>
      <w:r>
        <w:t xml:space="preserve"> the distribution of the three mutation signatures in </w:t>
      </w:r>
      <w:r w:rsidR="00DC6A05">
        <w:t xml:space="preserve">the </w:t>
      </w:r>
      <w:r>
        <w:t>14 patients</w:t>
      </w:r>
      <w:r w:rsidR="00DC6A05">
        <w:t xml:space="preserve"> in our cohort</w:t>
      </w:r>
      <w:r>
        <w:t>.</w:t>
      </w:r>
    </w:p>
    <w:p w14:paraId="681691D7" w14:textId="77777777" w:rsidR="00C41158" w:rsidRDefault="00C41158" w:rsidP="00C41158">
      <w:pPr>
        <w:spacing w:after="0" w:line="480" w:lineRule="auto"/>
        <w:rPr>
          <w:b/>
        </w:rPr>
      </w:pPr>
    </w:p>
    <w:p w14:paraId="44E5D306" w14:textId="385C93B7" w:rsidR="00C41158" w:rsidRDefault="00C41158" w:rsidP="00C41158">
      <w:pPr>
        <w:spacing w:after="0" w:line="480" w:lineRule="auto"/>
        <w:jc w:val="both"/>
      </w:pPr>
      <w:r>
        <w:rPr>
          <w:b/>
        </w:rPr>
        <w:t xml:space="preserve">Supplementary Figure </w:t>
      </w:r>
      <w:r w:rsidR="00D25604">
        <w:rPr>
          <w:b/>
        </w:rPr>
        <w:t>S</w:t>
      </w:r>
      <w:r>
        <w:rPr>
          <w:b/>
        </w:rPr>
        <w:t xml:space="preserve">3. Copy number analysis of </w:t>
      </w:r>
      <w:r w:rsidRPr="004F6604">
        <w:rPr>
          <w:b/>
          <w:i/>
        </w:rPr>
        <w:t>B2M</w:t>
      </w:r>
      <w:r>
        <w:rPr>
          <w:b/>
        </w:rPr>
        <w:t xml:space="preserve">. </w:t>
      </w:r>
      <w:r w:rsidRPr="00F828A5">
        <w:t xml:space="preserve">Results of quantitative </w:t>
      </w:r>
      <w:r>
        <w:t>PCR experiments to determine</w:t>
      </w:r>
      <w:r w:rsidRPr="00F828A5">
        <w:t xml:space="preserve"> </w:t>
      </w:r>
      <w:r w:rsidRPr="005E6F39">
        <w:rPr>
          <w:i/>
        </w:rPr>
        <w:t>B2M</w:t>
      </w:r>
      <w:r w:rsidRPr="00F828A5">
        <w:t xml:space="preserve"> copy number in samples collected from </w:t>
      </w:r>
      <w:r>
        <w:t>c</w:t>
      </w:r>
      <w:r w:rsidRPr="00F828A5">
        <w:t>ase #23.</w:t>
      </w:r>
      <w:r>
        <w:t xml:space="preserve"> Diagnostic, pre-immunotherapy and immunotherapy resistant samples showed progressive loss of </w:t>
      </w:r>
      <w:r w:rsidRPr="00AF57C1">
        <w:rPr>
          <w:i/>
        </w:rPr>
        <w:t>B2M</w:t>
      </w:r>
      <w:r>
        <w:t xml:space="preserve"> through treatment. Total loss of </w:t>
      </w:r>
      <w:r w:rsidRPr="00AF57C1">
        <w:rPr>
          <w:i/>
        </w:rPr>
        <w:t>B2M</w:t>
      </w:r>
      <w:r>
        <w:t xml:space="preserve"> was confirmed in a PDX sample derived from case #23 at the time of acquired resistance to ICIs. Normal tonsil DNA was used as a control.</w:t>
      </w:r>
      <w:r w:rsidRPr="004F6604">
        <w:rPr>
          <w:i/>
        </w:rPr>
        <w:t xml:space="preserve"> </w:t>
      </w:r>
      <w:r>
        <w:t xml:space="preserve">Data is the average of </w:t>
      </w:r>
      <w:r w:rsidRPr="00476AAC">
        <w:rPr>
          <w:i/>
        </w:rPr>
        <w:t>B2M</w:t>
      </w:r>
      <w:r w:rsidRPr="00932CAA">
        <w:t xml:space="preserve"> copy number was evaluated using</w:t>
      </w:r>
      <w:r>
        <w:t xml:space="preserve"> two independent</w:t>
      </w:r>
      <w:r w:rsidRPr="00932CAA">
        <w:t xml:space="preserve"> assays</w:t>
      </w:r>
      <w:r w:rsidRPr="004F6604">
        <w:rPr>
          <w:color w:val="333333"/>
          <w:lang w:val="en"/>
        </w:rPr>
        <w:t xml:space="preserve"> </w:t>
      </w:r>
      <w:r>
        <w:rPr>
          <w:color w:val="333333"/>
          <w:lang w:val="en"/>
        </w:rPr>
        <w:t xml:space="preserve">and is presented as the average of these two assays </w:t>
      </w:r>
      <w:r w:rsidRPr="004F6604">
        <w:rPr>
          <w:color w:val="333333"/>
          <w:u w:val="single"/>
          <w:lang w:val="en"/>
        </w:rPr>
        <w:t>+</w:t>
      </w:r>
      <w:r w:rsidRPr="004F6604">
        <w:rPr>
          <w:color w:val="333333"/>
          <w:lang w:val="en"/>
        </w:rPr>
        <w:t xml:space="preserve"> SEM</w:t>
      </w:r>
      <w:r w:rsidRPr="004F6604">
        <w:t xml:space="preserve">. </w:t>
      </w:r>
    </w:p>
    <w:p w14:paraId="3FDD78ED" w14:textId="77777777" w:rsidR="00C41158" w:rsidRDefault="00C41158" w:rsidP="00C41158">
      <w:pPr>
        <w:spacing w:after="0" w:line="480" w:lineRule="auto"/>
        <w:jc w:val="both"/>
        <w:rPr>
          <w:b/>
        </w:rPr>
      </w:pPr>
    </w:p>
    <w:p w14:paraId="5930FCAB" w14:textId="529BB26A" w:rsidR="00C41158" w:rsidRPr="00802135" w:rsidRDefault="00FB0F45" w:rsidP="00C41158">
      <w:pPr>
        <w:spacing w:line="480" w:lineRule="auto"/>
        <w:jc w:val="both"/>
      </w:pPr>
      <w:r>
        <w:rPr>
          <w:b/>
        </w:rPr>
        <w:t xml:space="preserve">Supplementary Figure </w:t>
      </w:r>
      <w:r w:rsidR="00D25604">
        <w:rPr>
          <w:b/>
        </w:rPr>
        <w:t>S</w:t>
      </w:r>
      <w:r>
        <w:rPr>
          <w:b/>
        </w:rPr>
        <w:t>4</w:t>
      </w:r>
      <w:r w:rsidRPr="00FB2D26">
        <w:rPr>
          <w:b/>
        </w:rPr>
        <w:t xml:space="preserve">. Impaired antigen </w:t>
      </w:r>
      <w:r>
        <w:rPr>
          <w:b/>
        </w:rPr>
        <w:t xml:space="preserve">processing and </w:t>
      </w:r>
      <w:r w:rsidRPr="00FB2D26">
        <w:rPr>
          <w:b/>
        </w:rPr>
        <w:t xml:space="preserve">presentation in </w:t>
      </w:r>
      <w:r>
        <w:rPr>
          <w:b/>
        </w:rPr>
        <w:t>specimens from case #23</w:t>
      </w:r>
      <w:r w:rsidRPr="00FB2D26">
        <w:rPr>
          <w:b/>
        </w:rPr>
        <w:t xml:space="preserve">. </w:t>
      </w:r>
      <w:r w:rsidRPr="000B1117">
        <w:rPr>
          <w:b/>
        </w:rPr>
        <w:t>(A-</w:t>
      </w:r>
      <w:r>
        <w:rPr>
          <w:b/>
        </w:rPr>
        <w:t>D</w:t>
      </w:r>
      <w:r w:rsidRPr="000B1117">
        <w:rPr>
          <w:b/>
        </w:rPr>
        <w:t>)</w:t>
      </w:r>
      <w:r w:rsidRPr="00FB2D26">
        <w:t xml:space="preserve"> </w:t>
      </w:r>
      <w:r w:rsidRPr="00FB2D26">
        <w:rPr>
          <w:bCs/>
        </w:rPr>
        <w:t xml:space="preserve">Simultaneous multiplex quantitative immunofluorescence of antigen </w:t>
      </w:r>
      <w:r>
        <w:rPr>
          <w:bCs/>
        </w:rPr>
        <w:t xml:space="preserve">processing and </w:t>
      </w:r>
      <w:r w:rsidRPr="00FB2D26">
        <w:rPr>
          <w:bCs/>
        </w:rPr>
        <w:t xml:space="preserve">presentation markers in </w:t>
      </w:r>
      <w:r>
        <w:t xml:space="preserve">pre-immunotherapy and immunotherapy resistant </w:t>
      </w:r>
      <w:r w:rsidRPr="00FB2D26">
        <w:rPr>
          <w:bCs/>
        </w:rPr>
        <w:t>tumor tissues from case #23</w:t>
      </w:r>
      <w:r w:rsidRPr="00146BFA">
        <w:rPr>
          <w:b/>
          <w:bCs/>
        </w:rPr>
        <w:t xml:space="preserve">. </w:t>
      </w:r>
      <w:r w:rsidRPr="00146BFA">
        <w:rPr>
          <w:b/>
        </w:rPr>
        <w:t>(A-B):</w:t>
      </w:r>
      <w:r w:rsidRPr="00FB2D26">
        <w:t xml:space="preserve"> </w:t>
      </w:r>
      <w:r w:rsidR="00DF7926">
        <w:t>Bar graph depicting the level</w:t>
      </w:r>
      <w:r w:rsidR="00DF7926" w:rsidRPr="00FB2D26">
        <w:t xml:space="preserve"> of </w:t>
      </w:r>
      <w:r w:rsidR="00DF7926">
        <w:t>HLA I</w:t>
      </w:r>
      <w:r w:rsidR="00DF7926" w:rsidRPr="00FB2D26">
        <w:t xml:space="preserve"> </w:t>
      </w:r>
      <w:r w:rsidR="00DF7926">
        <w:t>in whole tumor sections from</w:t>
      </w:r>
      <w:r w:rsidR="00DF7926" w:rsidRPr="00FB2D26">
        <w:t xml:space="preserve"> </w:t>
      </w:r>
      <w:r w:rsidR="00DF7926">
        <w:t>pre-immunotherapy and immunotherapy resistant samples</w:t>
      </w:r>
      <w:r w:rsidR="00DF7926" w:rsidRPr="00FB2D26">
        <w:t xml:space="preserve"> </w:t>
      </w:r>
      <w:r w:rsidR="00DF7926">
        <w:t xml:space="preserve">measured using </w:t>
      </w:r>
      <w:r w:rsidR="00DF7926" w:rsidRPr="00FB2D26">
        <w:rPr>
          <w:bCs/>
        </w:rPr>
        <w:t xml:space="preserve">multiplex quantitative immunofluorescence </w:t>
      </w:r>
      <w:r w:rsidR="00DF7926">
        <w:rPr>
          <w:bCs/>
        </w:rPr>
        <w:t>and</w:t>
      </w:r>
      <w:r w:rsidR="00DF7926" w:rsidRPr="00FB2D26">
        <w:t xml:space="preserve"> quantified </w:t>
      </w:r>
      <w:r w:rsidR="00DF7926">
        <w:t>with</w:t>
      </w:r>
      <w:r w:rsidR="00DF7926" w:rsidRPr="00FB2D26">
        <w:t xml:space="preserve"> AQUA® software. Numbers in the individual bars represent total </w:t>
      </w:r>
      <w:r w:rsidR="00DF7926">
        <w:t>fields of view</w:t>
      </w:r>
      <w:r w:rsidR="00DF7926" w:rsidRPr="00FB2D26">
        <w:t xml:space="preserve"> analyzed. Statistical </w:t>
      </w:r>
      <w:r w:rsidR="00DF7926" w:rsidRPr="00FB2D26">
        <w:lastRenderedPageBreak/>
        <w:t xml:space="preserve">significance was calculated using </w:t>
      </w:r>
      <w:r w:rsidR="00DF7926">
        <w:t xml:space="preserve">the </w:t>
      </w:r>
      <w:r w:rsidR="00DF7926" w:rsidRPr="00FB2D26">
        <w:t xml:space="preserve">Mann-Whitney test. </w:t>
      </w:r>
      <w:r w:rsidR="00DF7926">
        <w:t xml:space="preserve">****p&lt;0.0001. AU, arbitrary units. </w:t>
      </w:r>
      <w:r w:rsidR="00DF7926" w:rsidRPr="00CB2850">
        <w:rPr>
          <w:b/>
        </w:rPr>
        <w:t>(F)</w:t>
      </w:r>
      <w:r w:rsidR="00DF7926">
        <w:t xml:space="preserve"> </w:t>
      </w:r>
      <w:r w:rsidR="00DF7926" w:rsidRPr="00FB2D26">
        <w:t xml:space="preserve">Multiplex immunofluorescence image representing one field-of-view (FOV), showing the expression of </w:t>
      </w:r>
      <w:r w:rsidR="00DF7926">
        <w:t>HLA I</w:t>
      </w:r>
      <w:r w:rsidR="00DF7926" w:rsidRPr="00FB2D26">
        <w:t xml:space="preserve"> (</w:t>
      </w:r>
      <w:r w:rsidR="00DF7926">
        <w:t>red</w:t>
      </w:r>
      <w:r w:rsidR="00DF7926" w:rsidRPr="00FB2D26">
        <w:t xml:space="preserve">) specifically in the tumor compartment represented by cytokeratin positive epithelial cells (green) and nuclear staining with </w:t>
      </w:r>
      <w:r w:rsidR="00DF7926">
        <w:t>DAPI</w:t>
      </w:r>
      <w:r w:rsidR="00DF7926" w:rsidRPr="00FB2D26">
        <w:t xml:space="preserve"> (blue) respectively.</w:t>
      </w:r>
      <w:r w:rsidRPr="00FB2D26">
        <w:t xml:space="preserve"> </w:t>
      </w:r>
      <w:r w:rsidRPr="00146BFA">
        <w:rPr>
          <w:b/>
        </w:rPr>
        <w:t>(C-D)</w:t>
      </w:r>
      <w:r w:rsidRPr="00146BFA">
        <w:t xml:space="preserve"> </w:t>
      </w:r>
      <w:r w:rsidR="00683B8C">
        <w:t>Bar graphs showing the l</w:t>
      </w:r>
      <w:r w:rsidRPr="00FB2D26">
        <w:t xml:space="preserve">evels of </w:t>
      </w:r>
      <w:r>
        <w:t>B2M</w:t>
      </w:r>
      <w:r w:rsidRPr="00FB2D26">
        <w:t xml:space="preserve"> and </w:t>
      </w:r>
      <w:r w:rsidR="00683B8C">
        <w:t>HLA I</w:t>
      </w:r>
      <w:r w:rsidRPr="00FB2D26">
        <w:t xml:space="preserve"> </w:t>
      </w:r>
      <w:r>
        <w:t xml:space="preserve">in </w:t>
      </w:r>
      <w:r w:rsidR="00683B8C">
        <w:t xml:space="preserve">the </w:t>
      </w:r>
      <w:r>
        <w:t>stromal compartment of whole tumor sections from</w:t>
      </w:r>
      <w:r w:rsidRPr="00FB2D26">
        <w:t xml:space="preserve"> </w:t>
      </w:r>
      <w:r>
        <w:t>pre-immunotherapy and immunotherapy resistant samples</w:t>
      </w:r>
      <w:r w:rsidRPr="00FB2D26">
        <w:t xml:space="preserve"> </w:t>
      </w:r>
      <w:r w:rsidR="00683B8C">
        <w:t xml:space="preserve">from case #23 </w:t>
      </w:r>
      <w:r w:rsidRPr="00FB2D26">
        <w:t xml:space="preserve">as quantified using the AQUA® software. </w:t>
      </w:r>
      <w:r>
        <w:t xml:space="preserve"> </w:t>
      </w:r>
      <w:r w:rsidRPr="00FB2D26">
        <w:t xml:space="preserve">Numbers in the individual bars represent total FOVs analyzed. Statistical significance was calculated using Mann-Whitney test. </w:t>
      </w:r>
      <w:r w:rsidR="00683B8C">
        <w:t>****p&lt;0.0001. AU, arbitrary units.</w:t>
      </w:r>
    </w:p>
    <w:p w14:paraId="475A0729" w14:textId="3A186BAB" w:rsidR="00C41158" w:rsidRDefault="00C41158" w:rsidP="00C41158">
      <w:pPr>
        <w:spacing w:after="0" w:line="480" w:lineRule="auto"/>
        <w:jc w:val="both"/>
        <w:rPr>
          <w:b/>
        </w:rPr>
      </w:pPr>
      <w:r>
        <w:rPr>
          <w:b/>
        </w:rPr>
        <w:t xml:space="preserve">Supplementary Figure </w:t>
      </w:r>
      <w:r w:rsidR="00D25604">
        <w:rPr>
          <w:b/>
        </w:rPr>
        <w:t>S</w:t>
      </w:r>
      <w:r>
        <w:rPr>
          <w:b/>
        </w:rPr>
        <w:t>5. Effect of IFN</w:t>
      </w:r>
      <w:r w:rsidRPr="00695282">
        <w:rPr>
          <w:rFonts w:ascii="Symbol" w:hAnsi="Symbol"/>
          <w:b/>
        </w:rPr>
        <w:t></w:t>
      </w:r>
      <w:r>
        <w:rPr>
          <w:b/>
        </w:rPr>
        <w:t xml:space="preserve"> induction on ICI-resistant PDXs. </w:t>
      </w:r>
      <w:r w:rsidRPr="00EF39E9">
        <w:t>Western blot analysis of</w:t>
      </w:r>
      <w:r>
        <w:rPr>
          <w:b/>
        </w:rPr>
        <w:t xml:space="preserve"> </w:t>
      </w:r>
      <w:r w:rsidRPr="00CA10EC">
        <w:t>PDX</w:t>
      </w:r>
      <w:r>
        <w:t>s</w:t>
      </w:r>
      <w:r w:rsidRPr="00CA10EC">
        <w:t xml:space="preserve"> generated</w:t>
      </w:r>
      <w:r>
        <w:t xml:space="preserve"> from cases #23, #26, #8 and #7 at the time of resistance to ICIs following intratumoral injection of either PBS or IFN</w:t>
      </w:r>
      <w:r w:rsidRPr="00D607DC">
        <w:rPr>
          <w:rFonts w:ascii="Symbol" w:hAnsi="Symbol"/>
        </w:rPr>
        <w:t></w:t>
      </w:r>
      <w:r>
        <w:t xml:space="preserve"> showing the levels of phosphorylated STAT1 and total B2M in the presence or in the absence of IFN-</w:t>
      </w:r>
      <w:r w:rsidRPr="00D607DC">
        <w:rPr>
          <w:rFonts w:ascii="Symbol" w:hAnsi="Symbol"/>
        </w:rPr>
        <w:t></w:t>
      </w:r>
      <w:r>
        <w:rPr>
          <w:rFonts w:ascii="Symbol" w:hAnsi="Symbol"/>
        </w:rPr>
        <w:t></w:t>
      </w:r>
      <w:r>
        <w:t xml:space="preserve"> Each lane of the western blot represents an independent mouse tumor used for these studies. </w:t>
      </w:r>
    </w:p>
    <w:p w14:paraId="63D17DF8" w14:textId="77777777" w:rsidR="00C41158" w:rsidRDefault="00C41158" w:rsidP="00C41158">
      <w:pPr>
        <w:spacing w:after="0" w:line="480" w:lineRule="auto"/>
        <w:rPr>
          <w:b/>
        </w:rPr>
      </w:pPr>
      <w:r>
        <w:rPr>
          <w:b/>
        </w:rPr>
        <w:t xml:space="preserve"> </w:t>
      </w:r>
    </w:p>
    <w:p w14:paraId="76DA7745" w14:textId="55E74CD2" w:rsidR="00C41158" w:rsidRDefault="00C41158" w:rsidP="00C41158">
      <w:pPr>
        <w:spacing w:line="480" w:lineRule="auto"/>
        <w:jc w:val="both"/>
      </w:pPr>
      <w:r w:rsidRPr="00DC6C66">
        <w:rPr>
          <w:b/>
        </w:rPr>
        <w:t xml:space="preserve">Supplementary Figure </w:t>
      </w:r>
      <w:r w:rsidR="00D25604">
        <w:rPr>
          <w:b/>
        </w:rPr>
        <w:t>S</w:t>
      </w:r>
      <w:r>
        <w:rPr>
          <w:b/>
        </w:rPr>
        <w:t>6</w:t>
      </w:r>
      <w:r w:rsidRPr="00DC6C66">
        <w:rPr>
          <w:b/>
        </w:rPr>
        <w:t xml:space="preserve">. Levels of </w:t>
      </w:r>
      <w:r w:rsidR="00087294">
        <w:rPr>
          <w:b/>
        </w:rPr>
        <w:t>HLA</w:t>
      </w:r>
      <w:r w:rsidR="008A6634">
        <w:rPr>
          <w:b/>
        </w:rPr>
        <w:t xml:space="preserve"> </w:t>
      </w:r>
      <w:r>
        <w:rPr>
          <w:b/>
        </w:rPr>
        <w:t xml:space="preserve">I and </w:t>
      </w:r>
      <w:r w:rsidRPr="00DC6C66">
        <w:rPr>
          <w:b/>
        </w:rPr>
        <w:t>B2M measured using quantitative immunofluorescence in paired pre</w:t>
      </w:r>
      <w:r>
        <w:rPr>
          <w:b/>
        </w:rPr>
        <w:t>-</w:t>
      </w:r>
      <w:r w:rsidRPr="00DC6C66">
        <w:rPr>
          <w:b/>
        </w:rPr>
        <w:t>immunotherapy tumor</w:t>
      </w:r>
      <w:r>
        <w:rPr>
          <w:b/>
        </w:rPr>
        <w:t xml:space="preserve"> and immunotherapy resistant</w:t>
      </w:r>
      <w:r w:rsidRPr="00DC6C66">
        <w:rPr>
          <w:b/>
        </w:rPr>
        <w:t xml:space="preserve"> samples.</w:t>
      </w:r>
      <w:r w:rsidRPr="00144054">
        <w:t xml:space="preserve"> </w:t>
      </w:r>
      <w:r>
        <w:t>Levels of</w:t>
      </w:r>
      <w:r w:rsidR="00087294">
        <w:t xml:space="preserve"> HLA</w:t>
      </w:r>
      <w:r w:rsidR="008A6634">
        <w:t xml:space="preserve"> </w:t>
      </w:r>
      <w:r>
        <w:t>I and B2M</w:t>
      </w:r>
      <w:r w:rsidRPr="00FB2D26">
        <w:t xml:space="preserve"> </w:t>
      </w:r>
      <w:r>
        <w:t>in whole tumor sections from</w:t>
      </w:r>
      <w:r w:rsidRPr="00FB2D26">
        <w:t xml:space="preserve"> </w:t>
      </w:r>
      <w:r>
        <w:t>pre-immunotherapy and immunotherapy resistant samples</w:t>
      </w:r>
      <w:r w:rsidRPr="00FB2D26">
        <w:t xml:space="preserve"> as quantified using the AQUA® software. Numbers in the indi</w:t>
      </w:r>
      <w:r>
        <w:t>vidual bars represent total fields of view</w:t>
      </w:r>
      <w:r w:rsidRPr="00FB2D26">
        <w:t xml:space="preserve"> analyzed. </w:t>
      </w:r>
      <w:r w:rsidRPr="00144054">
        <w:t>Statistical significance was calculated using</w:t>
      </w:r>
      <w:r>
        <w:t xml:space="preserve"> the</w:t>
      </w:r>
      <w:r w:rsidRPr="00144054">
        <w:t xml:space="preserve"> Mann-Whitney test. P</w:t>
      </w:r>
      <w:r>
        <w:t>1</w:t>
      </w:r>
      <w:r w:rsidRPr="00144054">
        <w:t xml:space="preserve">- pre-immunotherapy and </w:t>
      </w:r>
      <w:r>
        <w:t>I</w:t>
      </w:r>
      <w:r w:rsidRPr="00144054">
        <w:t>R-immunotherapy</w:t>
      </w:r>
      <w:r>
        <w:t xml:space="preserve"> resistant</w:t>
      </w:r>
      <w:r w:rsidRPr="00144054">
        <w:t>.</w:t>
      </w:r>
      <w:r>
        <w:t xml:space="preserve"> ****p&lt;0.0001, *p&lt;0.05.</w:t>
      </w:r>
    </w:p>
    <w:p w14:paraId="361E8CA6" w14:textId="77777777" w:rsidR="00C41158" w:rsidRPr="007248C9" w:rsidRDefault="00C41158" w:rsidP="00C41158">
      <w:pPr>
        <w:spacing w:line="480" w:lineRule="auto"/>
        <w:jc w:val="both"/>
      </w:pPr>
    </w:p>
    <w:p w14:paraId="4D069C70" w14:textId="257AFBFE" w:rsidR="00C41158" w:rsidRPr="00A030AB" w:rsidRDefault="00C41158" w:rsidP="00C41158">
      <w:pPr>
        <w:spacing w:after="0" w:line="480" w:lineRule="auto"/>
        <w:jc w:val="both"/>
        <w:rPr>
          <w:color w:val="000000" w:themeColor="text1"/>
        </w:rPr>
      </w:pPr>
      <w:r>
        <w:rPr>
          <w:b/>
        </w:rPr>
        <w:t xml:space="preserve">Supplementary Figure </w:t>
      </w:r>
      <w:r w:rsidR="00D25604">
        <w:rPr>
          <w:b/>
        </w:rPr>
        <w:t>S</w:t>
      </w:r>
      <w:r>
        <w:rPr>
          <w:b/>
        </w:rPr>
        <w:t xml:space="preserve">7. </w:t>
      </w:r>
      <w:r w:rsidRPr="00FF3503">
        <w:rPr>
          <w:b/>
        </w:rPr>
        <w:t xml:space="preserve">The genomic landscape </w:t>
      </w:r>
      <w:r>
        <w:rPr>
          <w:b/>
        </w:rPr>
        <w:t>of</w:t>
      </w:r>
      <w:r w:rsidRPr="00FF3503">
        <w:rPr>
          <w:b/>
        </w:rPr>
        <w:t xml:space="preserve"> </w:t>
      </w:r>
      <w:r>
        <w:rPr>
          <w:b/>
        </w:rPr>
        <w:t xml:space="preserve">interferon pathway genes.  </w:t>
      </w:r>
      <w:r>
        <w:t xml:space="preserve">Oncoprint generated from whole exome sequencing data. Mutated IFN genes are listed vertically in order of frequency of somatic single nucleotide mutations or copy number alterations. A case with a hypermutator phenotype (#17) sample was excluded from this analysis. Only genes with genetic alterations are shown. </w:t>
      </w:r>
      <w:r w:rsidRPr="00A030AB">
        <w:rPr>
          <w:color w:val="000000" w:themeColor="text1"/>
        </w:rPr>
        <w:t>*</w:t>
      </w:r>
      <w:r w:rsidRPr="00A030AB">
        <w:rPr>
          <w:rFonts w:ascii="Calibri" w:hAnsi="Calibri" w:cs="Calibri"/>
          <w:color w:val="000000" w:themeColor="text1"/>
        </w:rPr>
        <w:t>Of note, sample 26IR1 was collected from a site (adrenal metastasis) that responded to a short course of</w:t>
      </w:r>
      <w:r>
        <w:rPr>
          <w:rFonts w:ascii="Calibri" w:hAnsi="Calibri" w:cs="Calibri"/>
          <w:color w:val="000000" w:themeColor="text1"/>
        </w:rPr>
        <w:t xml:space="preserve"> ICI, but progressed during a 2-</w:t>
      </w:r>
      <w:r w:rsidRPr="00A030AB">
        <w:rPr>
          <w:rFonts w:ascii="Calibri" w:hAnsi="Calibri" w:cs="Calibri"/>
          <w:color w:val="000000" w:themeColor="text1"/>
        </w:rPr>
        <w:t xml:space="preserve">month delay of treatment when steroids were administered for cerebral edema associated with new intracranial disease (sample 26IR3) and pneumonitis. This site </w:t>
      </w:r>
      <w:r>
        <w:rPr>
          <w:rFonts w:ascii="Calibri" w:hAnsi="Calibri" w:cs="Calibri"/>
          <w:color w:val="000000" w:themeColor="text1"/>
        </w:rPr>
        <w:t>subsequently regressed with re-</w:t>
      </w:r>
      <w:r w:rsidRPr="00A030AB">
        <w:rPr>
          <w:rFonts w:ascii="Calibri" w:hAnsi="Calibri" w:cs="Calibri"/>
          <w:color w:val="000000" w:themeColor="text1"/>
        </w:rPr>
        <w:t>introduction of ICI</w:t>
      </w:r>
      <w:r>
        <w:rPr>
          <w:rFonts w:ascii="Calibri" w:hAnsi="Calibri" w:cs="Calibri"/>
          <w:color w:val="000000" w:themeColor="text1"/>
        </w:rPr>
        <w:t>.</w:t>
      </w:r>
    </w:p>
    <w:p w14:paraId="11AC5041" w14:textId="77777777" w:rsidR="00C41158" w:rsidRDefault="00C41158" w:rsidP="00C41158">
      <w:pPr>
        <w:spacing w:after="0" w:line="480" w:lineRule="auto"/>
        <w:rPr>
          <w:b/>
        </w:rPr>
      </w:pPr>
    </w:p>
    <w:p w14:paraId="1A8F7FBE" w14:textId="77777777" w:rsidR="00C41158" w:rsidRDefault="00C41158" w:rsidP="00C41158">
      <w:pPr>
        <w:spacing w:after="0" w:line="480" w:lineRule="auto"/>
        <w:rPr>
          <w:b/>
        </w:rPr>
      </w:pPr>
    </w:p>
    <w:p w14:paraId="0E24635C" w14:textId="7A2201BB" w:rsidR="00C41158" w:rsidRDefault="00C41158" w:rsidP="00C41158">
      <w:pPr>
        <w:spacing w:line="480" w:lineRule="auto"/>
        <w:jc w:val="both"/>
      </w:pPr>
      <w:r>
        <w:rPr>
          <w:b/>
        </w:rPr>
        <w:t xml:space="preserve">Supplementary Figure </w:t>
      </w:r>
      <w:r w:rsidR="00D25604">
        <w:rPr>
          <w:b/>
        </w:rPr>
        <w:t>S</w:t>
      </w:r>
      <w:bookmarkStart w:id="0" w:name="_GoBack"/>
      <w:bookmarkEnd w:id="0"/>
      <w:r>
        <w:rPr>
          <w:b/>
        </w:rPr>
        <w:t xml:space="preserve">8. </w:t>
      </w:r>
      <w:r w:rsidRPr="00617355">
        <w:rPr>
          <w:b/>
        </w:rPr>
        <w:t>Quantitative immunofluorescence analysis showing the levels of the immune inhibitory molecule TIM-3 in paired pre-immunotherapy</w:t>
      </w:r>
      <w:r>
        <w:rPr>
          <w:b/>
        </w:rPr>
        <w:t xml:space="preserve"> and immunotherapy resistant</w:t>
      </w:r>
      <w:r w:rsidRPr="00617355">
        <w:rPr>
          <w:b/>
        </w:rPr>
        <w:t xml:space="preserve"> tumor samples.</w:t>
      </w:r>
      <w:r w:rsidRPr="0028660F">
        <w:t xml:space="preserve"> Numbers in the individual bars represent total </w:t>
      </w:r>
      <w:r>
        <w:t>fields of view</w:t>
      </w:r>
      <w:r w:rsidRPr="0028660F">
        <w:t xml:space="preserve"> analyzed. Statistical significance was calculated using Mann-Whitney test. P</w:t>
      </w:r>
      <w:r>
        <w:t>1</w:t>
      </w:r>
      <w:r w:rsidRPr="0028660F">
        <w:t>- pre-immunotherapy</w:t>
      </w:r>
      <w:r>
        <w:t xml:space="preserve"> </w:t>
      </w:r>
      <w:r w:rsidRPr="0028660F">
        <w:t xml:space="preserve">and </w:t>
      </w:r>
      <w:r>
        <w:t>IR- immunotherapy resistant. ****p&lt;0.0001, ***p&lt;0.001 **p&lt;0.01, *p&lt;0.05.</w:t>
      </w:r>
    </w:p>
    <w:p w14:paraId="250470E7" w14:textId="77777777" w:rsidR="00C41158" w:rsidRDefault="00C41158" w:rsidP="00C41158">
      <w:pPr>
        <w:spacing w:line="480" w:lineRule="auto"/>
        <w:jc w:val="both"/>
      </w:pPr>
    </w:p>
    <w:p w14:paraId="366C1567" w14:textId="77777777" w:rsidR="00BB14A9" w:rsidRDefault="00BB14A9"/>
    <w:sectPr w:rsidR="00BB14A9" w:rsidSect="00B8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8"/>
    <w:rsid w:val="00087294"/>
    <w:rsid w:val="0009250C"/>
    <w:rsid w:val="000D69E9"/>
    <w:rsid w:val="00112F4A"/>
    <w:rsid w:val="001820D2"/>
    <w:rsid w:val="00235682"/>
    <w:rsid w:val="00294096"/>
    <w:rsid w:val="002B2AEE"/>
    <w:rsid w:val="003408C5"/>
    <w:rsid w:val="003F014A"/>
    <w:rsid w:val="004350F4"/>
    <w:rsid w:val="004F36DA"/>
    <w:rsid w:val="00507FE4"/>
    <w:rsid w:val="005D390D"/>
    <w:rsid w:val="00683B8C"/>
    <w:rsid w:val="006D410D"/>
    <w:rsid w:val="007736DF"/>
    <w:rsid w:val="0078287B"/>
    <w:rsid w:val="007E3D1E"/>
    <w:rsid w:val="008A6634"/>
    <w:rsid w:val="00920DF2"/>
    <w:rsid w:val="009761D3"/>
    <w:rsid w:val="00B46CBE"/>
    <w:rsid w:val="00B84530"/>
    <w:rsid w:val="00BB14A9"/>
    <w:rsid w:val="00C20DE2"/>
    <w:rsid w:val="00C41158"/>
    <w:rsid w:val="00C71620"/>
    <w:rsid w:val="00C87836"/>
    <w:rsid w:val="00D25604"/>
    <w:rsid w:val="00D3253F"/>
    <w:rsid w:val="00DC6A05"/>
    <w:rsid w:val="00DF7926"/>
    <w:rsid w:val="00F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13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695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Politi, Katerina</dc:creator>
  <cp:keywords/>
  <dc:description/>
  <cp:lastModifiedBy>Politi, Katerina</cp:lastModifiedBy>
  <cp:revision>11</cp:revision>
  <dcterms:created xsi:type="dcterms:W3CDTF">2017-08-07T21:11:00Z</dcterms:created>
  <dcterms:modified xsi:type="dcterms:W3CDTF">2017-08-25T11:07:00Z</dcterms:modified>
</cp:coreProperties>
</file>