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11409" w14:textId="77777777" w:rsidR="00690F55" w:rsidRDefault="00747D16" w:rsidP="00690F55">
      <w:r w:rsidRPr="00BA555D">
        <w:rPr>
          <w:b/>
        </w:rPr>
        <w:t>Supplementary Methods</w:t>
      </w:r>
      <w:r>
        <w:t>:</w:t>
      </w:r>
    </w:p>
    <w:p w14:paraId="2C3265BA" w14:textId="1DC392AD" w:rsidR="00366FEE" w:rsidRPr="00690F55" w:rsidRDefault="00BA555D" w:rsidP="003146C0">
      <w:pPr>
        <w:pStyle w:val="Paragraphedeliste"/>
        <w:numPr>
          <w:ilvl w:val="0"/>
          <w:numId w:val="8"/>
        </w:numPr>
      </w:pPr>
      <w:r w:rsidRPr="003146C0">
        <w:rPr>
          <w:b/>
        </w:rPr>
        <w:t>MAPPYACTS i</w:t>
      </w:r>
      <w:r w:rsidR="00747D16" w:rsidRPr="003146C0">
        <w:rPr>
          <w:b/>
        </w:rPr>
        <w:t>n</w:t>
      </w:r>
      <w:r w:rsidRPr="003146C0">
        <w:rPr>
          <w:b/>
        </w:rPr>
        <w:t>clusion/e</w:t>
      </w:r>
      <w:r w:rsidR="00747D16" w:rsidRPr="003146C0">
        <w:rPr>
          <w:b/>
        </w:rPr>
        <w:t>xclusion criteria</w:t>
      </w:r>
      <w:r w:rsidR="0042585D">
        <w:rPr>
          <w:b/>
        </w:rPr>
        <w:t xml:space="preserve"> (protocol V.4.0)</w:t>
      </w:r>
    </w:p>
    <w:p w14:paraId="247555F5" w14:textId="77777777" w:rsidR="00BA555D" w:rsidRDefault="00BA555D" w:rsidP="00BA555D">
      <w:r>
        <w:t>Inclusion criteria:</w:t>
      </w:r>
    </w:p>
    <w:p w14:paraId="446F531F" w14:textId="77777777" w:rsidR="00BA555D" w:rsidRDefault="00BA555D" w:rsidP="00BA555D">
      <w:pPr>
        <w:pStyle w:val="Paragraphedeliste"/>
        <w:numPr>
          <w:ilvl w:val="0"/>
          <w:numId w:val="4"/>
        </w:numPr>
      </w:pPr>
      <w:r>
        <w:t xml:space="preserve">Written informed consent signed by the patient, or parents or legal representative and assent of the minor child to perform biopsy/surgery and molecular analysis of the </w:t>
      </w:r>
      <w:proofErr w:type="spellStart"/>
      <w:r>
        <w:t>tumor</w:t>
      </w:r>
      <w:proofErr w:type="spellEnd"/>
      <w:r>
        <w:t xml:space="preserve"> and blood sample</w:t>
      </w:r>
    </w:p>
    <w:p w14:paraId="7DD4B229" w14:textId="77777777" w:rsidR="00BA555D" w:rsidRDefault="00BA555D" w:rsidP="00BA555D">
      <w:pPr>
        <w:pStyle w:val="Paragraphedeliste"/>
        <w:numPr>
          <w:ilvl w:val="0"/>
          <w:numId w:val="4"/>
        </w:numPr>
      </w:pPr>
      <w:r>
        <w:t xml:space="preserve">Patient with confirmed solid </w:t>
      </w:r>
      <w:proofErr w:type="spellStart"/>
      <w:r>
        <w:t>tumor</w:t>
      </w:r>
      <w:proofErr w:type="spellEnd"/>
      <w:r>
        <w:t xml:space="preserve"> or </w:t>
      </w:r>
      <w:proofErr w:type="spellStart"/>
      <w:r>
        <w:t>leukemia</w:t>
      </w:r>
      <w:proofErr w:type="spellEnd"/>
      <w:r>
        <w:t xml:space="preserve"> which is recurrent or refractory to standard treatment and who is eligible for an early phase clinical trial</w:t>
      </w:r>
    </w:p>
    <w:p w14:paraId="63C3D04B" w14:textId="77777777" w:rsidR="00BA555D" w:rsidRDefault="00BA555D" w:rsidP="00BA555D">
      <w:pPr>
        <w:pStyle w:val="Paragraphedeliste"/>
        <w:numPr>
          <w:ilvl w:val="0"/>
          <w:numId w:val="4"/>
        </w:numPr>
      </w:pPr>
      <w:r>
        <w:t xml:space="preserve">In case of solid </w:t>
      </w:r>
      <w:proofErr w:type="spellStart"/>
      <w:r>
        <w:t>tumor</w:t>
      </w:r>
      <w:proofErr w:type="spellEnd"/>
      <w:r>
        <w:t>, lesion must be accessible for biopsy or surgical resection or cytological puncture</w:t>
      </w:r>
    </w:p>
    <w:p w14:paraId="6A1AC1C2" w14:textId="3D92548C" w:rsidR="00BA555D" w:rsidRDefault="00BA555D" w:rsidP="00BA555D">
      <w:pPr>
        <w:pStyle w:val="Paragraphedeliste"/>
        <w:numPr>
          <w:ilvl w:val="0"/>
          <w:numId w:val="4"/>
        </w:numPr>
      </w:pPr>
      <w:r>
        <w:t>Age: Patients aged ≥ 6 months at time of inclusion and aged ≤ 18 years at the time of initial diagnosis</w:t>
      </w:r>
    </w:p>
    <w:p w14:paraId="1F881AA0" w14:textId="77777777" w:rsidR="00BA555D" w:rsidRDefault="00BA555D" w:rsidP="00BA555D">
      <w:pPr>
        <w:pStyle w:val="Paragraphedeliste"/>
        <w:numPr>
          <w:ilvl w:val="0"/>
          <w:numId w:val="4"/>
        </w:numPr>
      </w:pPr>
      <w:r>
        <w:t xml:space="preserve">Performance status and life expectancy that allows treatment in an experimental trial: </w:t>
      </w:r>
      <w:proofErr w:type="spellStart"/>
      <w:r>
        <w:t>Karnofsky</w:t>
      </w:r>
      <w:proofErr w:type="spellEnd"/>
      <w:r>
        <w:t xml:space="preserve"> performance status scale ≥ 70% for patients &gt; 12 years of age, Lansky play scale ≥ 70% for patients ≤ 12 years of age</w:t>
      </w:r>
    </w:p>
    <w:p w14:paraId="43723C39" w14:textId="77777777" w:rsidR="00BA555D" w:rsidRDefault="00BA555D" w:rsidP="00BA555D">
      <w:pPr>
        <w:pStyle w:val="Paragraphedeliste"/>
        <w:numPr>
          <w:ilvl w:val="0"/>
          <w:numId w:val="4"/>
        </w:numPr>
      </w:pPr>
      <w:r>
        <w:t>Adequate organ function:</w:t>
      </w:r>
    </w:p>
    <w:p w14:paraId="107D3738" w14:textId="77777777" w:rsidR="00BA555D" w:rsidRDefault="00BA555D" w:rsidP="00BA555D">
      <w:pPr>
        <w:pStyle w:val="Paragraphedeliste"/>
        <w:numPr>
          <w:ilvl w:val="0"/>
          <w:numId w:val="5"/>
        </w:numPr>
      </w:pPr>
      <w:r>
        <w:t xml:space="preserve">Adequate hematopoietic function for patients with solid </w:t>
      </w:r>
      <w:proofErr w:type="spellStart"/>
      <w:r>
        <w:t>tumor</w:t>
      </w:r>
      <w:proofErr w:type="spellEnd"/>
      <w:r>
        <w:t xml:space="preserve"> (</w:t>
      </w:r>
      <w:proofErr w:type="spellStart"/>
      <w:r>
        <w:t>leukemia</w:t>
      </w:r>
      <w:proofErr w:type="spellEnd"/>
      <w:r>
        <w:t xml:space="preserve"> patients are excluded from </w:t>
      </w:r>
      <w:proofErr w:type="spellStart"/>
      <w:r>
        <w:t>hematological</w:t>
      </w:r>
      <w:proofErr w:type="spellEnd"/>
      <w:r>
        <w:t xml:space="preserve"> criteria): Haemoglobin &gt;80 g/l (transfusion allowed), Neutrophils&gt;1.0x109/l, Platelets &gt;100 x 109/l. In case of bone marrow involvement: Neutrophils ≥ 0.75 x 109/l (unsupported), Platelet count ≥ 75 x 109/l (unsupported)</w:t>
      </w:r>
    </w:p>
    <w:p w14:paraId="2EBC1106" w14:textId="77777777" w:rsidR="00BA555D" w:rsidRDefault="00BA555D" w:rsidP="00BA555D">
      <w:pPr>
        <w:pStyle w:val="Paragraphedeliste"/>
        <w:numPr>
          <w:ilvl w:val="0"/>
          <w:numId w:val="5"/>
        </w:numPr>
      </w:pPr>
      <w:r>
        <w:t xml:space="preserve">Adequate hepatic function: ALAT/ASAT &lt;2.5 x ULN, Bilirubin ≤1.5 x ULN (in case of </w:t>
      </w:r>
      <w:proofErr w:type="spellStart"/>
      <w:r>
        <w:t>tumor</w:t>
      </w:r>
      <w:proofErr w:type="spellEnd"/>
      <w:r>
        <w:t xml:space="preserve"> involvement of the liver ALAT/ASAT &lt;5 x ULN)</w:t>
      </w:r>
    </w:p>
    <w:p w14:paraId="7FE5D710" w14:textId="77777777" w:rsidR="00BA555D" w:rsidRDefault="00BA555D" w:rsidP="00BA555D">
      <w:pPr>
        <w:pStyle w:val="Paragraphedeliste"/>
        <w:numPr>
          <w:ilvl w:val="0"/>
          <w:numId w:val="5"/>
        </w:numPr>
      </w:pPr>
      <w:r>
        <w:t xml:space="preserve">Adequate renal function: serum </w:t>
      </w:r>
      <w:proofErr w:type="spellStart"/>
      <w:r>
        <w:t>creatinemia</w:t>
      </w:r>
      <w:proofErr w:type="spellEnd"/>
      <w:r>
        <w:t xml:space="preserve"> &lt;1.5 x ULN for age. In case serum creatinine &gt;1.5 ULN according to age, creatinine clearance has to be &gt;70mL/mL/1.73 m2 or glomerular filtration rate measurement &gt;70% of the expected value</w:t>
      </w:r>
    </w:p>
    <w:p w14:paraId="2F787062" w14:textId="77777777" w:rsidR="00BA555D" w:rsidRDefault="00BA555D" w:rsidP="00BA555D">
      <w:pPr>
        <w:pStyle w:val="Paragraphedeliste"/>
        <w:numPr>
          <w:ilvl w:val="0"/>
          <w:numId w:val="4"/>
        </w:numPr>
      </w:pPr>
      <w:r>
        <w:t>Patients affiliated to a Social Security Regimen or beneficiary of the same as per local regulatory requirements</w:t>
      </w:r>
    </w:p>
    <w:p w14:paraId="3A7C24E9" w14:textId="77777777" w:rsidR="00BA555D" w:rsidRDefault="00BA555D" w:rsidP="00BA555D">
      <w:r>
        <w:t>Exclusion criteria:</w:t>
      </w:r>
    </w:p>
    <w:p w14:paraId="47A0D928" w14:textId="77777777" w:rsidR="00BA555D" w:rsidRDefault="00BA555D" w:rsidP="00BA555D">
      <w:pPr>
        <w:pStyle w:val="Paragraphedeliste"/>
        <w:numPr>
          <w:ilvl w:val="0"/>
          <w:numId w:val="6"/>
        </w:numPr>
      </w:pPr>
      <w:r>
        <w:t>Life expectancy ≤ 3 months</w:t>
      </w:r>
    </w:p>
    <w:p w14:paraId="00B7BD8F" w14:textId="77777777" w:rsidR="00BA555D" w:rsidRDefault="00BA555D" w:rsidP="00BA555D">
      <w:pPr>
        <w:pStyle w:val="Paragraphedeliste"/>
        <w:numPr>
          <w:ilvl w:val="0"/>
          <w:numId w:val="6"/>
        </w:numPr>
      </w:pPr>
      <w:r>
        <w:t>Symptomatic metastatic CNS disease</w:t>
      </w:r>
    </w:p>
    <w:p w14:paraId="23EFCB40" w14:textId="77777777" w:rsidR="00BA555D" w:rsidRDefault="00BA555D" w:rsidP="00BA555D">
      <w:pPr>
        <w:pStyle w:val="Paragraphedeliste"/>
        <w:numPr>
          <w:ilvl w:val="0"/>
          <w:numId w:val="6"/>
        </w:numPr>
      </w:pPr>
      <w:r>
        <w:t>Coagulation disorder that prevents the accomplishment of a biopsy or surgery</w:t>
      </w:r>
    </w:p>
    <w:p w14:paraId="415527D9" w14:textId="77777777" w:rsidR="00BA555D" w:rsidRDefault="00BA555D" w:rsidP="00BA555D">
      <w:pPr>
        <w:pStyle w:val="Paragraphedeliste"/>
        <w:numPr>
          <w:ilvl w:val="0"/>
          <w:numId w:val="6"/>
        </w:numPr>
      </w:pPr>
      <w:r>
        <w:t>Uncontrolled infections not responsive to antibiotics, antiviral medicines, or antifungal medicines</w:t>
      </w:r>
    </w:p>
    <w:p w14:paraId="7AE68DC0" w14:textId="77777777" w:rsidR="00BA555D" w:rsidRDefault="00BA555D" w:rsidP="00BA555D">
      <w:pPr>
        <w:pStyle w:val="Paragraphedeliste"/>
        <w:numPr>
          <w:ilvl w:val="0"/>
          <w:numId w:val="6"/>
        </w:numPr>
      </w:pPr>
      <w:r>
        <w:t>Presence of ≥ CTCAE grade 2 toxicity (except alopecia, ototoxicity, lymphopenia which are not excluded if grade 3 or less) due to prior cancer therapy</w:t>
      </w:r>
    </w:p>
    <w:p w14:paraId="79D90611" w14:textId="77777777" w:rsidR="00BA555D" w:rsidRDefault="00BA555D" w:rsidP="00BA555D">
      <w:pPr>
        <w:pStyle w:val="Paragraphedeliste"/>
        <w:numPr>
          <w:ilvl w:val="0"/>
          <w:numId w:val="6"/>
        </w:numPr>
      </w:pPr>
      <w:r>
        <w:t>Malignant disease other than being treated in this study. Exceptions to this exclusion include the following: malignancies that were treated curatively and have not recurred within 3 years prior to study entry</w:t>
      </w:r>
    </w:p>
    <w:p w14:paraId="15CABC2E" w14:textId="77777777" w:rsidR="00BA555D" w:rsidRDefault="00BA555D" w:rsidP="00BA555D">
      <w:pPr>
        <w:pStyle w:val="Paragraphedeliste"/>
        <w:numPr>
          <w:ilvl w:val="0"/>
          <w:numId w:val="6"/>
        </w:numPr>
      </w:pPr>
      <w:r>
        <w:t>Any concurrent illness or laboratory abnormality that in opinion of investigator may interfere with the interpretation of study results, may suppose a risk for the realization of biopsy/surgery, and in the judgment of the investigator would make the patient inappropriate for the study</w:t>
      </w:r>
    </w:p>
    <w:p w14:paraId="1DA1E9E2" w14:textId="77777777" w:rsidR="00BA555D" w:rsidRDefault="00BA555D" w:rsidP="00BA555D">
      <w:pPr>
        <w:pStyle w:val="Paragraphedeliste"/>
        <w:numPr>
          <w:ilvl w:val="0"/>
          <w:numId w:val="6"/>
        </w:numPr>
      </w:pPr>
      <w:r>
        <w:lastRenderedPageBreak/>
        <w:t>Evidence of active viral Hepatitis B or C or known diagnosis of human immunodeficiency virus infection</w:t>
      </w:r>
    </w:p>
    <w:p w14:paraId="67964D47" w14:textId="77777777" w:rsidR="00BA555D" w:rsidRDefault="00BA555D" w:rsidP="00BA555D">
      <w:pPr>
        <w:pStyle w:val="Paragraphedeliste"/>
        <w:numPr>
          <w:ilvl w:val="0"/>
          <w:numId w:val="6"/>
        </w:numPr>
      </w:pPr>
      <w:r>
        <w:t xml:space="preserve">In case of </w:t>
      </w:r>
      <w:proofErr w:type="spellStart"/>
      <w:r>
        <w:t>leukemia</w:t>
      </w:r>
      <w:proofErr w:type="spellEnd"/>
      <w:r>
        <w:t>, isolated meningitis relapses are excluded.</w:t>
      </w:r>
    </w:p>
    <w:p w14:paraId="2D21CD1F" w14:textId="28A62764" w:rsidR="00302523" w:rsidRPr="00657209" w:rsidRDefault="00302523" w:rsidP="00302523"/>
    <w:p w14:paraId="6B7F4CCF" w14:textId="145EA327" w:rsidR="00302523" w:rsidRPr="00F0538D" w:rsidRDefault="00302523" w:rsidP="00302523">
      <w:pPr>
        <w:pStyle w:val="Paragraphedeliste"/>
        <w:numPr>
          <w:ilvl w:val="0"/>
          <w:numId w:val="8"/>
        </w:numPr>
        <w:rPr>
          <w:b/>
        </w:rPr>
      </w:pPr>
      <w:proofErr w:type="spellStart"/>
      <w:r w:rsidRPr="00F0538D">
        <w:rPr>
          <w:b/>
        </w:rPr>
        <w:t>RNAseq</w:t>
      </w:r>
      <w:proofErr w:type="spellEnd"/>
      <w:r w:rsidRPr="00F0538D">
        <w:rPr>
          <w:b/>
        </w:rPr>
        <w:t xml:space="preserve"> Analysis </w:t>
      </w:r>
    </w:p>
    <w:p w14:paraId="0DB28CBA" w14:textId="77777777" w:rsidR="00302523" w:rsidRPr="00F0538D" w:rsidRDefault="00302523" w:rsidP="00302523">
      <w:proofErr w:type="spellStart"/>
      <w:r w:rsidRPr="00F0538D">
        <w:t>RNAseq</w:t>
      </w:r>
      <w:proofErr w:type="spellEnd"/>
      <w:r w:rsidRPr="00F0538D">
        <w:t xml:space="preserve"> was performed on total mRNA to </w:t>
      </w:r>
      <w:proofErr w:type="spellStart"/>
      <w:r w:rsidRPr="00F0538D">
        <w:t>analyze</w:t>
      </w:r>
      <w:proofErr w:type="spellEnd"/>
      <w:r w:rsidRPr="00F0538D">
        <w:t xml:space="preserve"> gene expression. Libraries were prepared with </w:t>
      </w:r>
      <w:proofErr w:type="spellStart"/>
      <w:r w:rsidRPr="00F0538D">
        <w:t>TruSeq</w:t>
      </w:r>
      <w:proofErr w:type="spellEnd"/>
      <w:r w:rsidRPr="00F0538D">
        <w:t xml:space="preserve"> mRNA stranded library kits (Illumina, Inc., San Diego, CA, USA). Libraries were sequenced over 2 × 150 </w:t>
      </w:r>
      <w:proofErr w:type="spellStart"/>
      <w:r w:rsidRPr="00F0538D">
        <w:t>bp</w:t>
      </w:r>
      <w:proofErr w:type="spellEnd"/>
      <w:r w:rsidRPr="00F0538D">
        <w:t xml:space="preserve"> with a 500 High Output v2 on NextSeq500 (Illumina, Inc., San Diego, CA, USA). Atropos (v1.1.21) was used to trim adapters from </w:t>
      </w:r>
      <w:proofErr w:type="spellStart"/>
      <w:r w:rsidRPr="00F0538D">
        <w:t>fastq</w:t>
      </w:r>
      <w:proofErr w:type="spellEnd"/>
      <w:r w:rsidRPr="00F0538D">
        <w:t xml:space="preserve"> files. </w:t>
      </w:r>
    </w:p>
    <w:p w14:paraId="0C1F9641" w14:textId="15CD61DD" w:rsidR="00BA555D" w:rsidRDefault="00302523" w:rsidP="00302523">
      <w:r w:rsidRPr="00F0538D">
        <w:t xml:space="preserve">The fusion analysis was performed from </w:t>
      </w:r>
      <w:proofErr w:type="spellStart"/>
      <w:r w:rsidRPr="00F0538D">
        <w:t>fastq</w:t>
      </w:r>
      <w:proofErr w:type="spellEnd"/>
      <w:r w:rsidRPr="00F0538D">
        <w:t xml:space="preserve"> using two complementary approaches. Firstly, a targeted analysis, using an in-house tool designed to search for well-characterized fusion sequences. The second approach is an exploratory analysis based on 5 tools for fusion transcript detection: Defuse V0.6.2, </w:t>
      </w:r>
      <w:proofErr w:type="spellStart"/>
      <w:r w:rsidRPr="00F0538D">
        <w:t>StarFusion</w:t>
      </w:r>
      <w:proofErr w:type="spellEnd"/>
      <w:r w:rsidRPr="00F0538D">
        <w:t xml:space="preserve"> v1.2.0 (STAR v 2.5.4a), Fusion Catcher v1.00, </w:t>
      </w:r>
      <w:proofErr w:type="spellStart"/>
      <w:r w:rsidRPr="00F0538D">
        <w:t>FusionMap</w:t>
      </w:r>
      <w:proofErr w:type="spellEnd"/>
      <w:r w:rsidRPr="00F0538D">
        <w:t xml:space="preserve"> (</w:t>
      </w:r>
      <w:proofErr w:type="spellStart"/>
      <w:r w:rsidRPr="00F0538D">
        <w:t>Oshell</w:t>
      </w:r>
      <w:proofErr w:type="spellEnd"/>
      <w:r w:rsidRPr="00F0538D">
        <w:t xml:space="preserve"> toolkit v10.0.1.50) and ARRIBA v1.2.0. The final fusion results were obtained by combining the results of the two approaches.</w:t>
      </w:r>
    </w:p>
    <w:p w14:paraId="5D96B7A3" w14:textId="77777777" w:rsidR="00302523" w:rsidRPr="007F36B1" w:rsidRDefault="00302523" w:rsidP="00302523"/>
    <w:p w14:paraId="38497BA4" w14:textId="38277A97" w:rsidR="00302523" w:rsidRPr="00302523" w:rsidRDefault="00BA555D" w:rsidP="00302523">
      <w:pPr>
        <w:pStyle w:val="Paragraphedeliste"/>
        <w:numPr>
          <w:ilvl w:val="0"/>
          <w:numId w:val="8"/>
        </w:numPr>
        <w:rPr>
          <w:b/>
        </w:rPr>
      </w:pPr>
      <w:r w:rsidRPr="00302523">
        <w:rPr>
          <w:b/>
        </w:rPr>
        <w:t>Mutational load</w:t>
      </w:r>
      <w:r w:rsidR="00032F8A" w:rsidRPr="00302523">
        <w:rPr>
          <w:b/>
        </w:rPr>
        <w:t xml:space="preserve"> calculation</w:t>
      </w:r>
    </w:p>
    <w:p w14:paraId="2D933B77" w14:textId="534DE3B9" w:rsidR="00032F8A" w:rsidRPr="00032F8A" w:rsidRDefault="00032F8A" w:rsidP="0042585D">
      <w:r w:rsidRPr="00032F8A">
        <w:t xml:space="preserve">Sequencing libraries quality was estimated with </w:t>
      </w:r>
      <w:proofErr w:type="spellStart"/>
      <w:r w:rsidRPr="00032F8A">
        <w:t>fastqc</w:t>
      </w:r>
      <w:proofErr w:type="spellEnd"/>
      <w:r w:rsidRPr="00032F8A">
        <w:t xml:space="preserve"> and </w:t>
      </w:r>
      <w:proofErr w:type="spellStart"/>
      <w:r w:rsidRPr="00032F8A">
        <w:t>fastqscreen</w:t>
      </w:r>
      <w:proofErr w:type="spellEnd"/>
      <w:r w:rsidRPr="00032F8A">
        <w:t xml:space="preserve">. Reads were mapped with BWA (v0.7.17 with parameters: -M -A 2 -E) onto the Human reference genome assembly hg19/GRCh37. SNVs and small </w:t>
      </w:r>
      <w:proofErr w:type="spellStart"/>
      <w:r w:rsidRPr="00032F8A">
        <w:t>indels</w:t>
      </w:r>
      <w:proofErr w:type="spellEnd"/>
      <w:r w:rsidRPr="00032F8A">
        <w:t xml:space="preserve"> were called using GATK3 (</w:t>
      </w:r>
      <w:proofErr w:type="spellStart"/>
      <w:r w:rsidRPr="00032F8A">
        <w:t>Indel</w:t>
      </w:r>
      <w:proofErr w:type="spellEnd"/>
      <w:r w:rsidRPr="00032F8A">
        <w:t xml:space="preserve"> </w:t>
      </w:r>
      <w:proofErr w:type="spellStart"/>
      <w:r w:rsidRPr="00032F8A">
        <w:t>Realigner</w:t>
      </w:r>
      <w:proofErr w:type="spellEnd"/>
      <w:r w:rsidRPr="00032F8A">
        <w:t xml:space="preserve">, Base </w:t>
      </w:r>
      <w:proofErr w:type="spellStart"/>
      <w:r w:rsidRPr="00032F8A">
        <w:t>Recalibrator</w:t>
      </w:r>
      <w:proofErr w:type="spellEnd"/>
      <w:r w:rsidRPr="00032F8A">
        <w:t xml:space="preserve">), </w:t>
      </w:r>
      <w:proofErr w:type="spellStart"/>
      <w:r w:rsidRPr="00032F8A">
        <w:t>samtools</w:t>
      </w:r>
      <w:proofErr w:type="spellEnd"/>
      <w:r w:rsidRPr="00032F8A">
        <w:t xml:space="preserve"> (</w:t>
      </w:r>
      <w:proofErr w:type="spellStart"/>
      <w:r w:rsidRPr="00032F8A">
        <w:t>fixmate</w:t>
      </w:r>
      <w:proofErr w:type="spellEnd"/>
      <w:r w:rsidRPr="00032F8A">
        <w:t xml:space="preserve">, </w:t>
      </w:r>
      <w:proofErr w:type="spellStart"/>
      <w:r w:rsidRPr="00032F8A">
        <w:t>markdup</w:t>
      </w:r>
      <w:proofErr w:type="spellEnd"/>
      <w:r w:rsidRPr="00032F8A">
        <w:t xml:space="preserve">, </w:t>
      </w:r>
      <w:proofErr w:type="spellStart"/>
      <w:r w:rsidRPr="00032F8A">
        <w:t>mpileup</w:t>
      </w:r>
      <w:proofErr w:type="spellEnd"/>
      <w:r w:rsidRPr="00032F8A">
        <w:t xml:space="preserve">) and </w:t>
      </w:r>
      <w:proofErr w:type="spellStart"/>
      <w:r w:rsidRPr="00032F8A">
        <w:t>Varscan</w:t>
      </w:r>
      <w:proofErr w:type="spellEnd"/>
      <w:r w:rsidRPr="00032F8A">
        <w:t xml:space="preserve"> (v2.3.9) from paired normal/</w:t>
      </w:r>
      <w:proofErr w:type="spellStart"/>
      <w:r w:rsidRPr="00032F8A">
        <w:t>tumors</w:t>
      </w:r>
      <w:proofErr w:type="spellEnd"/>
      <w:r w:rsidRPr="00032F8A">
        <w:t xml:space="preserve"> bam files. Variant annotation was performed with ANNOVAR using public database releases on 2019.11.07 from 1000 genomes project, Exome Aggregation Consortium, NHLBI-ESP project, </w:t>
      </w:r>
      <w:proofErr w:type="spellStart"/>
      <w:r w:rsidRPr="00032F8A">
        <w:t>Kaviar</w:t>
      </w:r>
      <w:proofErr w:type="spellEnd"/>
      <w:r w:rsidRPr="00032F8A">
        <w:t>. Functional prediction of variants was performed using the dataset dbnsfp30a</w:t>
      </w:r>
      <w:r w:rsidR="0092140C">
        <w:t xml:space="preserve">. </w:t>
      </w:r>
      <w:r w:rsidR="0092140C" w:rsidRPr="0092140C">
        <w:t>Questionable somatic variants observed in less than 3 reads, with an allele frequency lower than 0.05, described in 1000 genomes and EXAC databases with a frequency higher than 0.05%, or non-</w:t>
      </w:r>
      <w:proofErr w:type="spellStart"/>
      <w:r w:rsidR="0092140C" w:rsidRPr="0092140C">
        <w:t>exonic</w:t>
      </w:r>
      <w:proofErr w:type="spellEnd"/>
      <w:r w:rsidR="0092140C" w:rsidRPr="0092140C">
        <w:t xml:space="preserve"> variants were excluded.</w:t>
      </w:r>
    </w:p>
    <w:p w14:paraId="71225CAB" w14:textId="77777777" w:rsidR="00BA555D" w:rsidRDefault="00BA555D" w:rsidP="00366FEE"/>
    <w:p w14:paraId="7C39F5AA" w14:textId="012F65E0" w:rsidR="00B0418C" w:rsidRPr="00302523" w:rsidRDefault="00B0418C" w:rsidP="00302523">
      <w:pPr>
        <w:pStyle w:val="Paragraphedeliste"/>
        <w:numPr>
          <w:ilvl w:val="0"/>
          <w:numId w:val="8"/>
        </w:numPr>
        <w:jc w:val="both"/>
        <w:rPr>
          <w:b/>
          <w:color w:val="000000"/>
          <w:lang w:val="en-US"/>
        </w:rPr>
      </w:pPr>
      <w:proofErr w:type="spellStart"/>
      <w:r w:rsidRPr="00302523">
        <w:rPr>
          <w:b/>
          <w:color w:val="000000"/>
          <w:lang w:val="en-US"/>
        </w:rPr>
        <w:t>ctDNA</w:t>
      </w:r>
      <w:proofErr w:type="spellEnd"/>
      <w:r w:rsidRPr="00302523">
        <w:rPr>
          <w:b/>
          <w:color w:val="000000"/>
          <w:lang w:val="en-US"/>
        </w:rPr>
        <w:t xml:space="preserve"> analysis</w:t>
      </w:r>
    </w:p>
    <w:p w14:paraId="5692635B" w14:textId="77777777" w:rsidR="00B0418C" w:rsidRPr="006001FB" w:rsidRDefault="00B0418C" w:rsidP="00B0418C">
      <w:pPr>
        <w:jc w:val="both"/>
        <w:rPr>
          <w:color w:val="000000"/>
          <w:lang w:val="en-US"/>
        </w:rPr>
      </w:pPr>
      <w:r>
        <w:rPr>
          <w:b/>
          <w:color w:val="000000"/>
          <w:lang w:val="en-US"/>
        </w:rPr>
        <w:t xml:space="preserve">Cell-free DNA extraction, purification and quantification </w:t>
      </w:r>
    </w:p>
    <w:p w14:paraId="48FA89C7" w14:textId="77777777" w:rsidR="00B0418C" w:rsidRPr="006001FB" w:rsidRDefault="00B0418C" w:rsidP="00B0418C">
      <w:pPr>
        <w:jc w:val="both"/>
        <w:rPr>
          <w:color w:val="000000"/>
          <w:lang w:val="en-US"/>
        </w:rPr>
      </w:pPr>
      <w:r>
        <w:rPr>
          <w:color w:val="000000"/>
          <w:lang w:val="en-US"/>
        </w:rPr>
        <w:t>Circulating cell free DNA (</w:t>
      </w:r>
      <w:proofErr w:type="spellStart"/>
      <w:r>
        <w:rPr>
          <w:color w:val="000000"/>
          <w:lang w:val="en-US"/>
        </w:rPr>
        <w:t>cfDNA</w:t>
      </w:r>
      <w:proofErr w:type="spellEnd"/>
      <w:r>
        <w:rPr>
          <w:color w:val="000000"/>
          <w:lang w:val="en-US"/>
        </w:rPr>
        <w:t xml:space="preserve">) was extracted from 300 µl to 2ml of plasma using </w:t>
      </w:r>
      <w:proofErr w:type="spellStart"/>
      <w:r>
        <w:rPr>
          <w:color w:val="000000"/>
          <w:lang w:val="en-US"/>
        </w:rPr>
        <w:t>QIAamp</w:t>
      </w:r>
      <w:proofErr w:type="spellEnd"/>
      <w:r>
        <w:rPr>
          <w:color w:val="000000"/>
          <w:lang w:val="en-US"/>
        </w:rPr>
        <w:t xml:space="preserve"> Circulating Nucleic Acid Kit (</w:t>
      </w:r>
      <w:proofErr w:type="spellStart"/>
      <w:r>
        <w:rPr>
          <w:color w:val="000000"/>
          <w:lang w:val="en-US"/>
        </w:rPr>
        <w:t>Qiagen</w:t>
      </w:r>
      <w:proofErr w:type="spellEnd"/>
      <w:r>
        <w:rPr>
          <w:color w:val="000000"/>
          <w:lang w:val="en-US"/>
        </w:rPr>
        <w:t xml:space="preserve">) with the Qiavac24s system or the </w:t>
      </w:r>
      <w:proofErr w:type="spellStart"/>
      <w:r>
        <w:rPr>
          <w:color w:val="000000"/>
          <w:lang w:val="en-US"/>
        </w:rPr>
        <w:t>QIAamp</w:t>
      </w:r>
      <w:proofErr w:type="spellEnd"/>
      <w:r>
        <w:rPr>
          <w:color w:val="000000"/>
          <w:lang w:val="en-US"/>
        </w:rPr>
        <w:t xml:space="preserve"> </w:t>
      </w:r>
      <w:proofErr w:type="spellStart"/>
      <w:r>
        <w:rPr>
          <w:color w:val="000000"/>
          <w:lang w:val="en-US"/>
        </w:rPr>
        <w:t>ccfDNA</w:t>
      </w:r>
      <w:proofErr w:type="spellEnd"/>
      <w:r>
        <w:rPr>
          <w:color w:val="000000"/>
          <w:lang w:val="en-US"/>
        </w:rPr>
        <w:t xml:space="preserve"> kit. The procedures were performed according to the protocols recommended by the manufacturer. After extraction, </w:t>
      </w:r>
      <w:proofErr w:type="spellStart"/>
      <w:r>
        <w:rPr>
          <w:color w:val="000000"/>
          <w:lang w:val="en-US"/>
        </w:rPr>
        <w:t>cfDNA</w:t>
      </w:r>
      <w:proofErr w:type="spellEnd"/>
      <w:r>
        <w:rPr>
          <w:color w:val="000000"/>
          <w:lang w:val="en-US"/>
        </w:rPr>
        <w:t xml:space="preserve"> concentration was measured by Qubit </w:t>
      </w:r>
      <w:proofErr w:type="spellStart"/>
      <w:r>
        <w:rPr>
          <w:color w:val="000000"/>
          <w:lang w:val="en-US"/>
        </w:rPr>
        <w:t>fluorometric</w:t>
      </w:r>
      <w:proofErr w:type="spellEnd"/>
      <w:r>
        <w:rPr>
          <w:color w:val="000000"/>
          <w:lang w:val="en-US"/>
        </w:rPr>
        <w:t xml:space="preserve"> assay (Invitrogen) with dsDNA HS (High Sensitivity) Assay Kit. The total </w:t>
      </w:r>
      <w:proofErr w:type="spellStart"/>
      <w:r>
        <w:rPr>
          <w:color w:val="000000"/>
          <w:lang w:val="en-US"/>
        </w:rPr>
        <w:t>cfDNA</w:t>
      </w:r>
      <w:proofErr w:type="spellEnd"/>
      <w:r>
        <w:rPr>
          <w:color w:val="000000"/>
          <w:lang w:val="en-US"/>
        </w:rPr>
        <w:t xml:space="preserve"> concentration per ml of plasma was calculated and indicated in ng/ml of plasma. Its quality was defined by analysis on Fragment Analyzer (AATI) using DNF-477 HS Small Fragment kit with </w:t>
      </w:r>
      <w:proofErr w:type="spellStart"/>
      <w:r>
        <w:rPr>
          <w:color w:val="000000"/>
          <w:lang w:val="en-US"/>
        </w:rPr>
        <w:t>cfDNA</w:t>
      </w:r>
      <w:proofErr w:type="spellEnd"/>
      <w:r>
        <w:rPr>
          <w:color w:val="000000"/>
          <w:lang w:val="en-US"/>
        </w:rPr>
        <w:t xml:space="preserve"> quality expressed as the 200 </w:t>
      </w:r>
      <w:proofErr w:type="spellStart"/>
      <w:r>
        <w:rPr>
          <w:color w:val="000000"/>
          <w:lang w:val="en-US"/>
        </w:rPr>
        <w:t>bp</w:t>
      </w:r>
      <w:proofErr w:type="spellEnd"/>
      <w:r>
        <w:rPr>
          <w:color w:val="000000"/>
          <w:lang w:val="en-US"/>
        </w:rPr>
        <w:t xml:space="preserve"> fragment fraction.</w:t>
      </w:r>
    </w:p>
    <w:p w14:paraId="4E846A76" w14:textId="77777777" w:rsidR="00B0418C" w:rsidRPr="006001FB" w:rsidRDefault="00B0418C" w:rsidP="00B0418C">
      <w:pPr>
        <w:jc w:val="both"/>
        <w:rPr>
          <w:color w:val="000000"/>
          <w:lang w:val="en-US"/>
        </w:rPr>
      </w:pPr>
      <w:r>
        <w:rPr>
          <w:b/>
          <w:color w:val="000000"/>
          <w:lang w:val="en-US"/>
        </w:rPr>
        <w:t xml:space="preserve">Library Construction and Exome Capture on </w:t>
      </w:r>
      <w:proofErr w:type="spellStart"/>
      <w:r>
        <w:rPr>
          <w:b/>
          <w:color w:val="000000"/>
          <w:lang w:val="en-US"/>
        </w:rPr>
        <w:t>ctDNA</w:t>
      </w:r>
      <w:proofErr w:type="spellEnd"/>
      <w:r>
        <w:rPr>
          <w:b/>
          <w:color w:val="000000"/>
          <w:lang w:val="en-US"/>
        </w:rPr>
        <w:t xml:space="preserve"> </w:t>
      </w:r>
    </w:p>
    <w:p w14:paraId="48F52288" w14:textId="77777777" w:rsidR="00B0418C" w:rsidRPr="006001FB" w:rsidRDefault="00B0418C" w:rsidP="00B0418C">
      <w:pPr>
        <w:jc w:val="both"/>
        <w:rPr>
          <w:color w:val="000000"/>
          <w:lang w:val="en-US"/>
        </w:rPr>
      </w:pPr>
      <w:proofErr w:type="spellStart"/>
      <w:proofErr w:type="gramStart"/>
      <w:r>
        <w:rPr>
          <w:color w:val="000000"/>
          <w:lang w:val="en-US"/>
        </w:rPr>
        <w:t>cfDNA</w:t>
      </w:r>
      <w:proofErr w:type="spellEnd"/>
      <w:proofErr w:type="gramEnd"/>
      <w:r>
        <w:rPr>
          <w:color w:val="000000"/>
          <w:lang w:val="en-US"/>
        </w:rPr>
        <w:t xml:space="preserve"> libraries were constructed without fragmentation using Kapa Library </w:t>
      </w:r>
      <w:proofErr w:type="spellStart"/>
      <w:r>
        <w:rPr>
          <w:color w:val="000000"/>
          <w:lang w:val="en-US"/>
        </w:rPr>
        <w:t>HyperPrer</w:t>
      </w:r>
      <w:proofErr w:type="spellEnd"/>
      <w:r>
        <w:rPr>
          <w:color w:val="000000"/>
          <w:lang w:val="en-US"/>
        </w:rPr>
        <w:t xml:space="preserve"> Kit (Kapa </w:t>
      </w:r>
      <w:proofErr w:type="spellStart"/>
      <w:r>
        <w:rPr>
          <w:color w:val="000000"/>
          <w:lang w:val="en-US"/>
        </w:rPr>
        <w:t>Biosystems</w:t>
      </w:r>
      <w:proofErr w:type="spellEnd"/>
      <w:r>
        <w:rPr>
          <w:color w:val="000000"/>
          <w:lang w:val="en-US"/>
        </w:rPr>
        <w:t xml:space="preserve">) with Indexed Adapters included in </w:t>
      </w:r>
      <w:proofErr w:type="spellStart"/>
      <w:r>
        <w:rPr>
          <w:color w:val="000000"/>
          <w:lang w:val="en-US"/>
        </w:rPr>
        <w:t>SeqCap</w:t>
      </w:r>
      <w:proofErr w:type="spellEnd"/>
      <w:r>
        <w:rPr>
          <w:color w:val="000000"/>
          <w:lang w:val="en-US"/>
        </w:rPr>
        <w:t xml:space="preserve"> </w:t>
      </w:r>
      <w:proofErr w:type="spellStart"/>
      <w:r>
        <w:rPr>
          <w:color w:val="000000"/>
          <w:lang w:val="en-US"/>
        </w:rPr>
        <w:t>Adaptater</w:t>
      </w:r>
      <w:proofErr w:type="spellEnd"/>
      <w:r>
        <w:rPr>
          <w:color w:val="000000"/>
          <w:lang w:val="en-US"/>
        </w:rPr>
        <w:t xml:space="preserve"> Kit A &amp; B or KAPA Unique-Dual </w:t>
      </w:r>
      <w:r>
        <w:rPr>
          <w:color w:val="000000"/>
          <w:lang w:val="en-US"/>
        </w:rPr>
        <w:lastRenderedPageBreak/>
        <w:t xml:space="preserve">Indexed (UDI) (Roche Sequencing). The manufacturer’s protocol was modified with a ligation of 16 hours at 20°C using an </w:t>
      </w:r>
      <w:proofErr w:type="spellStart"/>
      <w:r>
        <w:rPr>
          <w:color w:val="000000"/>
          <w:lang w:val="en-US"/>
        </w:rPr>
        <w:t>adapter:insert</w:t>
      </w:r>
      <w:proofErr w:type="spellEnd"/>
      <w:r>
        <w:rPr>
          <w:color w:val="000000"/>
          <w:lang w:val="en-US"/>
        </w:rPr>
        <w:t xml:space="preserve"> molar ratio of 20:1and 9 cycles of Pre-Captured LM-PCR and 99µL of </w:t>
      </w:r>
      <w:proofErr w:type="spellStart"/>
      <w:r>
        <w:rPr>
          <w:color w:val="000000"/>
          <w:lang w:val="en-US"/>
        </w:rPr>
        <w:t>SeqCap</w:t>
      </w:r>
      <w:proofErr w:type="spellEnd"/>
      <w:r>
        <w:rPr>
          <w:color w:val="000000"/>
          <w:lang w:val="en-US"/>
        </w:rPr>
        <w:t xml:space="preserve"> EZ Purification Beads (1.8x) was used for Clean-up Amplified Sample Library. Library quantification and quality was determined by Qubit </w:t>
      </w:r>
      <w:proofErr w:type="spellStart"/>
      <w:r>
        <w:rPr>
          <w:color w:val="000000"/>
          <w:lang w:val="en-US"/>
        </w:rPr>
        <w:t>fluorometric</w:t>
      </w:r>
      <w:proofErr w:type="spellEnd"/>
      <w:r>
        <w:rPr>
          <w:color w:val="000000"/>
          <w:lang w:val="en-US"/>
        </w:rPr>
        <w:t xml:space="preserve"> assay (Invitrogen) with dsDNA HS (High Sensitivity) Assay Kit and </w:t>
      </w:r>
      <w:proofErr w:type="spellStart"/>
      <w:r>
        <w:rPr>
          <w:color w:val="000000"/>
          <w:lang w:val="en-US"/>
        </w:rPr>
        <w:t>Bioanalyzer</w:t>
      </w:r>
      <w:proofErr w:type="spellEnd"/>
      <w:r>
        <w:rPr>
          <w:color w:val="000000"/>
          <w:lang w:val="en-US"/>
        </w:rPr>
        <w:t xml:space="preserve"> </w:t>
      </w:r>
      <w:proofErr w:type="spellStart"/>
      <w:r>
        <w:rPr>
          <w:color w:val="000000"/>
          <w:lang w:val="en-US"/>
        </w:rPr>
        <w:t>agilent</w:t>
      </w:r>
      <w:proofErr w:type="spellEnd"/>
      <w:r>
        <w:rPr>
          <w:color w:val="000000"/>
          <w:lang w:val="en-US"/>
        </w:rPr>
        <w:t xml:space="preserve"> 2100 using the High Sensitivity DNA chip. </w:t>
      </w:r>
    </w:p>
    <w:p w14:paraId="7F3AAA4C" w14:textId="77777777" w:rsidR="00B0418C" w:rsidRPr="00A65578" w:rsidRDefault="00B0418C" w:rsidP="00B0418C">
      <w:pPr>
        <w:jc w:val="both"/>
        <w:rPr>
          <w:color w:val="000000"/>
          <w:lang w:val="en-US"/>
        </w:rPr>
      </w:pPr>
      <w:r>
        <w:rPr>
          <w:color w:val="000000"/>
          <w:lang w:val="en-US"/>
        </w:rPr>
        <w:t xml:space="preserve">For exome capture, </w:t>
      </w:r>
      <w:proofErr w:type="spellStart"/>
      <w:r>
        <w:rPr>
          <w:color w:val="000000"/>
          <w:lang w:val="en-US"/>
        </w:rPr>
        <w:t>SeqCap</w:t>
      </w:r>
      <w:proofErr w:type="spellEnd"/>
      <w:r>
        <w:rPr>
          <w:color w:val="000000"/>
          <w:lang w:val="en-US"/>
        </w:rPr>
        <w:t xml:space="preserve"> EZ </w:t>
      </w:r>
      <w:proofErr w:type="spellStart"/>
      <w:r>
        <w:rPr>
          <w:color w:val="000000"/>
          <w:lang w:val="en-US"/>
        </w:rPr>
        <w:t>Medexome</w:t>
      </w:r>
      <w:proofErr w:type="spellEnd"/>
      <w:r>
        <w:rPr>
          <w:color w:val="000000"/>
          <w:lang w:val="en-US"/>
        </w:rPr>
        <w:t xml:space="preserve"> (</w:t>
      </w:r>
      <w:proofErr w:type="spellStart"/>
      <w:r>
        <w:rPr>
          <w:color w:val="000000"/>
          <w:lang w:val="en-US"/>
        </w:rPr>
        <w:t>Nimblegen</w:t>
      </w:r>
      <w:proofErr w:type="spellEnd"/>
      <w:r>
        <w:rPr>
          <w:color w:val="000000"/>
          <w:lang w:val="en-US"/>
        </w:rPr>
        <w:t xml:space="preserve"> Roche Sequencing) was used according to the manufacturer’s protocol. WES using Illumina Hi-seq2500 or </w:t>
      </w:r>
      <w:proofErr w:type="spellStart"/>
      <w:r>
        <w:rPr>
          <w:color w:val="000000"/>
          <w:lang w:val="en-US"/>
        </w:rPr>
        <w:t>NovaSeq</w:t>
      </w:r>
      <w:proofErr w:type="spellEnd"/>
      <w:r>
        <w:rPr>
          <w:color w:val="000000"/>
          <w:lang w:val="en-US"/>
        </w:rPr>
        <w:t xml:space="preserve"> 6000 leading to paired-ends (PE) 100x100bp. 8 samples were multiplexed for the exome capture. Expected coverage was 100X for all the samples.</w:t>
      </w:r>
    </w:p>
    <w:p w14:paraId="08A41F39" w14:textId="77777777" w:rsidR="00B0418C" w:rsidRPr="00051F39" w:rsidRDefault="00B0418C" w:rsidP="00B0418C">
      <w:pPr>
        <w:rPr>
          <w:lang w:val="en-US"/>
        </w:rPr>
      </w:pPr>
      <w:r>
        <w:rPr>
          <w:lang w:val="en-US"/>
        </w:rPr>
        <w:t>Bioinformatics pipeline</w:t>
      </w:r>
      <w:r w:rsidRPr="00051F39">
        <w:rPr>
          <w:lang w:val="en-US"/>
        </w:rPr>
        <w:t xml:space="preserve">: </w:t>
      </w:r>
    </w:p>
    <w:p w14:paraId="1B4E79B1" w14:textId="1C96F2F9" w:rsidR="00B0418C" w:rsidRDefault="00B0418C" w:rsidP="00B0418C">
      <w:pPr>
        <w:rPr>
          <w:lang w:val="en-US"/>
        </w:rPr>
      </w:pPr>
      <w:r>
        <w:rPr>
          <w:lang w:val="en-US"/>
        </w:rPr>
        <w:t>Following sequencing, t</w:t>
      </w:r>
      <w:r w:rsidRPr="00051F39">
        <w:rPr>
          <w:lang w:val="en-US"/>
        </w:rPr>
        <w:t xml:space="preserve">he WES raw reads were </w:t>
      </w:r>
      <w:r>
        <w:rPr>
          <w:lang w:val="en-US"/>
        </w:rPr>
        <w:t>mapped to the reference human gen</w:t>
      </w:r>
      <w:r w:rsidRPr="00051F39">
        <w:rPr>
          <w:lang w:val="en-US"/>
        </w:rPr>
        <w:t xml:space="preserve">ome </w:t>
      </w:r>
      <w:r>
        <w:rPr>
          <w:lang w:val="en-US"/>
        </w:rPr>
        <w:t xml:space="preserve">assembly GRCh37/hg19 </w:t>
      </w:r>
      <w:r w:rsidRPr="00051F39">
        <w:rPr>
          <w:lang w:val="en-US"/>
        </w:rPr>
        <w:t xml:space="preserve">using </w:t>
      </w:r>
      <w:r>
        <w:rPr>
          <w:lang w:val="en-US"/>
        </w:rPr>
        <w:t xml:space="preserve">BWA (v0.7.17, with 2 maximum insert size for read pair and with gap extension penalty of 1; shorter split hits were marked as secondary) for samples analyzed at Gustave </w:t>
      </w:r>
      <w:proofErr w:type="spellStart"/>
      <w:r>
        <w:rPr>
          <w:lang w:val="en-US"/>
        </w:rPr>
        <w:t>Roussy</w:t>
      </w:r>
      <w:proofErr w:type="spellEnd"/>
      <w:r>
        <w:rPr>
          <w:lang w:val="en-US"/>
        </w:rPr>
        <w:t xml:space="preserve"> and using Bowtie2 (</w:t>
      </w:r>
      <w:r w:rsidRPr="00051F39">
        <w:rPr>
          <w:lang w:val="en-US"/>
        </w:rPr>
        <w:t>2.1.0</w:t>
      </w:r>
      <w:r w:rsidR="003146C0">
        <w:rPr>
          <w:lang w:val="en-US"/>
        </w:rPr>
        <w:t>,</w:t>
      </w:r>
      <w:r>
        <w:rPr>
          <w:lang w:val="en-US"/>
        </w:rPr>
        <w:t xml:space="preserve"> using global</w:t>
      </w:r>
      <w:r w:rsidRPr="00BD6C57">
        <w:rPr>
          <w:lang w:val="en-US"/>
        </w:rPr>
        <w:t xml:space="preserve"> alignment</w:t>
      </w:r>
      <w:r>
        <w:rPr>
          <w:lang w:val="en-US"/>
        </w:rPr>
        <w:t xml:space="preserve"> allowing</w:t>
      </w:r>
      <w:r w:rsidRPr="00BD6C57">
        <w:rPr>
          <w:lang w:val="en-US"/>
        </w:rPr>
        <w:t xml:space="preserve"> 1 mismatch</w:t>
      </w:r>
      <w:r>
        <w:rPr>
          <w:lang w:val="en-US"/>
        </w:rPr>
        <w:t xml:space="preserve"> in seed alignment of size 22 and taking only </w:t>
      </w:r>
      <w:r w:rsidRPr="00BD6C57">
        <w:rPr>
          <w:lang w:val="en-US"/>
        </w:rPr>
        <w:t>the alignment with the best score</w:t>
      </w:r>
      <w:r>
        <w:rPr>
          <w:lang w:val="en-US"/>
        </w:rPr>
        <w:t xml:space="preserve">) for samples analyzed at </w:t>
      </w:r>
      <w:proofErr w:type="spellStart"/>
      <w:r w:rsidR="00E764A4">
        <w:rPr>
          <w:lang w:val="en-US"/>
        </w:rPr>
        <w:t>Institut</w:t>
      </w:r>
      <w:proofErr w:type="spellEnd"/>
      <w:r w:rsidR="00E764A4">
        <w:rPr>
          <w:lang w:val="en-US"/>
        </w:rPr>
        <w:t xml:space="preserve"> Curie</w:t>
      </w:r>
      <w:r>
        <w:rPr>
          <w:lang w:val="en-US"/>
        </w:rPr>
        <w:t>.</w:t>
      </w:r>
    </w:p>
    <w:p w14:paraId="2C9F46AE" w14:textId="77777777" w:rsidR="00B0418C" w:rsidRDefault="00B0418C" w:rsidP="00B0418C">
      <w:pPr>
        <w:rPr>
          <w:lang w:val="en-US"/>
        </w:rPr>
      </w:pPr>
      <w:r>
        <w:rPr>
          <w:lang w:val="en-US"/>
        </w:rPr>
        <w:t>Bam files were cleaned with Picard (</w:t>
      </w:r>
      <w:proofErr w:type="gramStart"/>
      <w:r w:rsidRPr="00596511">
        <w:rPr>
          <w:lang w:val="en-US"/>
        </w:rPr>
        <w:t>2.18.13</w:t>
      </w:r>
      <w:r>
        <w:rPr>
          <w:lang w:val="en-US"/>
        </w:rPr>
        <w:t xml:space="preserve"> :</w:t>
      </w:r>
      <w:proofErr w:type="gramEnd"/>
      <w:r>
        <w:rPr>
          <w:lang w:val="en-US"/>
        </w:rPr>
        <w:t xml:space="preserve"> </w:t>
      </w:r>
      <w:proofErr w:type="spellStart"/>
      <w:r>
        <w:rPr>
          <w:lang w:val="en-US"/>
        </w:rPr>
        <w:t>SortSam</w:t>
      </w:r>
      <w:proofErr w:type="spellEnd"/>
      <w:r>
        <w:rPr>
          <w:lang w:val="en-US"/>
        </w:rPr>
        <w:t xml:space="preserve">, </w:t>
      </w:r>
      <w:proofErr w:type="spellStart"/>
      <w:r>
        <w:rPr>
          <w:lang w:val="en-US"/>
        </w:rPr>
        <w:t>MarkDuplicates</w:t>
      </w:r>
      <w:proofErr w:type="spellEnd"/>
      <w:r>
        <w:rPr>
          <w:lang w:val="en-US"/>
        </w:rPr>
        <w:t xml:space="preserve"> and </w:t>
      </w:r>
      <w:proofErr w:type="spellStart"/>
      <w:r>
        <w:rPr>
          <w:lang w:val="en-US"/>
        </w:rPr>
        <w:t>AddOrReplaceReadGroups</w:t>
      </w:r>
      <w:proofErr w:type="spellEnd"/>
      <w:r>
        <w:rPr>
          <w:lang w:val="en-US"/>
        </w:rPr>
        <w:t>) and GATK (</w:t>
      </w:r>
      <w:r w:rsidRPr="00596511">
        <w:rPr>
          <w:lang w:val="en-US"/>
        </w:rPr>
        <w:t>3.8-1-0</w:t>
      </w:r>
      <w:r>
        <w:rPr>
          <w:lang w:val="en-US"/>
        </w:rPr>
        <w:t xml:space="preserve"> : </w:t>
      </w:r>
      <w:proofErr w:type="spellStart"/>
      <w:r>
        <w:rPr>
          <w:lang w:val="en-US"/>
        </w:rPr>
        <w:t>RealignerTargetCreator</w:t>
      </w:r>
      <w:proofErr w:type="spellEnd"/>
      <w:r>
        <w:rPr>
          <w:lang w:val="en-US"/>
        </w:rPr>
        <w:t xml:space="preserve">, </w:t>
      </w:r>
      <w:proofErr w:type="spellStart"/>
      <w:r>
        <w:rPr>
          <w:lang w:val="en-US"/>
        </w:rPr>
        <w:t>IndelRealigner</w:t>
      </w:r>
      <w:proofErr w:type="spellEnd"/>
      <w:r>
        <w:rPr>
          <w:lang w:val="en-US"/>
        </w:rPr>
        <w:t xml:space="preserve">, </w:t>
      </w:r>
      <w:proofErr w:type="spellStart"/>
      <w:r>
        <w:rPr>
          <w:lang w:val="en-US"/>
        </w:rPr>
        <w:t>BaseRecalibrator</w:t>
      </w:r>
      <w:proofErr w:type="spellEnd"/>
      <w:r>
        <w:rPr>
          <w:lang w:val="en-US"/>
        </w:rPr>
        <w:t xml:space="preserve"> and </w:t>
      </w:r>
      <w:proofErr w:type="spellStart"/>
      <w:r>
        <w:rPr>
          <w:lang w:val="en-US"/>
        </w:rPr>
        <w:t>PrintReads</w:t>
      </w:r>
      <w:proofErr w:type="spellEnd"/>
      <w:r>
        <w:rPr>
          <w:lang w:val="en-US"/>
        </w:rPr>
        <w:t xml:space="preserve">). Coverage was analyzed with GATK </w:t>
      </w:r>
      <w:proofErr w:type="spellStart"/>
      <w:r>
        <w:rPr>
          <w:lang w:val="en-US"/>
        </w:rPr>
        <w:t>DepthOfCoverage</w:t>
      </w:r>
      <w:proofErr w:type="spellEnd"/>
      <w:r>
        <w:rPr>
          <w:lang w:val="en-US"/>
        </w:rPr>
        <w:t xml:space="preserve"> using a mapping quality of 6 and a base quality of 20. </w:t>
      </w:r>
    </w:p>
    <w:p w14:paraId="756750B5" w14:textId="4825F714" w:rsidR="00B0418C" w:rsidRPr="005F0732" w:rsidRDefault="00B0418C" w:rsidP="00B0418C">
      <w:pPr>
        <w:rPr>
          <w:lang w:val="en-US"/>
        </w:rPr>
      </w:pPr>
      <w:r>
        <w:rPr>
          <w:lang w:val="en-US"/>
        </w:rPr>
        <w:t xml:space="preserve">Variants were called with GATK (3.8-10) </w:t>
      </w:r>
      <w:proofErr w:type="spellStart"/>
      <w:r>
        <w:rPr>
          <w:lang w:val="en-US"/>
        </w:rPr>
        <w:t>HaplotypeCaller</w:t>
      </w:r>
      <w:proofErr w:type="spellEnd"/>
      <w:r>
        <w:rPr>
          <w:lang w:val="en-US"/>
        </w:rPr>
        <w:t xml:space="preserve"> and </w:t>
      </w:r>
      <w:proofErr w:type="spellStart"/>
      <w:r>
        <w:rPr>
          <w:lang w:val="en-US"/>
        </w:rPr>
        <w:t>UnifiedGenotyper</w:t>
      </w:r>
      <w:proofErr w:type="spellEnd"/>
      <w:r>
        <w:rPr>
          <w:lang w:val="en-US"/>
        </w:rPr>
        <w:t xml:space="preserve"> with the same quality parameters </w:t>
      </w:r>
      <w:r w:rsidRPr="00BB586D">
        <w:rPr>
          <w:lang w:val="en-US"/>
        </w:rPr>
        <w:t>mentioned before</w:t>
      </w:r>
      <w:r>
        <w:rPr>
          <w:lang w:val="en-US"/>
        </w:rPr>
        <w:t xml:space="preserve">. The results of calling were </w:t>
      </w:r>
      <w:proofErr w:type="gramStart"/>
      <w:r>
        <w:rPr>
          <w:lang w:val="en-US"/>
        </w:rPr>
        <w:t>combined ,</w:t>
      </w:r>
      <w:proofErr w:type="gramEnd"/>
      <w:r>
        <w:rPr>
          <w:lang w:val="en-US"/>
        </w:rPr>
        <w:t xml:space="preserve"> taking preferentially the output of </w:t>
      </w:r>
      <w:proofErr w:type="spellStart"/>
      <w:r>
        <w:rPr>
          <w:lang w:val="en-US"/>
        </w:rPr>
        <w:t>HaplotypeCaller</w:t>
      </w:r>
      <w:proofErr w:type="spellEnd"/>
      <w:r>
        <w:rPr>
          <w:lang w:val="en-US"/>
        </w:rPr>
        <w:t xml:space="preserve"> in case of variants called by both tools.  The variants were annotated with annovar-2018Apr16 (</w:t>
      </w:r>
      <w:proofErr w:type="spellStart"/>
      <w:r>
        <w:rPr>
          <w:lang w:val="en-US"/>
        </w:rPr>
        <w:t>RefSeq</w:t>
      </w:r>
      <w:proofErr w:type="spellEnd"/>
      <w:r>
        <w:rPr>
          <w:lang w:val="en-US"/>
        </w:rPr>
        <w:t xml:space="preserve">, COSMIC v86, </w:t>
      </w:r>
      <w:r w:rsidRPr="00DB2371">
        <w:rPr>
          <w:lang w:val="en-US"/>
        </w:rPr>
        <w:t>1000g2014Oc</w:t>
      </w:r>
      <w:r>
        <w:rPr>
          <w:lang w:val="en-US"/>
        </w:rPr>
        <w:t>t,</w:t>
      </w:r>
      <w:r w:rsidRPr="0009630C">
        <w:rPr>
          <w:lang w:val="en-US"/>
        </w:rPr>
        <w:t xml:space="preserve"> </w:t>
      </w:r>
      <w:r>
        <w:rPr>
          <w:lang w:val="en-US"/>
        </w:rPr>
        <w:t>Esp6500si</w:t>
      </w:r>
      <w:r w:rsidRPr="005F0732">
        <w:rPr>
          <w:lang w:val="en-US"/>
        </w:rPr>
        <w:t xml:space="preserve">, dbsnp137, ljb26_all). Variants with population frequency &gt; 0.01%, a quality &lt; 30, </w:t>
      </w:r>
      <w:proofErr w:type="spellStart"/>
      <w:r w:rsidRPr="005F0732">
        <w:rPr>
          <w:lang w:val="en-US"/>
        </w:rPr>
        <w:t>intronic</w:t>
      </w:r>
      <w:proofErr w:type="spellEnd"/>
      <w:r w:rsidRPr="005F0732">
        <w:rPr>
          <w:lang w:val="en-US"/>
        </w:rPr>
        <w:t xml:space="preserve"> variants and </w:t>
      </w:r>
      <w:proofErr w:type="spellStart"/>
      <w:r w:rsidRPr="005F0732">
        <w:rPr>
          <w:lang w:val="en-US"/>
        </w:rPr>
        <w:t>synonymous_SNV</w:t>
      </w:r>
      <w:proofErr w:type="spellEnd"/>
      <w:r w:rsidRPr="005F0732">
        <w:rPr>
          <w:lang w:val="en-US"/>
        </w:rPr>
        <w:t xml:space="preserve"> (except those with a cosmic ID) were filtered out.</w:t>
      </w:r>
    </w:p>
    <w:p w14:paraId="1790253F" w14:textId="35403495" w:rsidR="00B0418C" w:rsidRPr="005F0732" w:rsidRDefault="00B0418C" w:rsidP="00B0418C">
      <w:pPr>
        <w:rPr>
          <w:lang w:val="en-US"/>
        </w:rPr>
      </w:pPr>
      <w:r w:rsidRPr="005F0732">
        <w:rPr>
          <w:lang w:val="en-US"/>
        </w:rPr>
        <w:t>For this analysis, variants were considered as somatic if they had a coverage ≥ 20X and if they were supported by at least 2 reads in tumor or plasma and no reads in germline.</w:t>
      </w:r>
    </w:p>
    <w:p w14:paraId="0FF18E2C" w14:textId="2DF3511E" w:rsidR="00B0418C" w:rsidRPr="005F0732" w:rsidRDefault="00B0418C" w:rsidP="00B0418C">
      <w:pPr>
        <w:rPr>
          <w:lang w:val="en-US"/>
        </w:rPr>
      </w:pPr>
      <w:r w:rsidRPr="005F0732">
        <w:rPr>
          <w:lang w:val="en-US"/>
        </w:rPr>
        <w:t xml:space="preserve">Copy number profiles were generated with the following tools: the combination of </w:t>
      </w:r>
      <w:proofErr w:type="spellStart"/>
      <w:r w:rsidRPr="005F0732">
        <w:rPr>
          <w:lang w:val="en-US"/>
        </w:rPr>
        <w:t>VarScan</w:t>
      </w:r>
      <w:proofErr w:type="spellEnd"/>
      <w:r w:rsidRPr="005F0732">
        <w:rPr>
          <w:lang w:val="en-US"/>
        </w:rPr>
        <w:t xml:space="preserve"> (v2.4.3) and </w:t>
      </w:r>
      <w:proofErr w:type="spellStart"/>
      <w:r w:rsidRPr="005F0732">
        <w:rPr>
          <w:lang w:val="en-US"/>
        </w:rPr>
        <w:t>DNAcopy</w:t>
      </w:r>
      <w:proofErr w:type="spellEnd"/>
      <w:r w:rsidRPr="005F0732">
        <w:rPr>
          <w:lang w:val="en-US"/>
        </w:rPr>
        <w:t xml:space="preserve"> (v1.52.0), FACETS (v0.5.11) and with </w:t>
      </w:r>
      <w:proofErr w:type="spellStart"/>
      <w:r w:rsidRPr="005F0732">
        <w:rPr>
          <w:lang w:val="en-US"/>
        </w:rPr>
        <w:t>Sequenza</w:t>
      </w:r>
      <w:proofErr w:type="spellEnd"/>
      <w:r w:rsidRPr="005F0732">
        <w:rPr>
          <w:lang w:val="en-US"/>
        </w:rPr>
        <w:t xml:space="preserve"> (v 3.0.0). The overall </w:t>
      </w:r>
      <w:proofErr w:type="spellStart"/>
      <w:r w:rsidRPr="005F0732">
        <w:rPr>
          <w:lang w:val="en-US"/>
        </w:rPr>
        <w:t>tumoral</w:t>
      </w:r>
      <w:proofErr w:type="spellEnd"/>
      <w:r w:rsidRPr="005F0732">
        <w:rPr>
          <w:lang w:val="en-US"/>
        </w:rPr>
        <w:t xml:space="preserve"> fraction (</w:t>
      </w:r>
      <w:proofErr w:type="spellStart"/>
      <w:r w:rsidRPr="005F0732">
        <w:rPr>
          <w:lang w:val="en-US"/>
        </w:rPr>
        <w:t>ctDNA</w:t>
      </w:r>
      <w:proofErr w:type="spellEnd"/>
      <w:r w:rsidRPr="005F0732">
        <w:rPr>
          <w:lang w:val="en-US"/>
        </w:rPr>
        <w:t xml:space="preserve"> in </w:t>
      </w:r>
      <w:proofErr w:type="spellStart"/>
      <w:r w:rsidRPr="005F0732">
        <w:rPr>
          <w:lang w:val="en-US"/>
        </w:rPr>
        <w:t>cfDNA</w:t>
      </w:r>
      <w:proofErr w:type="spellEnd"/>
      <w:r w:rsidRPr="005F0732">
        <w:rPr>
          <w:lang w:val="en-US"/>
        </w:rPr>
        <w:t xml:space="preserve"> content) was estimated with FACETS and </w:t>
      </w:r>
      <w:proofErr w:type="spellStart"/>
      <w:r w:rsidRPr="005F0732">
        <w:rPr>
          <w:lang w:val="en-US"/>
        </w:rPr>
        <w:t>Sequenza</w:t>
      </w:r>
      <w:proofErr w:type="spellEnd"/>
      <w:r w:rsidRPr="005F0732">
        <w:rPr>
          <w:lang w:val="en-US"/>
        </w:rPr>
        <w:t>.</w:t>
      </w:r>
    </w:p>
    <w:p w14:paraId="1F08B931" w14:textId="2CB54EAA" w:rsidR="00076A8A" w:rsidRDefault="00B0418C" w:rsidP="00B0418C">
      <w:pPr>
        <w:rPr>
          <w:lang w:val="en-US"/>
        </w:rPr>
      </w:pPr>
      <w:r>
        <w:rPr>
          <w:lang w:val="en-US"/>
        </w:rPr>
        <w:t>Following variant calling, IGV images for all variants were generated with IGV (v</w:t>
      </w:r>
      <w:r w:rsidRPr="000A0207">
        <w:rPr>
          <w:lang w:val="en-US"/>
        </w:rPr>
        <w:t>2.4.14</w:t>
      </w:r>
      <w:r>
        <w:rPr>
          <w:lang w:val="en-US"/>
        </w:rPr>
        <w:t>) and all were visually inspected and validated by biologists.</w:t>
      </w:r>
    </w:p>
    <w:p w14:paraId="1CC3C664" w14:textId="77777777" w:rsidR="00B0418C" w:rsidRDefault="00B0418C" w:rsidP="00B0418C">
      <w:pPr>
        <w:rPr>
          <w:lang w:val="en-US"/>
        </w:rPr>
      </w:pPr>
      <w:r>
        <w:rPr>
          <w:lang w:val="en-US"/>
        </w:rPr>
        <w:t># CMTB PART:</w:t>
      </w:r>
    </w:p>
    <w:p w14:paraId="1D9EBAF4" w14:textId="7DB21AD1" w:rsidR="00B0418C" w:rsidRPr="00EA6526" w:rsidRDefault="00B0418C" w:rsidP="00B0418C">
      <w:pPr>
        <w:rPr>
          <w:lang w:val="en-US"/>
        </w:rPr>
      </w:pPr>
      <w:r>
        <w:rPr>
          <w:lang w:val="en-US"/>
        </w:rPr>
        <w:t xml:space="preserve">An additional analysis was done to investigate a list of variations targetable by drugs, as identified in the CMTB. We wanted to know if we were able to find the targetable alterations identified in the primary tumors and highlighted by the </w:t>
      </w:r>
      <w:proofErr w:type="gramStart"/>
      <w:r>
        <w:rPr>
          <w:lang w:val="en-US"/>
        </w:rPr>
        <w:t>CMTB  in</w:t>
      </w:r>
      <w:proofErr w:type="gramEnd"/>
      <w:r>
        <w:rPr>
          <w:lang w:val="en-US"/>
        </w:rPr>
        <w:t xml:space="preserve"> the </w:t>
      </w:r>
      <w:proofErr w:type="spellStart"/>
      <w:r>
        <w:rPr>
          <w:lang w:val="en-US"/>
        </w:rPr>
        <w:t>ctDNA</w:t>
      </w:r>
      <w:proofErr w:type="spellEnd"/>
      <w:r>
        <w:rPr>
          <w:lang w:val="en-US"/>
        </w:rPr>
        <w:t xml:space="preserve"> analysis.</w:t>
      </w:r>
    </w:p>
    <w:p w14:paraId="6D76E733" w14:textId="77777777" w:rsidR="00B0418C" w:rsidRPr="00EA6526" w:rsidRDefault="00B0418C" w:rsidP="00B0418C">
      <w:pPr>
        <w:rPr>
          <w:lang w:val="en-US"/>
        </w:rPr>
      </w:pPr>
    </w:p>
    <w:p w14:paraId="7EF29C23" w14:textId="3C5CEA51" w:rsidR="005F0732" w:rsidRDefault="005F0732" w:rsidP="00366FEE">
      <w:pPr>
        <w:rPr>
          <w:b/>
        </w:rPr>
      </w:pPr>
    </w:p>
    <w:p w14:paraId="1263ED03" w14:textId="77777777" w:rsidR="00302523" w:rsidRDefault="00302523" w:rsidP="00366FEE">
      <w:pPr>
        <w:rPr>
          <w:b/>
        </w:rPr>
      </w:pPr>
    </w:p>
    <w:p w14:paraId="69A9FA33" w14:textId="0C2DB6B4" w:rsidR="00425236" w:rsidRPr="00F0538D" w:rsidRDefault="00425236" w:rsidP="00425236">
      <w:pPr>
        <w:rPr>
          <w:b/>
        </w:rPr>
      </w:pPr>
      <w:r w:rsidRPr="00F0538D">
        <w:rPr>
          <w:b/>
        </w:rPr>
        <w:lastRenderedPageBreak/>
        <w:t xml:space="preserve">Supplementary Tables </w:t>
      </w:r>
    </w:p>
    <w:tbl>
      <w:tblPr>
        <w:tblW w:w="7441" w:type="dxa"/>
        <w:tblCellMar>
          <w:left w:w="70" w:type="dxa"/>
          <w:right w:w="70" w:type="dxa"/>
        </w:tblCellMar>
        <w:tblLook w:val="04A0" w:firstRow="1" w:lastRow="0" w:firstColumn="1" w:lastColumn="0" w:noHBand="0" w:noVBand="1"/>
      </w:tblPr>
      <w:tblGrid>
        <w:gridCol w:w="5032"/>
        <w:gridCol w:w="2409"/>
      </w:tblGrid>
      <w:tr w:rsidR="00B52BFF" w:rsidRPr="00F0538D" w14:paraId="1959D982" w14:textId="77777777" w:rsidTr="00B52BFF">
        <w:trPr>
          <w:trHeight w:val="259"/>
        </w:trPr>
        <w:tc>
          <w:tcPr>
            <w:tcW w:w="5032" w:type="dxa"/>
            <w:tcBorders>
              <w:top w:val="single" w:sz="4" w:space="0" w:color="auto"/>
              <w:left w:val="single" w:sz="4" w:space="0" w:color="auto"/>
              <w:bottom w:val="single" w:sz="4" w:space="0" w:color="auto"/>
              <w:right w:val="nil"/>
            </w:tcBorders>
            <w:shd w:val="clear" w:color="000000" w:fill="FFFFFF"/>
            <w:noWrap/>
            <w:vAlign w:val="bottom"/>
          </w:tcPr>
          <w:p w14:paraId="6DF3DB18" w14:textId="77777777" w:rsidR="00B52BFF" w:rsidRPr="00F0538D" w:rsidRDefault="00B52BFF" w:rsidP="00897F3E">
            <w:pPr>
              <w:spacing w:after="0" w:line="240" w:lineRule="auto"/>
              <w:rPr>
                <w:rFonts w:ascii="Calibri" w:eastAsia="Times New Roman" w:hAnsi="Calibri" w:cs="Calibri"/>
                <w:b/>
                <w:bCs/>
                <w:lang w:eastAsia="fr-FR"/>
              </w:rPr>
            </w:pPr>
            <w:r w:rsidRPr="00F0538D">
              <w:rPr>
                <w:rFonts w:ascii="Calibri" w:eastAsia="Times New Roman" w:hAnsi="Calibri" w:cs="Calibri"/>
                <w:b/>
                <w:bCs/>
                <w:lang w:eastAsia="fr-FR"/>
              </w:rPr>
              <w:t>Demographic Category</w:t>
            </w:r>
          </w:p>
        </w:tc>
        <w:tc>
          <w:tcPr>
            <w:tcW w:w="2409" w:type="dxa"/>
            <w:tcBorders>
              <w:top w:val="single" w:sz="4" w:space="0" w:color="auto"/>
              <w:left w:val="nil"/>
              <w:bottom w:val="single" w:sz="4" w:space="0" w:color="auto"/>
              <w:right w:val="single" w:sz="4" w:space="0" w:color="auto"/>
            </w:tcBorders>
            <w:shd w:val="clear" w:color="000000" w:fill="FFFFFF"/>
            <w:noWrap/>
            <w:vAlign w:val="bottom"/>
          </w:tcPr>
          <w:p w14:paraId="27A5A93A" w14:textId="77777777" w:rsidR="00B52BFF" w:rsidRPr="00F0538D" w:rsidRDefault="00B52BFF" w:rsidP="00897F3E">
            <w:pPr>
              <w:spacing w:after="0" w:line="240" w:lineRule="auto"/>
              <w:jc w:val="center"/>
              <w:rPr>
                <w:rFonts w:ascii="Calibri" w:eastAsia="Times New Roman" w:hAnsi="Calibri" w:cs="Calibri"/>
                <w:b/>
                <w:lang w:eastAsia="fr-FR"/>
              </w:rPr>
            </w:pPr>
          </w:p>
        </w:tc>
      </w:tr>
      <w:tr w:rsidR="00B52BFF" w:rsidRPr="00F0538D" w14:paraId="0E0C5F98" w14:textId="77777777" w:rsidTr="00B52BFF">
        <w:trPr>
          <w:trHeight w:val="259"/>
        </w:trPr>
        <w:tc>
          <w:tcPr>
            <w:tcW w:w="5032" w:type="dxa"/>
            <w:tcBorders>
              <w:top w:val="single" w:sz="4" w:space="0" w:color="auto"/>
              <w:left w:val="single" w:sz="4" w:space="0" w:color="auto"/>
              <w:bottom w:val="single" w:sz="4" w:space="0" w:color="auto"/>
              <w:right w:val="nil"/>
            </w:tcBorders>
            <w:shd w:val="clear" w:color="000000" w:fill="FFFFFF"/>
            <w:noWrap/>
            <w:vAlign w:val="bottom"/>
            <w:hideMark/>
          </w:tcPr>
          <w:p w14:paraId="26FA15FD" w14:textId="77777777" w:rsidR="00B52BFF" w:rsidRPr="00F0538D" w:rsidRDefault="00B52BFF" w:rsidP="00897F3E">
            <w:pPr>
              <w:spacing w:after="0" w:line="240" w:lineRule="auto"/>
              <w:rPr>
                <w:rFonts w:ascii="Calibri" w:eastAsia="Times New Roman" w:hAnsi="Calibri" w:cs="Calibri"/>
                <w:b/>
                <w:bCs/>
                <w:lang w:eastAsia="fr-FR"/>
              </w:rPr>
            </w:pPr>
            <w:r w:rsidRPr="00F0538D">
              <w:rPr>
                <w:rFonts w:ascii="Calibri" w:eastAsia="Times New Roman" w:hAnsi="Calibri" w:cs="Calibri"/>
                <w:b/>
                <w:bCs/>
                <w:lang w:eastAsia="fr-FR"/>
              </w:rPr>
              <w:t xml:space="preserve">Patients </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14:paraId="67464686" w14:textId="77777777" w:rsidR="00B52BFF" w:rsidRPr="00F0538D" w:rsidRDefault="00B52BFF" w:rsidP="00897F3E">
            <w:pPr>
              <w:spacing w:after="0" w:line="240" w:lineRule="auto"/>
              <w:jc w:val="center"/>
              <w:rPr>
                <w:rFonts w:ascii="Calibri" w:eastAsia="Times New Roman" w:hAnsi="Calibri" w:cs="Calibri"/>
                <w:b/>
                <w:lang w:eastAsia="fr-FR"/>
              </w:rPr>
            </w:pPr>
            <w:r w:rsidRPr="00F0538D">
              <w:rPr>
                <w:rFonts w:ascii="Calibri" w:eastAsia="Times New Roman" w:hAnsi="Calibri" w:cs="Calibri"/>
                <w:b/>
                <w:bCs/>
                <w:lang w:eastAsia="fr-FR"/>
              </w:rPr>
              <w:t>N =</w:t>
            </w:r>
            <w:r w:rsidRPr="00F0538D">
              <w:rPr>
                <w:rFonts w:ascii="Calibri" w:eastAsia="Times New Roman" w:hAnsi="Calibri" w:cs="Calibri"/>
                <w:b/>
                <w:lang w:eastAsia="fr-FR"/>
              </w:rPr>
              <w:t xml:space="preserve"> 774</w:t>
            </w:r>
          </w:p>
        </w:tc>
      </w:tr>
      <w:tr w:rsidR="00B52BFF" w:rsidRPr="00F0538D" w14:paraId="599FE7A4" w14:textId="77777777" w:rsidTr="00B52BFF">
        <w:trPr>
          <w:trHeight w:val="259"/>
        </w:trPr>
        <w:tc>
          <w:tcPr>
            <w:tcW w:w="5032" w:type="dxa"/>
            <w:tcBorders>
              <w:top w:val="nil"/>
              <w:left w:val="single" w:sz="4" w:space="0" w:color="auto"/>
              <w:bottom w:val="single" w:sz="4" w:space="0" w:color="auto"/>
              <w:right w:val="nil"/>
            </w:tcBorders>
            <w:shd w:val="clear" w:color="000000" w:fill="FFFFFF"/>
            <w:noWrap/>
            <w:vAlign w:val="bottom"/>
            <w:hideMark/>
          </w:tcPr>
          <w:p w14:paraId="0BBC06B0" w14:textId="43451835" w:rsidR="00B52BFF" w:rsidRPr="00F0538D" w:rsidRDefault="00B52BFF" w:rsidP="00897F3E">
            <w:pPr>
              <w:spacing w:after="0" w:line="240" w:lineRule="auto"/>
              <w:rPr>
                <w:rFonts w:ascii="Calibri" w:eastAsia="Times New Roman" w:hAnsi="Calibri" w:cs="Calibri"/>
                <w:b/>
                <w:bCs/>
                <w:color w:val="000000"/>
                <w:lang w:val="en-US" w:eastAsia="fr-FR"/>
              </w:rPr>
            </w:pPr>
            <w:r w:rsidRPr="00F0538D">
              <w:rPr>
                <w:rFonts w:ascii="Calibri" w:eastAsia="Times New Roman" w:hAnsi="Calibri" w:cs="Calibri"/>
                <w:b/>
                <w:bCs/>
                <w:color w:val="000000"/>
                <w:lang w:val="en-US" w:eastAsia="fr-FR"/>
              </w:rPr>
              <w:t>Age at inclusion, years</w:t>
            </w:r>
          </w:p>
          <w:p w14:paraId="4CBE7E39" w14:textId="5A0F40F1" w:rsidR="00B52BFF" w:rsidRPr="00F0538D" w:rsidRDefault="00B52BFF" w:rsidP="00B52BFF">
            <w:pPr>
              <w:spacing w:after="0" w:line="240" w:lineRule="auto"/>
              <w:ind w:left="142"/>
              <w:rPr>
                <w:rFonts w:ascii="Calibri" w:eastAsia="Times New Roman" w:hAnsi="Calibri" w:cs="Calibri"/>
                <w:b/>
                <w:bCs/>
                <w:color w:val="000000"/>
                <w:lang w:val="en-US" w:eastAsia="fr-FR"/>
              </w:rPr>
            </w:pPr>
            <w:r w:rsidRPr="00F0538D">
              <w:rPr>
                <w:rFonts w:ascii="Calibri" w:eastAsia="Times New Roman" w:hAnsi="Calibri" w:cs="Calibri"/>
                <w:b/>
                <w:bCs/>
                <w:color w:val="000000"/>
                <w:lang w:val="en-US" w:eastAsia="fr-FR"/>
              </w:rPr>
              <w:t xml:space="preserve">Median </w:t>
            </w:r>
          </w:p>
          <w:p w14:paraId="475957D1" w14:textId="163B4E2C" w:rsidR="00B52BFF" w:rsidRPr="00F0538D" w:rsidRDefault="00B52BFF" w:rsidP="00B52BFF">
            <w:pPr>
              <w:spacing w:after="0" w:line="240" w:lineRule="auto"/>
              <w:ind w:left="142"/>
              <w:rPr>
                <w:rFonts w:ascii="Calibri" w:eastAsia="Times New Roman" w:hAnsi="Calibri" w:cs="Calibri"/>
                <w:b/>
                <w:bCs/>
                <w:color w:val="000000"/>
                <w:lang w:val="en-US" w:eastAsia="fr-FR"/>
              </w:rPr>
            </w:pPr>
            <w:r w:rsidRPr="00F0538D">
              <w:rPr>
                <w:rFonts w:ascii="Calibri" w:eastAsia="Times New Roman" w:hAnsi="Calibri" w:cs="Calibri"/>
                <w:b/>
                <w:bCs/>
                <w:color w:val="000000"/>
                <w:lang w:val="en-US" w:eastAsia="fr-FR"/>
              </w:rPr>
              <w:t xml:space="preserve">(IQ90; range) </w:t>
            </w:r>
          </w:p>
        </w:tc>
        <w:tc>
          <w:tcPr>
            <w:tcW w:w="2409" w:type="dxa"/>
            <w:tcBorders>
              <w:top w:val="nil"/>
              <w:left w:val="nil"/>
              <w:bottom w:val="single" w:sz="4" w:space="0" w:color="auto"/>
              <w:right w:val="single" w:sz="4" w:space="0" w:color="auto"/>
            </w:tcBorders>
            <w:shd w:val="clear" w:color="000000" w:fill="FFFFFF"/>
            <w:vAlign w:val="bottom"/>
            <w:hideMark/>
          </w:tcPr>
          <w:p w14:paraId="6C87D868" w14:textId="77777777" w:rsidR="00B52BFF" w:rsidRPr="00F0538D" w:rsidRDefault="00B52BFF" w:rsidP="00897F3E">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 xml:space="preserve">11.6 </w:t>
            </w:r>
          </w:p>
          <w:p w14:paraId="3285FF4C" w14:textId="77777777" w:rsidR="00B52BFF" w:rsidRPr="00F0538D" w:rsidRDefault="00B52BFF" w:rsidP="00897F3E">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(2.2-19.8; 0.5-38.5)</w:t>
            </w:r>
          </w:p>
        </w:tc>
      </w:tr>
      <w:tr w:rsidR="00B52BFF" w:rsidRPr="00F0538D" w14:paraId="54B1EC75" w14:textId="77777777" w:rsidTr="00B52BFF">
        <w:trPr>
          <w:trHeight w:val="259"/>
        </w:trPr>
        <w:tc>
          <w:tcPr>
            <w:tcW w:w="5032" w:type="dxa"/>
            <w:tcBorders>
              <w:top w:val="single" w:sz="4" w:space="0" w:color="auto"/>
              <w:left w:val="single" w:sz="4" w:space="0" w:color="auto"/>
              <w:bottom w:val="single" w:sz="4" w:space="0" w:color="auto"/>
              <w:right w:val="nil"/>
            </w:tcBorders>
            <w:shd w:val="clear" w:color="000000" w:fill="FFFFFF"/>
            <w:noWrap/>
            <w:vAlign w:val="bottom"/>
            <w:hideMark/>
          </w:tcPr>
          <w:p w14:paraId="66866108" w14:textId="77777777" w:rsidR="00B52BFF" w:rsidRPr="00F0538D" w:rsidRDefault="00B52BFF" w:rsidP="00897F3E">
            <w:pPr>
              <w:spacing w:after="0" w:line="240" w:lineRule="auto"/>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Sex (%)</w:t>
            </w:r>
          </w:p>
          <w:p w14:paraId="4C4563AC" w14:textId="7C32A1AE" w:rsidR="00B52BFF" w:rsidRPr="00F0538D" w:rsidRDefault="00B52BFF" w:rsidP="00B52BFF">
            <w:pPr>
              <w:spacing w:after="0" w:line="240" w:lineRule="auto"/>
              <w:ind w:left="142"/>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 xml:space="preserve">Male </w:t>
            </w:r>
          </w:p>
          <w:p w14:paraId="1D0D8950" w14:textId="3D719D27" w:rsidR="00B52BFF" w:rsidRPr="00F0538D" w:rsidRDefault="00B52BFF" w:rsidP="00B52BFF">
            <w:pPr>
              <w:spacing w:after="0" w:line="240" w:lineRule="auto"/>
              <w:ind w:left="142"/>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Female</w:t>
            </w:r>
          </w:p>
        </w:tc>
        <w:tc>
          <w:tcPr>
            <w:tcW w:w="2409" w:type="dxa"/>
            <w:tcBorders>
              <w:top w:val="single" w:sz="4" w:space="0" w:color="auto"/>
              <w:left w:val="nil"/>
              <w:bottom w:val="single" w:sz="4" w:space="0" w:color="auto"/>
              <w:right w:val="single" w:sz="4" w:space="0" w:color="auto"/>
            </w:tcBorders>
            <w:shd w:val="clear" w:color="000000" w:fill="FFFFFF"/>
            <w:vAlign w:val="bottom"/>
            <w:hideMark/>
          </w:tcPr>
          <w:p w14:paraId="26B64A7D" w14:textId="77777777" w:rsidR="00B52BFF" w:rsidRPr="00F0538D" w:rsidRDefault="00B52BFF" w:rsidP="00B52BFF">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59%</w:t>
            </w:r>
          </w:p>
          <w:p w14:paraId="3A54724E" w14:textId="77777777" w:rsidR="00B52BFF" w:rsidRPr="00F0538D" w:rsidRDefault="00B52BFF" w:rsidP="00B52BFF">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41%</w:t>
            </w:r>
          </w:p>
        </w:tc>
      </w:tr>
      <w:tr w:rsidR="00B52BFF" w:rsidRPr="00F0538D" w14:paraId="39A020BB" w14:textId="77777777" w:rsidTr="00B52BFF">
        <w:trPr>
          <w:trHeight w:val="259"/>
        </w:trPr>
        <w:tc>
          <w:tcPr>
            <w:tcW w:w="5032" w:type="dxa"/>
            <w:tcBorders>
              <w:top w:val="single" w:sz="4" w:space="0" w:color="auto"/>
              <w:left w:val="single" w:sz="4" w:space="0" w:color="auto"/>
              <w:bottom w:val="single" w:sz="4" w:space="0" w:color="auto"/>
              <w:right w:val="nil"/>
            </w:tcBorders>
            <w:shd w:val="clear" w:color="000000" w:fill="FFFFFF"/>
            <w:noWrap/>
            <w:vAlign w:val="bottom"/>
            <w:hideMark/>
          </w:tcPr>
          <w:p w14:paraId="48C92157" w14:textId="07BB5907" w:rsidR="00B52BFF" w:rsidRPr="00F0538D" w:rsidRDefault="00B52BFF" w:rsidP="00897F3E">
            <w:pPr>
              <w:spacing w:after="0" w:line="240" w:lineRule="auto"/>
              <w:rPr>
                <w:rFonts w:ascii="Calibri" w:eastAsia="Times New Roman" w:hAnsi="Calibri" w:cs="Calibri"/>
                <w:b/>
                <w:bCs/>
                <w:color w:val="000000"/>
                <w:lang w:val="en-US" w:eastAsia="fr-FR"/>
              </w:rPr>
            </w:pPr>
            <w:r w:rsidRPr="00F0538D">
              <w:rPr>
                <w:rFonts w:ascii="Calibri" w:eastAsia="Times New Roman" w:hAnsi="Calibri" w:cs="Calibri"/>
                <w:b/>
                <w:bCs/>
                <w:color w:val="000000"/>
                <w:lang w:val="en-US" w:eastAsia="fr-FR"/>
              </w:rPr>
              <w:t>Number of relapse/progression at inclusion</w:t>
            </w:r>
          </w:p>
          <w:p w14:paraId="479D6479" w14:textId="4AA6AE45" w:rsidR="00B52BFF" w:rsidRPr="00F0538D" w:rsidRDefault="00B52BFF" w:rsidP="00B52BFF">
            <w:pPr>
              <w:spacing w:after="0" w:line="240" w:lineRule="auto"/>
              <w:ind w:left="142"/>
              <w:rPr>
                <w:rFonts w:ascii="Calibri" w:eastAsia="Times New Roman" w:hAnsi="Calibri" w:cs="Calibri"/>
                <w:b/>
                <w:bCs/>
                <w:color w:val="000000"/>
                <w:lang w:val="en-US" w:eastAsia="fr-FR"/>
              </w:rPr>
            </w:pPr>
            <w:r w:rsidRPr="00F0538D">
              <w:rPr>
                <w:rFonts w:ascii="Calibri" w:eastAsia="Times New Roman" w:hAnsi="Calibri" w:cs="Calibri"/>
                <w:b/>
                <w:bCs/>
                <w:color w:val="000000"/>
                <w:lang w:val="en-US" w:eastAsia="fr-FR"/>
              </w:rPr>
              <w:t xml:space="preserve">Median </w:t>
            </w:r>
          </w:p>
          <w:p w14:paraId="6710E277" w14:textId="60898A08" w:rsidR="00B52BFF" w:rsidRPr="00F0538D" w:rsidRDefault="00B52BFF" w:rsidP="00B52BFF">
            <w:pPr>
              <w:spacing w:after="0" w:line="240" w:lineRule="auto"/>
              <w:ind w:left="142"/>
              <w:rPr>
                <w:rFonts w:ascii="Calibri" w:eastAsia="Times New Roman" w:hAnsi="Calibri" w:cs="Calibri"/>
                <w:b/>
                <w:bCs/>
                <w:color w:val="000000"/>
                <w:lang w:val="en-US" w:eastAsia="fr-FR"/>
              </w:rPr>
            </w:pPr>
            <w:r w:rsidRPr="00F0538D">
              <w:rPr>
                <w:rFonts w:ascii="Calibri" w:eastAsia="Times New Roman" w:hAnsi="Calibri" w:cs="Calibri"/>
                <w:b/>
                <w:bCs/>
                <w:color w:val="000000"/>
                <w:lang w:val="en-US" w:eastAsia="fr-FR"/>
              </w:rPr>
              <w:t>(IQ90; range)</w:t>
            </w:r>
          </w:p>
        </w:tc>
        <w:tc>
          <w:tcPr>
            <w:tcW w:w="2409" w:type="dxa"/>
            <w:tcBorders>
              <w:top w:val="single" w:sz="4" w:space="0" w:color="auto"/>
              <w:left w:val="nil"/>
              <w:bottom w:val="single" w:sz="4" w:space="0" w:color="auto"/>
              <w:right w:val="single" w:sz="4" w:space="0" w:color="auto"/>
            </w:tcBorders>
            <w:shd w:val="clear" w:color="000000" w:fill="FFFFFF"/>
            <w:vAlign w:val="bottom"/>
            <w:hideMark/>
          </w:tcPr>
          <w:p w14:paraId="08441B6F" w14:textId="77777777" w:rsidR="00B52BFF" w:rsidRPr="00F0538D" w:rsidRDefault="00B52BFF" w:rsidP="00897F3E">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1</w:t>
            </w:r>
          </w:p>
          <w:p w14:paraId="37DD234D" w14:textId="77777777" w:rsidR="00B52BFF" w:rsidRPr="00F0538D" w:rsidRDefault="00B52BFF" w:rsidP="00897F3E">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 xml:space="preserve"> (1-4; 1-10)</w:t>
            </w:r>
          </w:p>
        </w:tc>
      </w:tr>
      <w:tr w:rsidR="00B52BFF" w:rsidRPr="00F0538D" w14:paraId="0BB5F2C4" w14:textId="77777777" w:rsidTr="00B52BFF">
        <w:trPr>
          <w:trHeight w:val="259"/>
        </w:trPr>
        <w:tc>
          <w:tcPr>
            <w:tcW w:w="5032" w:type="dxa"/>
            <w:tcBorders>
              <w:top w:val="single" w:sz="4" w:space="0" w:color="auto"/>
              <w:left w:val="single" w:sz="4" w:space="0" w:color="auto"/>
              <w:bottom w:val="single" w:sz="4" w:space="0" w:color="auto"/>
              <w:right w:val="nil"/>
            </w:tcBorders>
            <w:shd w:val="clear" w:color="000000" w:fill="FFFFFF"/>
            <w:noWrap/>
            <w:vAlign w:val="bottom"/>
            <w:hideMark/>
          </w:tcPr>
          <w:p w14:paraId="4F148504" w14:textId="2E7DD1EE" w:rsidR="00B52BFF" w:rsidRPr="00F0538D" w:rsidRDefault="00B52BFF" w:rsidP="00897F3E">
            <w:pPr>
              <w:spacing w:after="0" w:line="240" w:lineRule="auto"/>
              <w:rPr>
                <w:rFonts w:ascii="Calibri" w:eastAsia="Times New Roman" w:hAnsi="Calibri" w:cs="Calibri"/>
                <w:b/>
                <w:bCs/>
                <w:color w:val="000000"/>
                <w:lang w:val="en-US" w:eastAsia="fr-FR"/>
              </w:rPr>
            </w:pPr>
            <w:r w:rsidRPr="00F0538D">
              <w:rPr>
                <w:rFonts w:ascii="Calibri" w:eastAsia="Times New Roman" w:hAnsi="Calibri" w:cs="Calibri"/>
                <w:b/>
                <w:bCs/>
                <w:color w:val="000000"/>
                <w:lang w:val="en-US" w:eastAsia="fr-FR"/>
              </w:rPr>
              <w:t>Time since initial cancer diagnosis, years</w:t>
            </w:r>
          </w:p>
          <w:p w14:paraId="395310D3" w14:textId="1781303F" w:rsidR="00B52BFF" w:rsidRPr="00F0538D" w:rsidRDefault="00B52BFF" w:rsidP="00B52BFF">
            <w:pPr>
              <w:spacing w:after="0" w:line="240" w:lineRule="auto"/>
              <w:ind w:firstLine="142"/>
              <w:rPr>
                <w:rFonts w:ascii="Calibri" w:eastAsia="Times New Roman" w:hAnsi="Calibri" w:cs="Calibri"/>
                <w:b/>
                <w:bCs/>
                <w:color w:val="000000"/>
                <w:lang w:val="en-US" w:eastAsia="fr-FR"/>
              </w:rPr>
            </w:pPr>
            <w:r w:rsidRPr="00F0538D">
              <w:rPr>
                <w:rFonts w:ascii="Calibri" w:eastAsia="Times New Roman" w:hAnsi="Calibri" w:cs="Calibri"/>
                <w:b/>
                <w:bCs/>
                <w:color w:val="000000"/>
                <w:lang w:val="en-US" w:eastAsia="fr-FR"/>
              </w:rPr>
              <w:t xml:space="preserve">Median  </w:t>
            </w:r>
          </w:p>
          <w:p w14:paraId="613FD78C" w14:textId="759BA162" w:rsidR="00B52BFF" w:rsidRPr="00F0538D" w:rsidRDefault="00B52BFF" w:rsidP="00B52BFF">
            <w:pPr>
              <w:spacing w:after="0" w:line="240" w:lineRule="auto"/>
              <w:ind w:left="142"/>
              <w:rPr>
                <w:rFonts w:ascii="Calibri" w:eastAsia="Times New Roman" w:hAnsi="Calibri" w:cs="Calibri"/>
                <w:b/>
                <w:bCs/>
                <w:color w:val="000000"/>
                <w:lang w:val="en-US" w:eastAsia="fr-FR"/>
              </w:rPr>
            </w:pPr>
            <w:r w:rsidRPr="00F0538D">
              <w:rPr>
                <w:rFonts w:ascii="Calibri" w:eastAsia="Times New Roman" w:hAnsi="Calibri" w:cs="Calibri"/>
                <w:b/>
                <w:bCs/>
                <w:color w:val="000000"/>
                <w:lang w:val="en-US" w:eastAsia="fr-FR"/>
              </w:rPr>
              <w:t>(IQ90; range)</w:t>
            </w:r>
          </w:p>
        </w:tc>
        <w:tc>
          <w:tcPr>
            <w:tcW w:w="2409" w:type="dxa"/>
            <w:tcBorders>
              <w:top w:val="single" w:sz="4" w:space="0" w:color="auto"/>
              <w:left w:val="nil"/>
              <w:bottom w:val="single" w:sz="4" w:space="0" w:color="auto"/>
              <w:right w:val="single" w:sz="4" w:space="0" w:color="auto"/>
            </w:tcBorders>
            <w:shd w:val="clear" w:color="000000" w:fill="FFFFFF"/>
            <w:vAlign w:val="bottom"/>
            <w:hideMark/>
          </w:tcPr>
          <w:p w14:paraId="028E5E1F" w14:textId="77777777" w:rsidR="00B52BFF" w:rsidRPr="00F0538D" w:rsidRDefault="00B52BFF" w:rsidP="00897F3E">
            <w:pPr>
              <w:spacing w:after="0" w:line="240" w:lineRule="auto"/>
              <w:jc w:val="center"/>
              <w:rPr>
                <w:rFonts w:ascii="Calibri" w:eastAsia="Times New Roman" w:hAnsi="Calibri" w:cs="Calibri"/>
                <w:color w:val="000000"/>
                <w:lang w:eastAsia="fr-FR"/>
              </w:rPr>
            </w:pPr>
          </w:p>
          <w:p w14:paraId="647658A9" w14:textId="77777777" w:rsidR="00B52BFF" w:rsidRPr="00F0538D" w:rsidRDefault="00B52BFF" w:rsidP="00897F3E">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 xml:space="preserve">1.8 </w:t>
            </w:r>
          </w:p>
          <w:p w14:paraId="2B342D2D" w14:textId="77777777" w:rsidR="00B52BFF" w:rsidRPr="00F0538D" w:rsidRDefault="00B52BFF" w:rsidP="00897F3E">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(0.4-9.0; 0.1-32.0)</w:t>
            </w:r>
          </w:p>
        </w:tc>
      </w:tr>
      <w:tr w:rsidR="00B52BFF" w:rsidRPr="00F0538D" w14:paraId="7846CD5D" w14:textId="77777777" w:rsidTr="00B52BFF">
        <w:trPr>
          <w:trHeight w:val="259"/>
        </w:trPr>
        <w:tc>
          <w:tcPr>
            <w:tcW w:w="5032" w:type="dxa"/>
            <w:tcBorders>
              <w:top w:val="single" w:sz="4" w:space="0" w:color="auto"/>
              <w:left w:val="single" w:sz="4" w:space="0" w:color="auto"/>
              <w:bottom w:val="single" w:sz="4" w:space="0" w:color="auto"/>
              <w:right w:val="nil"/>
            </w:tcBorders>
            <w:shd w:val="clear" w:color="000000" w:fill="FFFFFF"/>
            <w:noWrap/>
            <w:vAlign w:val="bottom"/>
          </w:tcPr>
          <w:p w14:paraId="60EEFB7A" w14:textId="2BEB5ECB" w:rsidR="00B52BFF" w:rsidRPr="00F0538D" w:rsidRDefault="00B52BFF" w:rsidP="00425236">
            <w:pPr>
              <w:spacing w:after="0" w:line="240" w:lineRule="auto"/>
              <w:rPr>
                <w:rFonts w:ascii="Calibri" w:eastAsia="Times New Roman" w:hAnsi="Calibri" w:cs="Calibri"/>
                <w:b/>
                <w:bCs/>
                <w:color w:val="000000"/>
                <w:lang w:val="en-US" w:eastAsia="fr-FR"/>
              </w:rPr>
            </w:pPr>
            <w:r w:rsidRPr="00F0538D">
              <w:rPr>
                <w:rFonts w:ascii="Calibri" w:eastAsia="Times New Roman" w:hAnsi="Calibri" w:cs="Calibri"/>
                <w:b/>
                <w:color w:val="000000"/>
                <w:lang w:eastAsia="fr-FR"/>
              </w:rPr>
              <w:t xml:space="preserve">Cancer type </w:t>
            </w:r>
          </w:p>
        </w:tc>
        <w:tc>
          <w:tcPr>
            <w:tcW w:w="2409" w:type="dxa"/>
            <w:tcBorders>
              <w:top w:val="single" w:sz="4" w:space="0" w:color="auto"/>
              <w:left w:val="nil"/>
              <w:bottom w:val="single" w:sz="4" w:space="0" w:color="auto"/>
              <w:right w:val="single" w:sz="4" w:space="0" w:color="auto"/>
            </w:tcBorders>
            <w:shd w:val="clear" w:color="000000" w:fill="FFFFFF"/>
            <w:vAlign w:val="bottom"/>
          </w:tcPr>
          <w:p w14:paraId="6593F5BA" w14:textId="77777777" w:rsidR="00B52BFF" w:rsidRPr="00F0538D" w:rsidRDefault="00B52BFF" w:rsidP="00425236">
            <w:pPr>
              <w:spacing w:after="0" w:line="240" w:lineRule="auto"/>
              <w:jc w:val="center"/>
              <w:rPr>
                <w:rFonts w:ascii="Calibri" w:eastAsia="Times New Roman" w:hAnsi="Calibri" w:cs="Calibri"/>
                <w:color w:val="000000"/>
                <w:lang w:eastAsia="fr-FR"/>
              </w:rPr>
            </w:pPr>
          </w:p>
        </w:tc>
      </w:tr>
      <w:tr w:rsidR="00B52BFF" w:rsidRPr="00F0538D" w14:paraId="49766514" w14:textId="77777777" w:rsidTr="00B52BFF">
        <w:trPr>
          <w:trHeight w:val="259"/>
        </w:trPr>
        <w:tc>
          <w:tcPr>
            <w:tcW w:w="5032" w:type="dxa"/>
            <w:vMerge w:val="restart"/>
            <w:tcBorders>
              <w:top w:val="single" w:sz="4" w:space="0" w:color="auto"/>
              <w:left w:val="single" w:sz="4" w:space="0" w:color="auto"/>
              <w:right w:val="nil"/>
            </w:tcBorders>
            <w:shd w:val="clear" w:color="000000" w:fill="FFFFFF"/>
            <w:noWrap/>
            <w:vAlign w:val="bottom"/>
          </w:tcPr>
          <w:p w14:paraId="395E6E22" w14:textId="77777777" w:rsidR="00B52BFF" w:rsidRPr="00F0538D" w:rsidRDefault="00B52BFF" w:rsidP="000F5367">
            <w:pPr>
              <w:spacing w:after="0" w:line="240" w:lineRule="auto"/>
              <w:rPr>
                <w:rFonts w:ascii="Calibri" w:eastAsia="Times New Roman" w:hAnsi="Calibri" w:cs="Calibri"/>
                <w:color w:val="000000"/>
                <w:lang w:val="es-ES" w:eastAsia="fr-FR"/>
              </w:rPr>
            </w:pPr>
            <w:r w:rsidRPr="00F0538D">
              <w:rPr>
                <w:rFonts w:ascii="Calibri" w:eastAsia="Times New Roman" w:hAnsi="Calibri" w:cs="Calibri"/>
                <w:b/>
                <w:bCs/>
                <w:color w:val="000000"/>
                <w:lang w:val="es-ES" w:eastAsia="fr-FR"/>
              </w:rPr>
              <w:t>SARCOMAS</w:t>
            </w:r>
          </w:p>
          <w:p w14:paraId="76B3E052" w14:textId="0848ABF0" w:rsidR="00B52BFF" w:rsidRPr="00F0538D" w:rsidRDefault="00B52BFF" w:rsidP="000F5367">
            <w:pPr>
              <w:spacing w:after="0" w:line="240" w:lineRule="auto"/>
              <w:ind w:left="142"/>
              <w:rPr>
                <w:rFonts w:ascii="Calibri" w:eastAsia="Times New Roman" w:hAnsi="Calibri" w:cs="Calibri"/>
                <w:b/>
                <w:bCs/>
                <w:color w:val="000000"/>
                <w:lang w:val="es-ES" w:eastAsia="fr-FR"/>
              </w:rPr>
            </w:pPr>
            <w:proofErr w:type="spellStart"/>
            <w:r w:rsidRPr="00F0538D">
              <w:rPr>
                <w:rFonts w:ascii="Calibri" w:eastAsia="Times New Roman" w:hAnsi="Calibri" w:cs="Calibri"/>
                <w:b/>
                <w:bCs/>
                <w:color w:val="000000"/>
                <w:lang w:val="es-ES" w:eastAsia="fr-FR"/>
              </w:rPr>
              <w:t>Osteosarcoma</w:t>
            </w:r>
            <w:proofErr w:type="spellEnd"/>
          </w:p>
          <w:p w14:paraId="6DB19F0D" w14:textId="6B17BA08" w:rsidR="00B52BFF" w:rsidRPr="00F0538D" w:rsidRDefault="00B52BFF" w:rsidP="000F5367">
            <w:pPr>
              <w:spacing w:after="0" w:line="240" w:lineRule="auto"/>
              <w:ind w:left="142"/>
              <w:rPr>
                <w:rFonts w:ascii="Calibri" w:eastAsia="Times New Roman" w:hAnsi="Calibri" w:cs="Calibri"/>
                <w:b/>
                <w:bCs/>
                <w:color w:val="000000"/>
                <w:lang w:val="es-ES" w:eastAsia="fr-FR"/>
              </w:rPr>
            </w:pPr>
            <w:proofErr w:type="spellStart"/>
            <w:r w:rsidRPr="00F0538D">
              <w:rPr>
                <w:rFonts w:ascii="Calibri" w:eastAsia="Times New Roman" w:hAnsi="Calibri" w:cs="Calibri"/>
                <w:b/>
                <w:bCs/>
                <w:color w:val="000000"/>
                <w:lang w:val="es-ES" w:eastAsia="fr-FR"/>
              </w:rPr>
              <w:t>Ewing</w:t>
            </w:r>
            <w:proofErr w:type="spellEnd"/>
            <w:r w:rsidRPr="00F0538D">
              <w:rPr>
                <w:rFonts w:ascii="Calibri" w:eastAsia="Times New Roman" w:hAnsi="Calibri" w:cs="Calibri"/>
                <w:b/>
                <w:bCs/>
                <w:color w:val="000000"/>
                <w:lang w:val="es-ES" w:eastAsia="fr-FR"/>
              </w:rPr>
              <w:t xml:space="preserve"> sarcoma</w:t>
            </w:r>
          </w:p>
          <w:p w14:paraId="522F99E7" w14:textId="39C81AE9" w:rsidR="00B52BFF" w:rsidRPr="00F0538D" w:rsidRDefault="00B52BFF" w:rsidP="000F5367">
            <w:pPr>
              <w:spacing w:after="0" w:line="240" w:lineRule="auto"/>
              <w:ind w:left="142"/>
              <w:rPr>
                <w:rFonts w:ascii="Calibri" w:eastAsia="Times New Roman" w:hAnsi="Calibri" w:cs="Calibri"/>
                <w:b/>
                <w:bCs/>
                <w:color w:val="000000"/>
                <w:lang w:val="es-ES" w:eastAsia="fr-FR"/>
              </w:rPr>
            </w:pPr>
            <w:r w:rsidRPr="00F0538D">
              <w:rPr>
                <w:rFonts w:ascii="Calibri" w:eastAsia="Times New Roman" w:hAnsi="Calibri" w:cs="Calibri"/>
                <w:b/>
                <w:bCs/>
                <w:lang w:val="es-ES" w:eastAsia="fr-FR"/>
              </w:rPr>
              <w:t>BCOR/CIC sarcoma</w:t>
            </w:r>
          </w:p>
          <w:p w14:paraId="07300737" w14:textId="0417D96A" w:rsidR="00B52BFF" w:rsidRPr="00F0538D" w:rsidRDefault="00B52BFF" w:rsidP="000F5367">
            <w:pPr>
              <w:spacing w:after="0" w:line="240" w:lineRule="auto"/>
              <w:ind w:left="142"/>
              <w:rPr>
                <w:rFonts w:ascii="Calibri" w:eastAsia="Times New Roman" w:hAnsi="Calibri" w:cs="Calibri"/>
                <w:b/>
                <w:bCs/>
                <w:lang w:val="es-ES" w:eastAsia="fr-FR"/>
              </w:rPr>
            </w:pPr>
            <w:proofErr w:type="spellStart"/>
            <w:r w:rsidRPr="00F0538D">
              <w:rPr>
                <w:rFonts w:ascii="Calibri" w:eastAsia="Times New Roman" w:hAnsi="Calibri" w:cs="Calibri"/>
                <w:b/>
                <w:bCs/>
                <w:color w:val="000000"/>
                <w:lang w:val="es-ES" w:eastAsia="fr-FR"/>
              </w:rPr>
              <w:t>Other</w:t>
            </w:r>
            <w:proofErr w:type="spellEnd"/>
            <w:r w:rsidRPr="00F0538D">
              <w:rPr>
                <w:rFonts w:ascii="Calibri" w:eastAsia="Times New Roman" w:hAnsi="Calibri" w:cs="Calibri"/>
                <w:b/>
                <w:bCs/>
                <w:color w:val="000000"/>
                <w:lang w:val="es-ES" w:eastAsia="fr-FR"/>
              </w:rPr>
              <w:t xml:space="preserve"> </w:t>
            </w:r>
            <w:proofErr w:type="spellStart"/>
            <w:r w:rsidRPr="00F0538D">
              <w:rPr>
                <w:rFonts w:ascii="Calibri" w:eastAsia="Times New Roman" w:hAnsi="Calibri" w:cs="Calibri"/>
                <w:b/>
                <w:bCs/>
                <w:color w:val="000000"/>
                <w:lang w:val="es-ES" w:eastAsia="fr-FR"/>
              </w:rPr>
              <w:t>bone</w:t>
            </w:r>
            <w:proofErr w:type="spellEnd"/>
            <w:r w:rsidRPr="00F0538D">
              <w:rPr>
                <w:rFonts w:ascii="Calibri" w:eastAsia="Times New Roman" w:hAnsi="Calibri" w:cs="Calibri"/>
                <w:b/>
                <w:bCs/>
                <w:color w:val="000000"/>
                <w:lang w:val="es-ES" w:eastAsia="fr-FR"/>
              </w:rPr>
              <w:t xml:space="preserve"> sarcoma</w:t>
            </w:r>
          </w:p>
          <w:p w14:paraId="589189B8" w14:textId="76664D10" w:rsidR="00B52BFF" w:rsidRPr="00F0538D" w:rsidRDefault="00B52BFF" w:rsidP="000F5367">
            <w:pPr>
              <w:spacing w:after="0" w:line="240" w:lineRule="auto"/>
              <w:ind w:left="142"/>
              <w:rPr>
                <w:rFonts w:ascii="Calibri" w:eastAsia="Times New Roman" w:hAnsi="Calibri" w:cs="Calibri"/>
                <w:b/>
                <w:bCs/>
                <w:color w:val="000000"/>
                <w:lang w:val="es-ES" w:eastAsia="fr-FR"/>
              </w:rPr>
            </w:pPr>
            <w:proofErr w:type="spellStart"/>
            <w:r w:rsidRPr="00F0538D">
              <w:rPr>
                <w:rFonts w:ascii="Calibri" w:eastAsia="Times New Roman" w:hAnsi="Calibri" w:cs="Calibri"/>
                <w:b/>
                <w:bCs/>
                <w:color w:val="000000"/>
                <w:lang w:val="es-ES" w:eastAsia="fr-FR"/>
              </w:rPr>
              <w:t>Rhabdomyosarcoma</w:t>
            </w:r>
            <w:proofErr w:type="spellEnd"/>
            <w:r w:rsidRPr="00F0538D">
              <w:rPr>
                <w:rFonts w:ascii="Calibri" w:eastAsia="Times New Roman" w:hAnsi="Calibri" w:cs="Calibri"/>
                <w:b/>
                <w:bCs/>
                <w:color w:val="000000"/>
                <w:lang w:val="es-ES" w:eastAsia="fr-FR"/>
              </w:rPr>
              <w:t xml:space="preserve"> (RMS)</w:t>
            </w:r>
          </w:p>
          <w:p w14:paraId="3EAEDEC4" w14:textId="3FD59B7A" w:rsidR="00B52BFF" w:rsidRPr="00F0538D" w:rsidRDefault="00B52BFF" w:rsidP="000F5367">
            <w:pPr>
              <w:spacing w:after="0" w:line="240" w:lineRule="auto"/>
              <w:ind w:left="142"/>
              <w:rPr>
                <w:rFonts w:ascii="Calibri" w:eastAsia="Times New Roman" w:hAnsi="Calibri" w:cs="Calibri"/>
                <w:color w:val="000000"/>
                <w:lang w:val="es-ES" w:eastAsia="fr-FR"/>
              </w:rPr>
            </w:pPr>
            <w:r w:rsidRPr="00F0538D">
              <w:rPr>
                <w:rFonts w:ascii="Calibri" w:eastAsia="Times New Roman" w:hAnsi="Calibri" w:cs="Calibri"/>
                <w:b/>
                <w:bCs/>
                <w:color w:val="000000"/>
                <w:lang w:val="es-ES" w:eastAsia="fr-FR"/>
              </w:rPr>
              <w:t xml:space="preserve">Non-RMS </w:t>
            </w:r>
            <w:proofErr w:type="spellStart"/>
            <w:r w:rsidRPr="00F0538D">
              <w:rPr>
                <w:rFonts w:ascii="Calibri" w:eastAsia="Times New Roman" w:hAnsi="Calibri" w:cs="Calibri"/>
                <w:b/>
                <w:bCs/>
                <w:color w:val="000000"/>
                <w:lang w:val="es-ES" w:eastAsia="fr-FR"/>
              </w:rPr>
              <w:t>soft</w:t>
            </w:r>
            <w:proofErr w:type="spellEnd"/>
            <w:r w:rsidRPr="00F0538D">
              <w:rPr>
                <w:rFonts w:ascii="Calibri" w:eastAsia="Times New Roman" w:hAnsi="Calibri" w:cs="Calibri"/>
                <w:b/>
                <w:bCs/>
                <w:color w:val="000000"/>
                <w:lang w:val="es-ES" w:eastAsia="fr-FR"/>
              </w:rPr>
              <w:t xml:space="preserve"> </w:t>
            </w:r>
            <w:proofErr w:type="spellStart"/>
            <w:r w:rsidRPr="00F0538D">
              <w:rPr>
                <w:rFonts w:ascii="Calibri" w:eastAsia="Times New Roman" w:hAnsi="Calibri" w:cs="Calibri"/>
                <w:b/>
                <w:bCs/>
                <w:color w:val="000000"/>
                <w:lang w:val="es-ES" w:eastAsia="fr-FR"/>
              </w:rPr>
              <w:t>tissue</w:t>
            </w:r>
            <w:proofErr w:type="spellEnd"/>
            <w:r w:rsidRPr="00F0538D">
              <w:rPr>
                <w:rFonts w:ascii="Calibri" w:eastAsia="Times New Roman" w:hAnsi="Calibri" w:cs="Calibri"/>
                <w:b/>
                <w:bCs/>
                <w:color w:val="000000"/>
                <w:lang w:val="es-ES" w:eastAsia="fr-FR"/>
              </w:rPr>
              <w:t xml:space="preserve"> sarcoma (NRSTS) </w:t>
            </w:r>
          </w:p>
        </w:tc>
        <w:tc>
          <w:tcPr>
            <w:tcW w:w="2409" w:type="dxa"/>
            <w:tcBorders>
              <w:top w:val="single" w:sz="4" w:space="0" w:color="auto"/>
              <w:left w:val="nil"/>
              <w:right w:val="single" w:sz="4" w:space="0" w:color="auto"/>
            </w:tcBorders>
            <w:shd w:val="clear" w:color="000000" w:fill="FFFFFF"/>
            <w:vAlign w:val="bottom"/>
          </w:tcPr>
          <w:p w14:paraId="3288E999" w14:textId="71FE4B3A" w:rsidR="00B52BFF" w:rsidRPr="00F0538D" w:rsidRDefault="00232BE0" w:rsidP="00232BE0">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 xml:space="preserve">290 </w:t>
            </w:r>
            <w:r w:rsidR="000F5367" w:rsidRPr="00F0538D">
              <w:rPr>
                <w:rFonts w:ascii="Calibri" w:eastAsia="Times New Roman" w:hAnsi="Calibri" w:cs="Calibri"/>
                <w:color w:val="000000"/>
                <w:lang w:eastAsia="fr-FR"/>
              </w:rPr>
              <w:t>(37%)</w:t>
            </w:r>
          </w:p>
        </w:tc>
      </w:tr>
      <w:tr w:rsidR="00B52BFF" w:rsidRPr="00F0538D" w14:paraId="2F71F631" w14:textId="77777777" w:rsidTr="00B52BFF">
        <w:trPr>
          <w:trHeight w:val="259"/>
        </w:trPr>
        <w:tc>
          <w:tcPr>
            <w:tcW w:w="5032" w:type="dxa"/>
            <w:vMerge/>
            <w:tcBorders>
              <w:left w:val="single" w:sz="4" w:space="0" w:color="auto"/>
              <w:right w:val="nil"/>
            </w:tcBorders>
            <w:shd w:val="clear" w:color="000000" w:fill="FFFFFF"/>
            <w:noWrap/>
            <w:vAlign w:val="bottom"/>
          </w:tcPr>
          <w:p w14:paraId="56A8AF86" w14:textId="24AA6E83" w:rsidR="00B52BFF" w:rsidRPr="00F0538D" w:rsidRDefault="00B52BFF" w:rsidP="00425236">
            <w:pPr>
              <w:spacing w:after="0" w:line="240" w:lineRule="auto"/>
              <w:rPr>
                <w:rFonts w:ascii="Calibri" w:eastAsia="Times New Roman" w:hAnsi="Calibri" w:cs="Calibri"/>
                <w:b/>
                <w:bCs/>
                <w:color w:val="000000"/>
                <w:lang w:eastAsia="fr-FR"/>
              </w:rPr>
            </w:pPr>
          </w:p>
        </w:tc>
        <w:tc>
          <w:tcPr>
            <w:tcW w:w="2409" w:type="dxa"/>
            <w:tcBorders>
              <w:left w:val="nil"/>
              <w:right w:val="single" w:sz="4" w:space="0" w:color="auto"/>
            </w:tcBorders>
            <w:shd w:val="clear" w:color="000000" w:fill="FFFFFF"/>
            <w:vAlign w:val="bottom"/>
          </w:tcPr>
          <w:p w14:paraId="02486C5E" w14:textId="3282DADD" w:rsidR="00B52BFF" w:rsidRPr="00F0538D" w:rsidRDefault="00B52BFF"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79</w:t>
            </w:r>
          </w:p>
        </w:tc>
      </w:tr>
      <w:tr w:rsidR="00B52BFF" w:rsidRPr="00F0538D" w14:paraId="4AEFE942" w14:textId="77777777" w:rsidTr="00B52BFF">
        <w:trPr>
          <w:trHeight w:val="259"/>
        </w:trPr>
        <w:tc>
          <w:tcPr>
            <w:tcW w:w="5032" w:type="dxa"/>
            <w:vMerge/>
            <w:tcBorders>
              <w:left w:val="single" w:sz="4" w:space="0" w:color="auto"/>
              <w:right w:val="nil"/>
            </w:tcBorders>
            <w:shd w:val="clear" w:color="000000" w:fill="FFFFFF"/>
            <w:noWrap/>
            <w:vAlign w:val="bottom"/>
          </w:tcPr>
          <w:p w14:paraId="46D73B55" w14:textId="5CA9B0C2" w:rsidR="00B52BFF" w:rsidRPr="00F0538D" w:rsidRDefault="00B52BFF" w:rsidP="00425236">
            <w:pPr>
              <w:spacing w:after="0" w:line="240" w:lineRule="auto"/>
              <w:rPr>
                <w:rFonts w:ascii="Calibri" w:eastAsia="Times New Roman" w:hAnsi="Calibri" w:cs="Calibri"/>
                <w:b/>
                <w:bCs/>
                <w:color w:val="000000"/>
                <w:lang w:eastAsia="fr-FR"/>
              </w:rPr>
            </w:pPr>
          </w:p>
        </w:tc>
        <w:tc>
          <w:tcPr>
            <w:tcW w:w="2409" w:type="dxa"/>
            <w:tcBorders>
              <w:left w:val="nil"/>
              <w:right w:val="single" w:sz="4" w:space="0" w:color="auto"/>
            </w:tcBorders>
            <w:shd w:val="clear" w:color="000000" w:fill="FFFFFF"/>
            <w:vAlign w:val="bottom"/>
          </w:tcPr>
          <w:p w14:paraId="4D40D31D" w14:textId="61130EC6" w:rsidR="00B52BFF" w:rsidRPr="00F0538D" w:rsidRDefault="00B52BFF"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71</w:t>
            </w:r>
          </w:p>
        </w:tc>
      </w:tr>
      <w:tr w:rsidR="00B52BFF" w:rsidRPr="00F0538D" w14:paraId="1A868D7F" w14:textId="77777777" w:rsidTr="00B52BFF">
        <w:trPr>
          <w:trHeight w:val="259"/>
        </w:trPr>
        <w:tc>
          <w:tcPr>
            <w:tcW w:w="5032" w:type="dxa"/>
            <w:vMerge/>
            <w:tcBorders>
              <w:left w:val="single" w:sz="4" w:space="0" w:color="auto"/>
              <w:right w:val="nil"/>
            </w:tcBorders>
            <w:shd w:val="clear" w:color="000000" w:fill="FFFFFF"/>
            <w:noWrap/>
            <w:vAlign w:val="bottom"/>
          </w:tcPr>
          <w:p w14:paraId="3D38B392" w14:textId="1961EDF4" w:rsidR="00B52BFF" w:rsidRPr="00F0538D" w:rsidRDefault="00B52BFF" w:rsidP="00425236">
            <w:pPr>
              <w:spacing w:after="0" w:line="240" w:lineRule="auto"/>
              <w:rPr>
                <w:rFonts w:ascii="Calibri" w:eastAsia="Times New Roman" w:hAnsi="Calibri" w:cs="Calibri"/>
                <w:b/>
                <w:bCs/>
                <w:color w:val="000000"/>
                <w:lang w:eastAsia="fr-FR"/>
              </w:rPr>
            </w:pPr>
          </w:p>
        </w:tc>
        <w:tc>
          <w:tcPr>
            <w:tcW w:w="2409" w:type="dxa"/>
            <w:tcBorders>
              <w:left w:val="nil"/>
              <w:right w:val="single" w:sz="4" w:space="0" w:color="auto"/>
            </w:tcBorders>
            <w:shd w:val="clear" w:color="000000" w:fill="FFFFFF"/>
            <w:vAlign w:val="bottom"/>
          </w:tcPr>
          <w:p w14:paraId="160009D9" w14:textId="4398D932" w:rsidR="00B52BFF" w:rsidRPr="00F0538D" w:rsidRDefault="00232BE0"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lang w:eastAsia="fr-FR"/>
              </w:rPr>
              <w:t>6</w:t>
            </w:r>
          </w:p>
        </w:tc>
      </w:tr>
      <w:tr w:rsidR="00B52BFF" w:rsidRPr="00F0538D" w14:paraId="34049F06" w14:textId="77777777" w:rsidTr="00B52BFF">
        <w:trPr>
          <w:trHeight w:val="259"/>
        </w:trPr>
        <w:tc>
          <w:tcPr>
            <w:tcW w:w="5032" w:type="dxa"/>
            <w:vMerge/>
            <w:tcBorders>
              <w:left w:val="single" w:sz="4" w:space="0" w:color="auto"/>
              <w:right w:val="nil"/>
            </w:tcBorders>
            <w:shd w:val="clear" w:color="000000" w:fill="FFFFFF"/>
            <w:noWrap/>
            <w:vAlign w:val="bottom"/>
          </w:tcPr>
          <w:p w14:paraId="70529652" w14:textId="6A027702" w:rsidR="00B52BFF" w:rsidRPr="00F0538D" w:rsidRDefault="00B52BFF" w:rsidP="00425236">
            <w:pPr>
              <w:spacing w:after="0" w:line="240" w:lineRule="auto"/>
              <w:rPr>
                <w:rFonts w:ascii="Calibri" w:eastAsia="Times New Roman" w:hAnsi="Calibri" w:cs="Calibri"/>
                <w:b/>
                <w:bCs/>
                <w:lang w:eastAsia="fr-FR"/>
              </w:rPr>
            </w:pPr>
          </w:p>
        </w:tc>
        <w:tc>
          <w:tcPr>
            <w:tcW w:w="2409" w:type="dxa"/>
            <w:tcBorders>
              <w:left w:val="nil"/>
              <w:right w:val="single" w:sz="4" w:space="0" w:color="auto"/>
            </w:tcBorders>
            <w:shd w:val="clear" w:color="000000" w:fill="FFFFFF"/>
            <w:vAlign w:val="bottom"/>
          </w:tcPr>
          <w:p w14:paraId="46332AFA" w14:textId="092E8219" w:rsidR="00B52BFF" w:rsidRPr="00F0538D" w:rsidRDefault="00B52BFF"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1</w:t>
            </w:r>
          </w:p>
        </w:tc>
      </w:tr>
      <w:tr w:rsidR="00B52BFF" w:rsidRPr="00F0538D" w14:paraId="551C13A3" w14:textId="77777777" w:rsidTr="00B52BFF">
        <w:trPr>
          <w:trHeight w:val="259"/>
        </w:trPr>
        <w:tc>
          <w:tcPr>
            <w:tcW w:w="5032" w:type="dxa"/>
            <w:vMerge/>
            <w:tcBorders>
              <w:left w:val="single" w:sz="4" w:space="0" w:color="auto"/>
              <w:right w:val="nil"/>
            </w:tcBorders>
            <w:shd w:val="clear" w:color="000000" w:fill="FFFFFF"/>
            <w:noWrap/>
            <w:vAlign w:val="bottom"/>
          </w:tcPr>
          <w:p w14:paraId="299B843D" w14:textId="3F86257E" w:rsidR="00B52BFF" w:rsidRPr="00F0538D" w:rsidRDefault="00B52BFF" w:rsidP="00425236">
            <w:pPr>
              <w:spacing w:after="0" w:line="240" w:lineRule="auto"/>
              <w:rPr>
                <w:rFonts w:ascii="Calibri" w:eastAsia="Times New Roman" w:hAnsi="Calibri" w:cs="Calibri"/>
                <w:b/>
                <w:bCs/>
                <w:color w:val="000000"/>
                <w:lang w:eastAsia="fr-FR"/>
              </w:rPr>
            </w:pPr>
          </w:p>
        </w:tc>
        <w:tc>
          <w:tcPr>
            <w:tcW w:w="2409" w:type="dxa"/>
            <w:tcBorders>
              <w:left w:val="nil"/>
              <w:right w:val="single" w:sz="4" w:space="0" w:color="auto"/>
            </w:tcBorders>
            <w:shd w:val="clear" w:color="000000" w:fill="FFFFFF"/>
            <w:vAlign w:val="bottom"/>
          </w:tcPr>
          <w:p w14:paraId="284AB55A" w14:textId="5841A25E" w:rsidR="00B52BFF" w:rsidRPr="00F0538D" w:rsidRDefault="00B52BFF"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70</w:t>
            </w:r>
          </w:p>
        </w:tc>
      </w:tr>
      <w:tr w:rsidR="00B52BFF" w:rsidRPr="00F0538D" w14:paraId="4CCCA1EC" w14:textId="77777777" w:rsidTr="00B52BFF">
        <w:trPr>
          <w:trHeight w:val="259"/>
        </w:trPr>
        <w:tc>
          <w:tcPr>
            <w:tcW w:w="5032" w:type="dxa"/>
            <w:vMerge/>
            <w:tcBorders>
              <w:left w:val="single" w:sz="4" w:space="0" w:color="auto"/>
              <w:bottom w:val="single" w:sz="4" w:space="0" w:color="auto"/>
              <w:right w:val="nil"/>
            </w:tcBorders>
            <w:shd w:val="clear" w:color="000000" w:fill="FFFFFF"/>
            <w:noWrap/>
            <w:vAlign w:val="bottom"/>
          </w:tcPr>
          <w:p w14:paraId="34A69C98" w14:textId="372D4905" w:rsidR="00B52BFF" w:rsidRPr="00F0538D" w:rsidRDefault="00B52BFF" w:rsidP="00425236">
            <w:pPr>
              <w:spacing w:after="0" w:line="240" w:lineRule="auto"/>
              <w:rPr>
                <w:rFonts w:ascii="Calibri" w:eastAsia="Times New Roman" w:hAnsi="Calibri" w:cs="Calibri"/>
                <w:b/>
                <w:bCs/>
                <w:color w:val="000000"/>
                <w:lang w:eastAsia="fr-FR"/>
              </w:rPr>
            </w:pPr>
          </w:p>
        </w:tc>
        <w:tc>
          <w:tcPr>
            <w:tcW w:w="2409" w:type="dxa"/>
            <w:tcBorders>
              <w:left w:val="nil"/>
              <w:bottom w:val="single" w:sz="4" w:space="0" w:color="auto"/>
              <w:right w:val="single" w:sz="4" w:space="0" w:color="auto"/>
            </w:tcBorders>
            <w:shd w:val="clear" w:color="000000" w:fill="FFFFFF"/>
            <w:vAlign w:val="bottom"/>
          </w:tcPr>
          <w:p w14:paraId="7B537C18" w14:textId="59D12702" w:rsidR="00B52BFF" w:rsidRPr="00F0538D" w:rsidRDefault="00232BE0"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63</w:t>
            </w:r>
          </w:p>
        </w:tc>
      </w:tr>
      <w:tr w:rsidR="00B52BFF" w:rsidRPr="00F0538D" w14:paraId="64EBC083" w14:textId="77777777" w:rsidTr="00B52BFF">
        <w:trPr>
          <w:trHeight w:val="259"/>
        </w:trPr>
        <w:tc>
          <w:tcPr>
            <w:tcW w:w="5032" w:type="dxa"/>
            <w:tcBorders>
              <w:top w:val="single" w:sz="4" w:space="0" w:color="auto"/>
              <w:left w:val="single" w:sz="4" w:space="0" w:color="auto"/>
              <w:right w:val="nil"/>
            </w:tcBorders>
            <w:shd w:val="clear" w:color="000000" w:fill="FFFFFF"/>
            <w:noWrap/>
            <w:vAlign w:val="bottom"/>
          </w:tcPr>
          <w:p w14:paraId="4C832199" w14:textId="43454C70" w:rsidR="00B52BFF" w:rsidRPr="00F0538D" w:rsidRDefault="00B52BFF" w:rsidP="00425236">
            <w:pPr>
              <w:spacing w:after="0" w:line="240" w:lineRule="auto"/>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OTHER SOLID TUMORS</w:t>
            </w:r>
          </w:p>
        </w:tc>
        <w:tc>
          <w:tcPr>
            <w:tcW w:w="2409" w:type="dxa"/>
            <w:tcBorders>
              <w:top w:val="single" w:sz="4" w:space="0" w:color="auto"/>
              <w:left w:val="nil"/>
              <w:right w:val="single" w:sz="4" w:space="0" w:color="auto"/>
            </w:tcBorders>
            <w:shd w:val="clear" w:color="000000" w:fill="FFFFFF"/>
            <w:vAlign w:val="bottom"/>
          </w:tcPr>
          <w:p w14:paraId="47AD7845" w14:textId="6C088867" w:rsidR="00B52BFF" w:rsidRPr="00F0538D" w:rsidRDefault="00232BE0" w:rsidP="00232BE0">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 xml:space="preserve">181 (23%) </w:t>
            </w:r>
          </w:p>
        </w:tc>
      </w:tr>
      <w:tr w:rsidR="00B52BFF" w:rsidRPr="00F0538D" w14:paraId="3C57C437" w14:textId="77777777" w:rsidTr="00B52BFF">
        <w:trPr>
          <w:trHeight w:val="259"/>
        </w:trPr>
        <w:tc>
          <w:tcPr>
            <w:tcW w:w="5032" w:type="dxa"/>
            <w:tcBorders>
              <w:left w:val="single" w:sz="4" w:space="0" w:color="auto"/>
              <w:right w:val="nil"/>
            </w:tcBorders>
            <w:shd w:val="clear" w:color="000000" w:fill="FFFFFF"/>
            <w:noWrap/>
            <w:vAlign w:val="bottom"/>
          </w:tcPr>
          <w:p w14:paraId="018A159B" w14:textId="69A7B901" w:rsidR="00B52BFF" w:rsidRPr="00F0538D" w:rsidRDefault="00B52BFF" w:rsidP="000F5367">
            <w:pPr>
              <w:spacing w:after="0" w:line="240" w:lineRule="auto"/>
              <w:ind w:firstLine="142"/>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Neuroblastoma</w:t>
            </w:r>
          </w:p>
        </w:tc>
        <w:tc>
          <w:tcPr>
            <w:tcW w:w="2409" w:type="dxa"/>
            <w:tcBorders>
              <w:left w:val="nil"/>
              <w:right w:val="single" w:sz="4" w:space="0" w:color="auto"/>
            </w:tcBorders>
            <w:shd w:val="clear" w:color="000000" w:fill="FFFFFF"/>
            <w:vAlign w:val="bottom"/>
          </w:tcPr>
          <w:p w14:paraId="1FDB54FA" w14:textId="0B97B6D2" w:rsidR="00B52BFF" w:rsidRPr="00F0538D" w:rsidRDefault="00B52BFF"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104</w:t>
            </w:r>
          </w:p>
        </w:tc>
      </w:tr>
      <w:tr w:rsidR="00B52BFF" w:rsidRPr="00F0538D" w14:paraId="3D4689F4" w14:textId="77777777" w:rsidTr="00B52BFF">
        <w:trPr>
          <w:trHeight w:val="259"/>
        </w:trPr>
        <w:tc>
          <w:tcPr>
            <w:tcW w:w="5032" w:type="dxa"/>
            <w:tcBorders>
              <w:left w:val="single" w:sz="4" w:space="0" w:color="auto"/>
              <w:right w:val="nil"/>
            </w:tcBorders>
            <w:shd w:val="clear" w:color="000000" w:fill="FFFFFF"/>
            <w:noWrap/>
            <w:vAlign w:val="bottom"/>
          </w:tcPr>
          <w:p w14:paraId="7E49306B" w14:textId="6271578E" w:rsidR="00B52BFF" w:rsidRPr="00F0538D" w:rsidRDefault="00B52BFF" w:rsidP="000F5367">
            <w:pPr>
              <w:spacing w:after="0" w:line="240" w:lineRule="auto"/>
              <w:ind w:firstLine="142"/>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Carcinoma</w:t>
            </w:r>
          </w:p>
        </w:tc>
        <w:tc>
          <w:tcPr>
            <w:tcW w:w="2409" w:type="dxa"/>
            <w:tcBorders>
              <w:left w:val="nil"/>
              <w:right w:val="single" w:sz="4" w:space="0" w:color="auto"/>
            </w:tcBorders>
            <w:shd w:val="clear" w:color="000000" w:fill="FFFFFF"/>
            <w:vAlign w:val="bottom"/>
          </w:tcPr>
          <w:p w14:paraId="42FB49AF" w14:textId="1E65D467" w:rsidR="00B52BFF" w:rsidRPr="00F0538D" w:rsidRDefault="00232BE0"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29</w:t>
            </w:r>
          </w:p>
        </w:tc>
      </w:tr>
      <w:tr w:rsidR="00B52BFF" w:rsidRPr="00F0538D" w14:paraId="716E88AD" w14:textId="77777777" w:rsidTr="00B52BFF">
        <w:trPr>
          <w:trHeight w:val="259"/>
        </w:trPr>
        <w:tc>
          <w:tcPr>
            <w:tcW w:w="5032" w:type="dxa"/>
            <w:tcBorders>
              <w:left w:val="single" w:sz="4" w:space="0" w:color="auto"/>
              <w:right w:val="nil"/>
            </w:tcBorders>
            <w:shd w:val="clear" w:color="000000" w:fill="FFFFFF"/>
            <w:noWrap/>
            <w:vAlign w:val="bottom"/>
          </w:tcPr>
          <w:p w14:paraId="5FFB2CC9" w14:textId="50892FF6" w:rsidR="00B52BFF" w:rsidRPr="00F0538D" w:rsidRDefault="00B52BFF" w:rsidP="000F5367">
            <w:pPr>
              <w:spacing w:after="0" w:line="240" w:lineRule="auto"/>
              <w:ind w:firstLine="142"/>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 xml:space="preserve">Wilms </w:t>
            </w:r>
            <w:proofErr w:type="spellStart"/>
            <w:r w:rsidRPr="00F0538D">
              <w:rPr>
                <w:rFonts w:ascii="Calibri" w:eastAsia="Times New Roman" w:hAnsi="Calibri" w:cs="Calibri"/>
                <w:b/>
                <w:bCs/>
                <w:color w:val="000000"/>
                <w:lang w:eastAsia="fr-FR"/>
              </w:rPr>
              <w:t>tumor</w:t>
            </w:r>
            <w:proofErr w:type="spellEnd"/>
          </w:p>
        </w:tc>
        <w:tc>
          <w:tcPr>
            <w:tcW w:w="2409" w:type="dxa"/>
            <w:tcBorders>
              <w:left w:val="nil"/>
              <w:right w:val="single" w:sz="4" w:space="0" w:color="auto"/>
            </w:tcBorders>
            <w:shd w:val="clear" w:color="000000" w:fill="FFFFFF"/>
            <w:vAlign w:val="bottom"/>
          </w:tcPr>
          <w:p w14:paraId="7CDAD01B" w14:textId="439225FF" w:rsidR="00B52BFF" w:rsidRPr="00F0538D" w:rsidRDefault="00232BE0" w:rsidP="00232BE0">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27</w:t>
            </w:r>
          </w:p>
        </w:tc>
      </w:tr>
      <w:tr w:rsidR="00B52BFF" w:rsidRPr="00F0538D" w14:paraId="4D523419" w14:textId="77777777" w:rsidTr="00B52BFF">
        <w:trPr>
          <w:trHeight w:val="259"/>
        </w:trPr>
        <w:tc>
          <w:tcPr>
            <w:tcW w:w="5032" w:type="dxa"/>
            <w:tcBorders>
              <w:left w:val="single" w:sz="4" w:space="0" w:color="auto"/>
              <w:right w:val="nil"/>
            </w:tcBorders>
            <w:shd w:val="clear" w:color="000000" w:fill="FFFFFF"/>
            <w:noWrap/>
            <w:vAlign w:val="bottom"/>
          </w:tcPr>
          <w:p w14:paraId="540F26F7" w14:textId="3A01BDC5" w:rsidR="00B52BFF" w:rsidRPr="00F0538D" w:rsidRDefault="00B52BFF" w:rsidP="000F5367">
            <w:pPr>
              <w:spacing w:after="0" w:line="240" w:lineRule="auto"/>
              <w:ind w:firstLine="142"/>
              <w:rPr>
                <w:rFonts w:ascii="Calibri" w:eastAsia="Times New Roman" w:hAnsi="Calibri" w:cs="Calibri"/>
                <w:b/>
                <w:bCs/>
                <w:color w:val="000000"/>
                <w:lang w:eastAsia="fr-FR"/>
              </w:rPr>
            </w:pPr>
            <w:proofErr w:type="spellStart"/>
            <w:r w:rsidRPr="00F0538D">
              <w:rPr>
                <w:rFonts w:ascii="Calibri" w:eastAsia="Times New Roman" w:hAnsi="Calibri" w:cs="Calibri"/>
                <w:b/>
                <w:bCs/>
                <w:color w:val="000000"/>
                <w:lang w:eastAsia="fr-FR"/>
              </w:rPr>
              <w:t>Hepatoblastoma</w:t>
            </w:r>
            <w:proofErr w:type="spellEnd"/>
          </w:p>
        </w:tc>
        <w:tc>
          <w:tcPr>
            <w:tcW w:w="2409" w:type="dxa"/>
            <w:tcBorders>
              <w:left w:val="nil"/>
              <w:right w:val="single" w:sz="4" w:space="0" w:color="auto"/>
            </w:tcBorders>
            <w:shd w:val="clear" w:color="000000" w:fill="FFFFFF"/>
            <w:vAlign w:val="bottom"/>
          </w:tcPr>
          <w:p w14:paraId="6AD01F6B" w14:textId="5DB5FD34" w:rsidR="00B52BFF" w:rsidRPr="00F0538D" w:rsidRDefault="00B52BFF"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8</w:t>
            </w:r>
          </w:p>
        </w:tc>
      </w:tr>
      <w:tr w:rsidR="00B52BFF" w:rsidRPr="00F0538D" w14:paraId="726386B8" w14:textId="77777777" w:rsidTr="00B52BFF">
        <w:trPr>
          <w:trHeight w:val="259"/>
        </w:trPr>
        <w:tc>
          <w:tcPr>
            <w:tcW w:w="5032" w:type="dxa"/>
            <w:tcBorders>
              <w:left w:val="single" w:sz="4" w:space="0" w:color="auto"/>
              <w:bottom w:val="single" w:sz="4" w:space="0" w:color="auto"/>
              <w:right w:val="nil"/>
            </w:tcBorders>
            <w:shd w:val="clear" w:color="000000" w:fill="FFFFFF"/>
            <w:noWrap/>
            <w:vAlign w:val="bottom"/>
          </w:tcPr>
          <w:p w14:paraId="352750D6" w14:textId="2C8B7F7B" w:rsidR="00B52BFF" w:rsidRPr="00F0538D" w:rsidRDefault="00B52BFF" w:rsidP="000F5367">
            <w:pPr>
              <w:spacing w:after="0" w:line="240" w:lineRule="auto"/>
              <w:ind w:firstLine="142"/>
              <w:rPr>
                <w:rFonts w:ascii="Calibri" w:eastAsia="Times New Roman" w:hAnsi="Calibri" w:cs="Calibri"/>
                <w:b/>
                <w:bCs/>
                <w:lang w:eastAsia="fr-FR"/>
              </w:rPr>
            </w:pPr>
            <w:r w:rsidRPr="00F0538D">
              <w:rPr>
                <w:rFonts w:ascii="Calibri" w:eastAsia="Times New Roman" w:hAnsi="Calibri" w:cs="Calibri"/>
                <w:b/>
                <w:bCs/>
                <w:color w:val="000000"/>
                <w:lang w:eastAsia="fr-FR"/>
              </w:rPr>
              <w:t xml:space="preserve">Other solid </w:t>
            </w:r>
            <w:proofErr w:type="spellStart"/>
            <w:r w:rsidRPr="00F0538D">
              <w:rPr>
                <w:rFonts w:ascii="Calibri" w:eastAsia="Times New Roman" w:hAnsi="Calibri" w:cs="Calibri"/>
                <w:b/>
                <w:bCs/>
                <w:color w:val="000000"/>
                <w:lang w:eastAsia="fr-FR"/>
              </w:rPr>
              <w:t>tumors</w:t>
            </w:r>
            <w:proofErr w:type="spellEnd"/>
          </w:p>
        </w:tc>
        <w:tc>
          <w:tcPr>
            <w:tcW w:w="2409" w:type="dxa"/>
            <w:tcBorders>
              <w:left w:val="nil"/>
              <w:bottom w:val="single" w:sz="4" w:space="0" w:color="auto"/>
              <w:right w:val="single" w:sz="4" w:space="0" w:color="auto"/>
            </w:tcBorders>
            <w:shd w:val="clear" w:color="000000" w:fill="FFFFFF"/>
            <w:vAlign w:val="bottom"/>
          </w:tcPr>
          <w:p w14:paraId="17CB6EBA" w14:textId="58C8726A" w:rsidR="00B52BFF" w:rsidRPr="00F0538D" w:rsidRDefault="00232BE0" w:rsidP="00232BE0">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13</w:t>
            </w:r>
          </w:p>
        </w:tc>
      </w:tr>
      <w:tr w:rsidR="00B52BFF" w:rsidRPr="00F0538D" w14:paraId="79B008E3" w14:textId="77777777" w:rsidTr="00B52BFF">
        <w:trPr>
          <w:trHeight w:val="259"/>
        </w:trPr>
        <w:tc>
          <w:tcPr>
            <w:tcW w:w="5032" w:type="dxa"/>
            <w:tcBorders>
              <w:top w:val="single" w:sz="4" w:space="0" w:color="auto"/>
              <w:left w:val="single" w:sz="4" w:space="0" w:color="auto"/>
              <w:right w:val="nil"/>
            </w:tcBorders>
            <w:shd w:val="clear" w:color="000000" w:fill="FFFFFF"/>
            <w:noWrap/>
            <w:vAlign w:val="bottom"/>
          </w:tcPr>
          <w:p w14:paraId="1C90CD05" w14:textId="7151ED57" w:rsidR="00B52BFF" w:rsidRPr="00F0538D" w:rsidRDefault="00B52BFF" w:rsidP="00425236">
            <w:pPr>
              <w:spacing w:after="0" w:line="240" w:lineRule="auto"/>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CNS TUMORS</w:t>
            </w:r>
          </w:p>
        </w:tc>
        <w:tc>
          <w:tcPr>
            <w:tcW w:w="2409" w:type="dxa"/>
            <w:tcBorders>
              <w:top w:val="single" w:sz="4" w:space="0" w:color="auto"/>
              <w:left w:val="nil"/>
              <w:right w:val="single" w:sz="4" w:space="0" w:color="auto"/>
            </w:tcBorders>
            <w:shd w:val="clear" w:color="000000" w:fill="FFFFFF"/>
            <w:vAlign w:val="bottom"/>
          </w:tcPr>
          <w:p w14:paraId="388C4E99" w14:textId="1CDA30FD" w:rsidR="00B52BFF" w:rsidRPr="00F0538D" w:rsidRDefault="000F5367" w:rsidP="000F5367">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 xml:space="preserve">216 (28%) </w:t>
            </w:r>
          </w:p>
        </w:tc>
      </w:tr>
      <w:tr w:rsidR="00B52BFF" w:rsidRPr="00F0538D" w14:paraId="6D72FB35" w14:textId="77777777" w:rsidTr="00B52BFF">
        <w:trPr>
          <w:trHeight w:val="259"/>
        </w:trPr>
        <w:tc>
          <w:tcPr>
            <w:tcW w:w="5032" w:type="dxa"/>
            <w:tcBorders>
              <w:left w:val="single" w:sz="4" w:space="0" w:color="auto"/>
              <w:right w:val="nil"/>
            </w:tcBorders>
            <w:shd w:val="clear" w:color="000000" w:fill="FFFFFF"/>
            <w:noWrap/>
            <w:vAlign w:val="bottom"/>
          </w:tcPr>
          <w:p w14:paraId="3466B791" w14:textId="384F61B1" w:rsidR="00B52BFF" w:rsidRPr="00F0538D" w:rsidRDefault="00B52BFF" w:rsidP="000F5367">
            <w:pPr>
              <w:spacing w:after="0" w:line="240" w:lineRule="auto"/>
              <w:ind w:firstLine="142"/>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High-grade glioma</w:t>
            </w:r>
          </w:p>
        </w:tc>
        <w:tc>
          <w:tcPr>
            <w:tcW w:w="2409" w:type="dxa"/>
            <w:tcBorders>
              <w:left w:val="nil"/>
              <w:right w:val="single" w:sz="4" w:space="0" w:color="auto"/>
            </w:tcBorders>
            <w:shd w:val="clear" w:color="000000" w:fill="FFFFFF"/>
            <w:vAlign w:val="bottom"/>
          </w:tcPr>
          <w:p w14:paraId="18C58B05" w14:textId="444BD5DB" w:rsidR="00B52BFF" w:rsidRPr="00F0538D" w:rsidRDefault="00B52BFF"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59</w:t>
            </w:r>
          </w:p>
        </w:tc>
      </w:tr>
      <w:tr w:rsidR="00B52BFF" w:rsidRPr="00F0538D" w14:paraId="017178BC" w14:textId="77777777" w:rsidTr="00B52BFF">
        <w:trPr>
          <w:trHeight w:val="259"/>
        </w:trPr>
        <w:tc>
          <w:tcPr>
            <w:tcW w:w="5032" w:type="dxa"/>
            <w:tcBorders>
              <w:left w:val="single" w:sz="4" w:space="0" w:color="auto"/>
              <w:right w:val="nil"/>
            </w:tcBorders>
            <w:shd w:val="clear" w:color="000000" w:fill="FFFFFF"/>
            <w:noWrap/>
            <w:vAlign w:val="bottom"/>
          </w:tcPr>
          <w:p w14:paraId="26731B86" w14:textId="111D9E52" w:rsidR="00B52BFF" w:rsidRPr="00F0538D" w:rsidRDefault="00B52BFF" w:rsidP="000F5367">
            <w:pPr>
              <w:spacing w:after="0" w:line="240" w:lineRule="auto"/>
              <w:ind w:firstLine="142"/>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Low-grade glioma</w:t>
            </w:r>
          </w:p>
        </w:tc>
        <w:tc>
          <w:tcPr>
            <w:tcW w:w="2409" w:type="dxa"/>
            <w:tcBorders>
              <w:left w:val="nil"/>
              <w:right w:val="single" w:sz="4" w:space="0" w:color="auto"/>
            </w:tcBorders>
            <w:shd w:val="clear" w:color="000000" w:fill="FFFFFF"/>
            <w:vAlign w:val="bottom"/>
          </w:tcPr>
          <w:p w14:paraId="27870257" w14:textId="799623A3" w:rsidR="00B52BFF" w:rsidRPr="00F0538D" w:rsidRDefault="000F5367" w:rsidP="000F5367">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23</w:t>
            </w:r>
          </w:p>
        </w:tc>
      </w:tr>
      <w:tr w:rsidR="00B52BFF" w:rsidRPr="00F0538D" w14:paraId="48A846CF" w14:textId="77777777" w:rsidTr="00B52BFF">
        <w:trPr>
          <w:trHeight w:val="259"/>
        </w:trPr>
        <w:tc>
          <w:tcPr>
            <w:tcW w:w="5032" w:type="dxa"/>
            <w:tcBorders>
              <w:left w:val="single" w:sz="4" w:space="0" w:color="auto"/>
              <w:right w:val="nil"/>
            </w:tcBorders>
            <w:shd w:val="clear" w:color="000000" w:fill="FFFFFF"/>
            <w:noWrap/>
            <w:vAlign w:val="bottom"/>
          </w:tcPr>
          <w:p w14:paraId="1BD815F6" w14:textId="20023E52" w:rsidR="00B52BFF" w:rsidRPr="00F0538D" w:rsidRDefault="00B52BFF" w:rsidP="000F5367">
            <w:pPr>
              <w:spacing w:after="0" w:line="240" w:lineRule="auto"/>
              <w:ind w:firstLine="142"/>
              <w:rPr>
                <w:rFonts w:ascii="Calibri" w:eastAsia="Times New Roman" w:hAnsi="Calibri" w:cs="Calibri"/>
                <w:b/>
                <w:bCs/>
                <w:color w:val="000000"/>
                <w:lang w:eastAsia="fr-FR"/>
              </w:rPr>
            </w:pPr>
            <w:proofErr w:type="spellStart"/>
            <w:r w:rsidRPr="00F0538D">
              <w:rPr>
                <w:rFonts w:ascii="Calibri" w:eastAsia="Times New Roman" w:hAnsi="Calibri" w:cs="Calibri"/>
                <w:b/>
                <w:bCs/>
                <w:color w:val="000000"/>
                <w:lang w:eastAsia="fr-FR"/>
              </w:rPr>
              <w:t>Medulloblastoma</w:t>
            </w:r>
            <w:proofErr w:type="spellEnd"/>
          </w:p>
        </w:tc>
        <w:tc>
          <w:tcPr>
            <w:tcW w:w="2409" w:type="dxa"/>
            <w:tcBorders>
              <w:left w:val="nil"/>
              <w:right w:val="single" w:sz="4" w:space="0" w:color="auto"/>
            </w:tcBorders>
            <w:shd w:val="clear" w:color="000000" w:fill="FFFFFF"/>
            <w:vAlign w:val="bottom"/>
          </w:tcPr>
          <w:p w14:paraId="6A473424" w14:textId="4A33A777" w:rsidR="00B52BFF" w:rsidRPr="00F0538D" w:rsidRDefault="00B52BFF"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52</w:t>
            </w:r>
          </w:p>
        </w:tc>
      </w:tr>
      <w:tr w:rsidR="00B52BFF" w:rsidRPr="00F0538D" w14:paraId="4F3C44F1" w14:textId="77777777" w:rsidTr="00B52BFF">
        <w:trPr>
          <w:trHeight w:val="259"/>
        </w:trPr>
        <w:tc>
          <w:tcPr>
            <w:tcW w:w="5032" w:type="dxa"/>
            <w:tcBorders>
              <w:left w:val="single" w:sz="4" w:space="0" w:color="auto"/>
              <w:right w:val="nil"/>
            </w:tcBorders>
            <w:shd w:val="clear" w:color="000000" w:fill="FFFFFF"/>
            <w:noWrap/>
            <w:vAlign w:val="bottom"/>
          </w:tcPr>
          <w:p w14:paraId="02CE5513" w14:textId="562DC0D1" w:rsidR="00B52BFF" w:rsidRPr="00F0538D" w:rsidRDefault="00B52BFF" w:rsidP="000F5367">
            <w:pPr>
              <w:spacing w:after="0" w:line="240" w:lineRule="auto"/>
              <w:ind w:firstLine="142"/>
              <w:rPr>
                <w:rFonts w:ascii="Calibri" w:eastAsia="Times New Roman" w:hAnsi="Calibri" w:cs="Calibri"/>
                <w:b/>
                <w:bCs/>
                <w:color w:val="000000"/>
                <w:lang w:eastAsia="fr-FR"/>
              </w:rPr>
            </w:pPr>
            <w:proofErr w:type="spellStart"/>
            <w:r w:rsidRPr="00F0538D">
              <w:rPr>
                <w:rFonts w:ascii="Calibri" w:eastAsia="Times New Roman" w:hAnsi="Calibri" w:cs="Calibri"/>
                <w:b/>
                <w:bCs/>
                <w:color w:val="000000"/>
                <w:lang w:eastAsia="fr-FR"/>
              </w:rPr>
              <w:t>Ependymoma</w:t>
            </w:r>
            <w:proofErr w:type="spellEnd"/>
          </w:p>
        </w:tc>
        <w:tc>
          <w:tcPr>
            <w:tcW w:w="2409" w:type="dxa"/>
            <w:tcBorders>
              <w:left w:val="nil"/>
              <w:right w:val="single" w:sz="4" w:space="0" w:color="auto"/>
            </w:tcBorders>
            <w:shd w:val="clear" w:color="000000" w:fill="FFFFFF"/>
            <w:vAlign w:val="bottom"/>
          </w:tcPr>
          <w:p w14:paraId="3267B29F" w14:textId="3AAC660F" w:rsidR="00B52BFF" w:rsidRPr="00F0538D" w:rsidRDefault="00B52BFF"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34</w:t>
            </w:r>
          </w:p>
        </w:tc>
      </w:tr>
      <w:tr w:rsidR="00B52BFF" w:rsidRPr="00F0538D" w14:paraId="12EF8871" w14:textId="77777777" w:rsidTr="00B52BFF">
        <w:trPr>
          <w:trHeight w:val="259"/>
        </w:trPr>
        <w:tc>
          <w:tcPr>
            <w:tcW w:w="5032" w:type="dxa"/>
            <w:tcBorders>
              <w:left w:val="single" w:sz="4" w:space="0" w:color="auto"/>
              <w:right w:val="nil"/>
            </w:tcBorders>
            <w:shd w:val="clear" w:color="000000" w:fill="FFFFFF"/>
            <w:noWrap/>
            <w:vAlign w:val="bottom"/>
          </w:tcPr>
          <w:p w14:paraId="73B7CFD2" w14:textId="0A521E3C" w:rsidR="00B52BFF" w:rsidRPr="00F0538D" w:rsidRDefault="00B52BFF" w:rsidP="000F5367">
            <w:pPr>
              <w:spacing w:after="0" w:line="240" w:lineRule="auto"/>
              <w:ind w:firstLine="142"/>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ATRT</w:t>
            </w:r>
          </w:p>
        </w:tc>
        <w:tc>
          <w:tcPr>
            <w:tcW w:w="2409" w:type="dxa"/>
            <w:tcBorders>
              <w:left w:val="nil"/>
              <w:right w:val="single" w:sz="4" w:space="0" w:color="auto"/>
            </w:tcBorders>
            <w:shd w:val="clear" w:color="000000" w:fill="FFFFFF"/>
            <w:vAlign w:val="bottom"/>
          </w:tcPr>
          <w:p w14:paraId="151648B2" w14:textId="02D42186" w:rsidR="00B52BFF" w:rsidRPr="00F0538D" w:rsidRDefault="00B52BFF"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10</w:t>
            </w:r>
          </w:p>
        </w:tc>
      </w:tr>
      <w:tr w:rsidR="00B52BFF" w:rsidRPr="00F0538D" w14:paraId="2DE46028" w14:textId="77777777" w:rsidTr="00B52BFF">
        <w:trPr>
          <w:trHeight w:val="259"/>
        </w:trPr>
        <w:tc>
          <w:tcPr>
            <w:tcW w:w="5032" w:type="dxa"/>
            <w:tcBorders>
              <w:left w:val="single" w:sz="4" w:space="0" w:color="auto"/>
              <w:right w:val="nil"/>
            </w:tcBorders>
            <w:shd w:val="clear" w:color="000000" w:fill="FFFFFF"/>
            <w:noWrap/>
            <w:vAlign w:val="bottom"/>
          </w:tcPr>
          <w:p w14:paraId="7ADB9460" w14:textId="0FE21A3B" w:rsidR="00B52BFF" w:rsidRPr="00F0538D" w:rsidRDefault="00B52BFF" w:rsidP="000F5367">
            <w:pPr>
              <w:spacing w:after="0" w:line="240" w:lineRule="auto"/>
              <w:ind w:firstLine="142"/>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CNS-</w:t>
            </w:r>
            <w:r w:rsidR="000F5367" w:rsidRPr="00F0538D">
              <w:rPr>
                <w:rFonts w:ascii="Calibri" w:eastAsia="Times New Roman" w:hAnsi="Calibri" w:cs="Calibri"/>
                <w:b/>
                <w:bCs/>
                <w:color w:val="000000"/>
                <w:lang w:eastAsia="fr-FR"/>
              </w:rPr>
              <w:t xml:space="preserve">Germ cell </w:t>
            </w:r>
            <w:proofErr w:type="spellStart"/>
            <w:r w:rsidR="000F5367" w:rsidRPr="00F0538D">
              <w:rPr>
                <w:rFonts w:ascii="Calibri" w:eastAsia="Times New Roman" w:hAnsi="Calibri" w:cs="Calibri"/>
                <w:b/>
                <w:bCs/>
                <w:color w:val="000000"/>
                <w:lang w:eastAsia="fr-FR"/>
              </w:rPr>
              <w:t>tumor</w:t>
            </w:r>
            <w:proofErr w:type="spellEnd"/>
          </w:p>
        </w:tc>
        <w:tc>
          <w:tcPr>
            <w:tcW w:w="2409" w:type="dxa"/>
            <w:tcBorders>
              <w:left w:val="nil"/>
              <w:right w:val="single" w:sz="4" w:space="0" w:color="auto"/>
            </w:tcBorders>
            <w:shd w:val="clear" w:color="000000" w:fill="FFFFFF"/>
            <w:vAlign w:val="bottom"/>
          </w:tcPr>
          <w:p w14:paraId="03855A43" w14:textId="70150034" w:rsidR="00B52BFF" w:rsidRPr="00F0538D" w:rsidRDefault="000F5367"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7</w:t>
            </w:r>
          </w:p>
        </w:tc>
      </w:tr>
      <w:tr w:rsidR="00B52BFF" w:rsidRPr="00F0538D" w14:paraId="755D30A3" w14:textId="77777777" w:rsidTr="00B52BFF">
        <w:trPr>
          <w:trHeight w:val="259"/>
        </w:trPr>
        <w:tc>
          <w:tcPr>
            <w:tcW w:w="5032" w:type="dxa"/>
            <w:tcBorders>
              <w:left w:val="single" w:sz="4" w:space="0" w:color="auto"/>
              <w:right w:val="nil"/>
            </w:tcBorders>
            <w:shd w:val="clear" w:color="000000" w:fill="FFFFFF"/>
            <w:noWrap/>
            <w:vAlign w:val="bottom"/>
          </w:tcPr>
          <w:p w14:paraId="57E92D22" w14:textId="131FE357" w:rsidR="00B52BFF" w:rsidRPr="00F0538D" w:rsidRDefault="00B52BFF" w:rsidP="000F5367">
            <w:pPr>
              <w:spacing w:after="0" w:line="240" w:lineRule="auto"/>
              <w:ind w:firstLine="142"/>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Choroid plexus carcinoma</w:t>
            </w:r>
          </w:p>
        </w:tc>
        <w:tc>
          <w:tcPr>
            <w:tcW w:w="2409" w:type="dxa"/>
            <w:tcBorders>
              <w:left w:val="nil"/>
              <w:right w:val="single" w:sz="4" w:space="0" w:color="auto"/>
            </w:tcBorders>
            <w:shd w:val="clear" w:color="000000" w:fill="FFFFFF"/>
            <w:vAlign w:val="bottom"/>
          </w:tcPr>
          <w:p w14:paraId="5DCBFAB1" w14:textId="46712E66" w:rsidR="00B52BFF" w:rsidRPr="00F0538D" w:rsidRDefault="00B52BFF"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6</w:t>
            </w:r>
          </w:p>
        </w:tc>
      </w:tr>
      <w:tr w:rsidR="00B52BFF" w:rsidRPr="00F0538D" w14:paraId="61E49097" w14:textId="77777777" w:rsidTr="00B52BFF">
        <w:trPr>
          <w:trHeight w:val="259"/>
        </w:trPr>
        <w:tc>
          <w:tcPr>
            <w:tcW w:w="5032" w:type="dxa"/>
            <w:tcBorders>
              <w:left w:val="single" w:sz="4" w:space="0" w:color="auto"/>
              <w:bottom w:val="single" w:sz="4" w:space="0" w:color="auto"/>
              <w:right w:val="nil"/>
            </w:tcBorders>
            <w:shd w:val="clear" w:color="000000" w:fill="FFFFFF"/>
            <w:noWrap/>
            <w:vAlign w:val="bottom"/>
          </w:tcPr>
          <w:p w14:paraId="0700D96A" w14:textId="188BDF14" w:rsidR="00B52BFF" w:rsidRPr="00F0538D" w:rsidRDefault="00B52BFF" w:rsidP="000F5367">
            <w:pPr>
              <w:spacing w:after="0" w:line="240" w:lineRule="auto"/>
              <w:ind w:firstLine="142"/>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 xml:space="preserve">Other CNS </w:t>
            </w:r>
            <w:proofErr w:type="spellStart"/>
            <w:r w:rsidRPr="00F0538D">
              <w:rPr>
                <w:rFonts w:ascii="Calibri" w:eastAsia="Times New Roman" w:hAnsi="Calibri" w:cs="Calibri"/>
                <w:b/>
                <w:bCs/>
                <w:color w:val="000000"/>
                <w:lang w:eastAsia="fr-FR"/>
              </w:rPr>
              <w:t>tumors</w:t>
            </w:r>
            <w:proofErr w:type="spellEnd"/>
          </w:p>
        </w:tc>
        <w:tc>
          <w:tcPr>
            <w:tcW w:w="2409" w:type="dxa"/>
            <w:tcBorders>
              <w:left w:val="nil"/>
              <w:bottom w:val="single" w:sz="4" w:space="0" w:color="auto"/>
              <w:right w:val="single" w:sz="4" w:space="0" w:color="auto"/>
            </w:tcBorders>
            <w:shd w:val="clear" w:color="000000" w:fill="FFFFFF"/>
            <w:vAlign w:val="bottom"/>
          </w:tcPr>
          <w:p w14:paraId="3961396B" w14:textId="70B5C2A0" w:rsidR="00B52BFF" w:rsidRPr="00F0538D" w:rsidRDefault="000F5367" w:rsidP="000F5367">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23</w:t>
            </w:r>
          </w:p>
        </w:tc>
      </w:tr>
      <w:tr w:rsidR="00B52BFF" w:rsidRPr="00F0538D" w14:paraId="3CDDE795" w14:textId="77777777" w:rsidTr="00B52BFF">
        <w:trPr>
          <w:trHeight w:val="259"/>
        </w:trPr>
        <w:tc>
          <w:tcPr>
            <w:tcW w:w="5032" w:type="dxa"/>
            <w:tcBorders>
              <w:top w:val="single" w:sz="4" w:space="0" w:color="auto"/>
              <w:left w:val="single" w:sz="4" w:space="0" w:color="auto"/>
              <w:right w:val="nil"/>
            </w:tcBorders>
            <w:shd w:val="clear" w:color="000000" w:fill="FFFFFF"/>
            <w:noWrap/>
            <w:vAlign w:val="bottom"/>
          </w:tcPr>
          <w:p w14:paraId="23446A6C" w14:textId="280A1646" w:rsidR="00B52BFF" w:rsidRPr="00F0538D" w:rsidRDefault="00B52BFF" w:rsidP="00425236">
            <w:pPr>
              <w:spacing w:after="0" w:line="240" w:lineRule="auto"/>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LEUKEMIA</w:t>
            </w:r>
          </w:p>
        </w:tc>
        <w:tc>
          <w:tcPr>
            <w:tcW w:w="2409" w:type="dxa"/>
            <w:tcBorders>
              <w:top w:val="single" w:sz="4" w:space="0" w:color="auto"/>
              <w:left w:val="nil"/>
              <w:right w:val="single" w:sz="4" w:space="0" w:color="auto"/>
            </w:tcBorders>
            <w:shd w:val="clear" w:color="000000" w:fill="FFFFFF"/>
            <w:vAlign w:val="bottom"/>
          </w:tcPr>
          <w:p w14:paraId="0AE2E0FC" w14:textId="07F85802" w:rsidR="00B52BFF" w:rsidRPr="00F0538D" w:rsidRDefault="000F5367" w:rsidP="000F5367">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54 (7%)</w:t>
            </w:r>
          </w:p>
        </w:tc>
      </w:tr>
      <w:tr w:rsidR="00B52BFF" w:rsidRPr="00F0538D" w14:paraId="6A9D67AB" w14:textId="77777777" w:rsidTr="00B52BFF">
        <w:trPr>
          <w:trHeight w:val="259"/>
        </w:trPr>
        <w:tc>
          <w:tcPr>
            <w:tcW w:w="5032" w:type="dxa"/>
            <w:tcBorders>
              <w:left w:val="single" w:sz="4" w:space="0" w:color="auto"/>
              <w:right w:val="nil"/>
            </w:tcBorders>
            <w:shd w:val="clear" w:color="000000" w:fill="FFFFFF"/>
            <w:noWrap/>
            <w:vAlign w:val="bottom"/>
          </w:tcPr>
          <w:p w14:paraId="1B39C9F8" w14:textId="339F04A8" w:rsidR="00B52BFF" w:rsidRPr="00F0538D" w:rsidRDefault="00B52BFF" w:rsidP="000F5367">
            <w:pPr>
              <w:spacing w:after="0" w:line="240" w:lineRule="auto"/>
              <w:ind w:firstLine="142"/>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B-ALL</w:t>
            </w:r>
          </w:p>
        </w:tc>
        <w:tc>
          <w:tcPr>
            <w:tcW w:w="2409" w:type="dxa"/>
            <w:tcBorders>
              <w:left w:val="nil"/>
              <w:right w:val="single" w:sz="4" w:space="0" w:color="auto"/>
            </w:tcBorders>
            <w:shd w:val="clear" w:color="000000" w:fill="FFFFFF"/>
            <w:vAlign w:val="bottom"/>
          </w:tcPr>
          <w:p w14:paraId="66447084" w14:textId="5D54FD25" w:rsidR="00B52BFF" w:rsidRPr="00F0538D" w:rsidRDefault="000F5367"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20</w:t>
            </w:r>
          </w:p>
        </w:tc>
      </w:tr>
      <w:tr w:rsidR="00B52BFF" w:rsidRPr="00F0538D" w14:paraId="1B2E079F" w14:textId="77777777" w:rsidTr="00B52BFF">
        <w:trPr>
          <w:trHeight w:val="259"/>
        </w:trPr>
        <w:tc>
          <w:tcPr>
            <w:tcW w:w="5032" w:type="dxa"/>
            <w:tcBorders>
              <w:left w:val="single" w:sz="4" w:space="0" w:color="auto"/>
              <w:right w:val="nil"/>
            </w:tcBorders>
            <w:shd w:val="clear" w:color="000000" w:fill="FFFFFF"/>
            <w:noWrap/>
            <w:vAlign w:val="bottom"/>
          </w:tcPr>
          <w:p w14:paraId="0DC7222D" w14:textId="4FE70DE4" w:rsidR="00B52BFF" w:rsidRPr="00F0538D" w:rsidRDefault="00B52BFF" w:rsidP="000F5367">
            <w:pPr>
              <w:spacing w:after="0" w:line="240" w:lineRule="auto"/>
              <w:ind w:firstLine="142"/>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T-ALL</w:t>
            </w:r>
          </w:p>
        </w:tc>
        <w:tc>
          <w:tcPr>
            <w:tcW w:w="2409" w:type="dxa"/>
            <w:tcBorders>
              <w:left w:val="nil"/>
              <w:right w:val="single" w:sz="4" w:space="0" w:color="auto"/>
            </w:tcBorders>
            <w:shd w:val="clear" w:color="000000" w:fill="FFFFFF"/>
            <w:vAlign w:val="bottom"/>
          </w:tcPr>
          <w:p w14:paraId="06879A10" w14:textId="233240B3" w:rsidR="00B52BFF" w:rsidRPr="00F0538D" w:rsidRDefault="00B52BFF"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14</w:t>
            </w:r>
          </w:p>
        </w:tc>
      </w:tr>
      <w:tr w:rsidR="00B52BFF" w:rsidRPr="00F0538D" w14:paraId="06807272" w14:textId="77777777" w:rsidTr="00B52BFF">
        <w:trPr>
          <w:trHeight w:val="259"/>
        </w:trPr>
        <w:tc>
          <w:tcPr>
            <w:tcW w:w="5032" w:type="dxa"/>
            <w:tcBorders>
              <w:left w:val="single" w:sz="4" w:space="0" w:color="auto"/>
              <w:right w:val="nil"/>
            </w:tcBorders>
            <w:shd w:val="clear" w:color="000000" w:fill="FFFFFF"/>
            <w:noWrap/>
            <w:vAlign w:val="bottom"/>
          </w:tcPr>
          <w:p w14:paraId="7140C4AA" w14:textId="08B32E3F" w:rsidR="00B52BFF" w:rsidRPr="00F0538D" w:rsidRDefault="00B52BFF" w:rsidP="000F5367">
            <w:pPr>
              <w:spacing w:after="0" w:line="240" w:lineRule="auto"/>
              <w:ind w:firstLine="142"/>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AML</w:t>
            </w:r>
          </w:p>
        </w:tc>
        <w:tc>
          <w:tcPr>
            <w:tcW w:w="2409" w:type="dxa"/>
            <w:tcBorders>
              <w:left w:val="nil"/>
              <w:right w:val="single" w:sz="4" w:space="0" w:color="auto"/>
            </w:tcBorders>
            <w:shd w:val="clear" w:color="000000" w:fill="FFFFFF"/>
            <w:vAlign w:val="bottom"/>
          </w:tcPr>
          <w:p w14:paraId="226B3943" w14:textId="59E8E991" w:rsidR="00B52BFF" w:rsidRPr="00F0538D" w:rsidRDefault="00B52BFF"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17</w:t>
            </w:r>
          </w:p>
        </w:tc>
      </w:tr>
      <w:tr w:rsidR="00B52BFF" w:rsidRPr="00F0538D" w14:paraId="00755E4D" w14:textId="77777777" w:rsidTr="00B52BFF">
        <w:trPr>
          <w:trHeight w:val="259"/>
        </w:trPr>
        <w:tc>
          <w:tcPr>
            <w:tcW w:w="5032" w:type="dxa"/>
            <w:tcBorders>
              <w:left w:val="single" w:sz="4" w:space="0" w:color="auto"/>
              <w:bottom w:val="single" w:sz="4" w:space="0" w:color="auto"/>
              <w:right w:val="nil"/>
            </w:tcBorders>
            <w:shd w:val="clear" w:color="000000" w:fill="FFFFFF"/>
            <w:noWrap/>
            <w:vAlign w:val="bottom"/>
          </w:tcPr>
          <w:p w14:paraId="76D54DE1" w14:textId="31AF524B" w:rsidR="00B52BFF" w:rsidRPr="00F0538D" w:rsidRDefault="00B52BFF" w:rsidP="000F5367">
            <w:pPr>
              <w:spacing w:after="0" w:line="240" w:lineRule="auto"/>
              <w:ind w:firstLine="142"/>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 xml:space="preserve">Other </w:t>
            </w:r>
            <w:proofErr w:type="spellStart"/>
            <w:r w:rsidRPr="00F0538D">
              <w:rPr>
                <w:rFonts w:ascii="Calibri" w:eastAsia="Times New Roman" w:hAnsi="Calibri" w:cs="Calibri"/>
                <w:b/>
                <w:bCs/>
                <w:color w:val="000000"/>
                <w:lang w:eastAsia="fr-FR"/>
              </w:rPr>
              <w:t>leukemia</w:t>
            </w:r>
            <w:proofErr w:type="spellEnd"/>
          </w:p>
        </w:tc>
        <w:tc>
          <w:tcPr>
            <w:tcW w:w="2409" w:type="dxa"/>
            <w:tcBorders>
              <w:left w:val="nil"/>
              <w:bottom w:val="single" w:sz="4" w:space="0" w:color="auto"/>
              <w:right w:val="single" w:sz="4" w:space="0" w:color="auto"/>
            </w:tcBorders>
            <w:shd w:val="clear" w:color="000000" w:fill="FFFFFF"/>
            <w:vAlign w:val="bottom"/>
          </w:tcPr>
          <w:p w14:paraId="258BD4F4" w14:textId="57555802" w:rsidR="00B52BFF" w:rsidRPr="00F0538D" w:rsidRDefault="00B52BFF"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3</w:t>
            </w:r>
          </w:p>
        </w:tc>
      </w:tr>
      <w:tr w:rsidR="00B52BFF" w:rsidRPr="00F0538D" w14:paraId="6970B786" w14:textId="77777777" w:rsidTr="00B52BFF">
        <w:trPr>
          <w:trHeight w:val="259"/>
        </w:trPr>
        <w:tc>
          <w:tcPr>
            <w:tcW w:w="5032" w:type="dxa"/>
            <w:tcBorders>
              <w:top w:val="single" w:sz="4" w:space="0" w:color="auto"/>
              <w:left w:val="single" w:sz="4" w:space="0" w:color="auto"/>
              <w:right w:val="nil"/>
            </w:tcBorders>
            <w:shd w:val="clear" w:color="000000" w:fill="FFFFFF"/>
            <w:noWrap/>
            <w:vAlign w:val="bottom"/>
          </w:tcPr>
          <w:p w14:paraId="6BB5B7FB" w14:textId="243D70DD" w:rsidR="00B52BFF" w:rsidRPr="00F0538D" w:rsidRDefault="00B52BFF" w:rsidP="00425236">
            <w:pPr>
              <w:spacing w:after="0" w:line="240" w:lineRule="auto"/>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LYMPHOMA</w:t>
            </w:r>
          </w:p>
        </w:tc>
        <w:tc>
          <w:tcPr>
            <w:tcW w:w="2409" w:type="dxa"/>
            <w:tcBorders>
              <w:top w:val="single" w:sz="4" w:space="0" w:color="auto"/>
              <w:left w:val="nil"/>
              <w:right w:val="single" w:sz="4" w:space="0" w:color="auto"/>
            </w:tcBorders>
            <w:shd w:val="clear" w:color="000000" w:fill="FFFFFF"/>
            <w:vAlign w:val="bottom"/>
          </w:tcPr>
          <w:p w14:paraId="3EAC0CB8" w14:textId="20806C07" w:rsidR="00B52BFF" w:rsidRPr="00F0538D" w:rsidRDefault="000F5367" w:rsidP="000F5367">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33 (4%)</w:t>
            </w:r>
          </w:p>
        </w:tc>
      </w:tr>
      <w:tr w:rsidR="00B52BFF" w:rsidRPr="00F0538D" w14:paraId="2ACBA176" w14:textId="77777777" w:rsidTr="00B52BFF">
        <w:trPr>
          <w:trHeight w:val="259"/>
        </w:trPr>
        <w:tc>
          <w:tcPr>
            <w:tcW w:w="5032" w:type="dxa"/>
            <w:tcBorders>
              <w:left w:val="single" w:sz="4" w:space="0" w:color="auto"/>
              <w:right w:val="nil"/>
            </w:tcBorders>
            <w:shd w:val="clear" w:color="000000" w:fill="FFFFFF"/>
            <w:noWrap/>
            <w:vAlign w:val="bottom"/>
          </w:tcPr>
          <w:p w14:paraId="383FEE0A" w14:textId="60FDF094" w:rsidR="00B52BFF" w:rsidRPr="00F0538D" w:rsidRDefault="00B52BFF" w:rsidP="000F5367">
            <w:pPr>
              <w:spacing w:after="0" w:line="240" w:lineRule="auto"/>
              <w:ind w:firstLine="142"/>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 xml:space="preserve">Hodgkin lymphoma </w:t>
            </w:r>
          </w:p>
        </w:tc>
        <w:tc>
          <w:tcPr>
            <w:tcW w:w="2409" w:type="dxa"/>
            <w:tcBorders>
              <w:left w:val="nil"/>
              <w:right w:val="single" w:sz="4" w:space="0" w:color="auto"/>
            </w:tcBorders>
            <w:shd w:val="clear" w:color="000000" w:fill="FFFFFF"/>
            <w:vAlign w:val="bottom"/>
          </w:tcPr>
          <w:p w14:paraId="00507CAD" w14:textId="22A38304" w:rsidR="00B52BFF" w:rsidRPr="00F0538D" w:rsidRDefault="00B52BFF"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6</w:t>
            </w:r>
          </w:p>
        </w:tc>
      </w:tr>
      <w:tr w:rsidR="00B52BFF" w:rsidRPr="00F0538D" w14:paraId="2242F1C9" w14:textId="77777777" w:rsidTr="00B52BFF">
        <w:trPr>
          <w:trHeight w:val="259"/>
        </w:trPr>
        <w:tc>
          <w:tcPr>
            <w:tcW w:w="5032" w:type="dxa"/>
            <w:tcBorders>
              <w:left w:val="single" w:sz="4" w:space="0" w:color="auto"/>
              <w:right w:val="nil"/>
            </w:tcBorders>
            <w:shd w:val="clear" w:color="000000" w:fill="FFFFFF"/>
            <w:noWrap/>
            <w:vAlign w:val="bottom"/>
          </w:tcPr>
          <w:p w14:paraId="42B9FCE1" w14:textId="7D426869" w:rsidR="00B52BFF" w:rsidRPr="00F0538D" w:rsidRDefault="00B52BFF" w:rsidP="000F5367">
            <w:pPr>
              <w:spacing w:after="0" w:line="240" w:lineRule="auto"/>
              <w:ind w:firstLine="142"/>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Anaplastic large-cell lymphoma</w:t>
            </w:r>
          </w:p>
        </w:tc>
        <w:tc>
          <w:tcPr>
            <w:tcW w:w="2409" w:type="dxa"/>
            <w:tcBorders>
              <w:left w:val="nil"/>
              <w:right w:val="single" w:sz="4" w:space="0" w:color="auto"/>
            </w:tcBorders>
            <w:shd w:val="clear" w:color="000000" w:fill="FFFFFF"/>
            <w:vAlign w:val="bottom"/>
          </w:tcPr>
          <w:p w14:paraId="189B8B7D" w14:textId="75E5FDB4" w:rsidR="00B52BFF" w:rsidRPr="00F0538D" w:rsidRDefault="00B52BFF" w:rsidP="00425236">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15</w:t>
            </w:r>
          </w:p>
        </w:tc>
      </w:tr>
      <w:tr w:rsidR="00B52BFF" w:rsidRPr="00F0538D" w14:paraId="602CD04C" w14:textId="77777777" w:rsidTr="00B52BFF">
        <w:trPr>
          <w:trHeight w:val="259"/>
        </w:trPr>
        <w:tc>
          <w:tcPr>
            <w:tcW w:w="5032" w:type="dxa"/>
            <w:tcBorders>
              <w:left w:val="single" w:sz="4" w:space="0" w:color="auto"/>
              <w:bottom w:val="single" w:sz="4" w:space="0" w:color="auto"/>
              <w:right w:val="nil"/>
            </w:tcBorders>
            <w:shd w:val="clear" w:color="000000" w:fill="FFFFFF"/>
            <w:noWrap/>
            <w:vAlign w:val="bottom"/>
          </w:tcPr>
          <w:p w14:paraId="525D758A" w14:textId="79BD1E7C" w:rsidR="00B52BFF" w:rsidRPr="00F0538D" w:rsidRDefault="00B52BFF" w:rsidP="000F5367">
            <w:pPr>
              <w:spacing w:after="0" w:line="240" w:lineRule="auto"/>
              <w:ind w:firstLine="142"/>
              <w:rPr>
                <w:rFonts w:ascii="Calibri" w:eastAsia="Times New Roman" w:hAnsi="Calibri" w:cs="Calibri"/>
                <w:b/>
                <w:bCs/>
                <w:color w:val="000000"/>
                <w:lang w:eastAsia="fr-FR"/>
              </w:rPr>
            </w:pPr>
            <w:r w:rsidRPr="00F0538D">
              <w:rPr>
                <w:rFonts w:ascii="Calibri" w:eastAsia="Times New Roman" w:hAnsi="Calibri" w:cs="Calibri"/>
                <w:b/>
                <w:bCs/>
                <w:color w:val="000000"/>
                <w:lang w:eastAsia="fr-FR"/>
              </w:rPr>
              <w:t>Other non-</w:t>
            </w:r>
            <w:r w:rsidR="000F5367" w:rsidRPr="00F0538D">
              <w:rPr>
                <w:rFonts w:ascii="Calibri" w:eastAsia="Times New Roman" w:hAnsi="Calibri" w:cs="Calibri"/>
                <w:b/>
                <w:bCs/>
                <w:color w:val="000000"/>
                <w:lang w:eastAsia="fr-FR"/>
              </w:rPr>
              <w:t xml:space="preserve">Hodgkin </w:t>
            </w:r>
            <w:r w:rsidRPr="00F0538D">
              <w:rPr>
                <w:rFonts w:ascii="Calibri" w:eastAsia="Times New Roman" w:hAnsi="Calibri" w:cs="Calibri"/>
                <w:b/>
                <w:bCs/>
                <w:color w:val="000000"/>
                <w:lang w:eastAsia="fr-FR"/>
              </w:rPr>
              <w:t>lymphoma</w:t>
            </w:r>
          </w:p>
        </w:tc>
        <w:tc>
          <w:tcPr>
            <w:tcW w:w="2409" w:type="dxa"/>
            <w:tcBorders>
              <w:left w:val="nil"/>
              <w:bottom w:val="single" w:sz="4" w:space="0" w:color="auto"/>
              <w:right w:val="single" w:sz="4" w:space="0" w:color="auto"/>
            </w:tcBorders>
            <w:shd w:val="clear" w:color="000000" w:fill="FFFFFF"/>
            <w:vAlign w:val="bottom"/>
          </w:tcPr>
          <w:p w14:paraId="65AAAFF2" w14:textId="674761FF" w:rsidR="00B52BFF" w:rsidRPr="00F0538D" w:rsidRDefault="000F5367" w:rsidP="000F5367">
            <w:pPr>
              <w:spacing w:after="0" w:line="240" w:lineRule="auto"/>
              <w:jc w:val="center"/>
              <w:rPr>
                <w:rFonts w:ascii="Calibri" w:eastAsia="Times New Roman" w:hAnsi="Calibri" w:cs="Calibri"/>
                <w:color w:val="000000"/>
                <w:lang w:eastAsia="fr-FR"/>
              </w:rPr>
            </w:pPr>
            <w:r w:rsidRPr="00F0538D">
              <w:rPr>
                <w:rFonts w:ascii="Calibri" w:eastAsia="Times New Roman" w:hAnsi="Calibri" w:cs="Calibri"/>
                <w:color w:val="000000"/>
                <w:lang w:eastAsia="fr-FR"/>
              </w:rPr>
              <w:t>12</w:t>
            </w:r>
          </w:p>
        </w:tc>
      </w:tr>
    </w:tbl>
    <w:p w14:paraId="4933EAC1" w14:textId="75911EF7" w:rsidR="00570D99" w:rsidRPr="00DF27E2" w:rsidRDefault="00DF27E2" w:rsidP="00570D99">
      <w:r w:rsidRPr="00F0538D">
        <w:rPr>
          <w:b/>
        </w:rPr>
        <w:t>Supplementary Table 1</w:t>
      </w:r>
      <w:r w:rsidRPr="00F0538D">
        <w:t>: Patient’s characteristics.</w:t>
      </w:r>
      <w:r>
        <w:t xml:space="preserve"> </w:t>
      </w:r>
      <w:r w:rsidR="00570D99" w:rsidRPr="00F0538D">
        <w:rPr>
          <w:rFonts w:cstheme="minorHAnsi"/>
          <w:lang w:val="en-US"/>
        </w:rPr>
        <w:t>CNS: central nervous system, DSRCT: desmoplastic small round cell tumor, MPNST: malignant peripheral nerve sheath tumor, NOS: non-other specified.</w:t>
      </w:r>
    </w:p>
    <w:p w14:paraId="7B413E01" w14:textId="2A893A40" w:rsidR="00BA555D" w:rsidRDefault="00BA555D" w:rsidP="00122D6A"/>
    <w:tbl>
      <w:tblPr>
        <w:tblW w:w="8299" w:type="dxa"/>
        <w:tblInd w:w="55" w:type="dxa"/>
        <w:tblCellMar>
          <w:left w:w="70" w:type="dxa"/>
          <w:right w:w="70" w:type="dxa"/>
        </w:tblCellMar>
        <w:tblLook w:val="04A0" w:firstRow="1" w:lastRow="0" w:firstColumn="1" w:lastColumn="0" w:noHBand="0" w:noVBand="1"/>
      </w:tblPr>
      <w:tblGrid>
        <w:gridCol w:w="741"/>
        <w:gridCol w:w="2273"/>
        <w:gridCol w:w="2786"/>
        <w:gridCol w:w="2499"/>
      </w:tblGrid>
      <w:tr w:rsidR="00122D6A" w:rsidRPr="00C978A2" w14:paraId="257EA4E8" w14:textId="77777777" w:rsidTr="007F59CF">
        <w:trPr>
          <w:trHeight w:val="315"/>
        </w:trPr>
        <w:tc>
          <w:tcPr>
            <w:tcW w:w="741"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14:paraId="27565F1B" w14:textId="25794915" w:rsidR="00122D6A" w:rsidRPr="00C978A2" w:rsidRDefault="00122D6A" w:rsidP="00C978A2">
            <w:pPr>
              <w:spacing w:after="0" w:line="240" w:lineRule="auto"/>
              <w:jc w:val="center"/>
              <w:rPr>
                <w:rFonts w:ascii="Arial" w:eastAsia="Times New Roman" w:hAnsi="Arial" w:cs="Arial"/>
                <w:b/>
                <w:bCs/>
                <w:color w:val="000000"/>
                <w:sz w:val="18"/>
                <w:szCs w:val="18"/>
                <w:lang w:val="fr-FR" w:eastAsia="fr-FR"/>
              </w:rPr>
            </w:pPr>
            <w:r w:rsidRPr="00C978A2">
              <w:rPr>
                <w:rFonts w:ascii="Arial" w:eastAsia="Times New Roman" w:hAnsi="Arial" w:cs="Arial"/>
                <w:b/>
                <w:bCs/>
                <w:color w:val="000000"/>
                <w:sz w:val="18"/>
                <w:szCs w:val="18"/>
                <w:lang w:val="fr-FR" w:eastAsia="fr-FR"/>
              </w:rPr>
              <w:t>Patient</w:t>
            </w:r>
          </w:p>
        </w:tc>
        <w:tc>
          <w:tcPr>
            <w:tcW w:w="2273" w:type="dxa"/>
            <w:tcBorders>
              <w:top w:val="single" w:sz="8" w:space="0" w:color="FFFFFF"/>
              <w:left w:val="nil"/>
              <w:bottom w:val="single" w:sz="12" w:space="0" w:color="FFFFFF"/>
              <w:right w:val="single" w:sz="8" w:space="0" w:color="FFFFFF"/>
            </w:tcBorders>
            <w:shd w:val="clear" w:color="000000" w:fill="4F81BD"/>
            <w:vAlign w:val="center"/>
            <w:hideMark/>
          </w:tcPr>
          <w:p w14:paraId="378B4475" w14:textId="77777777" w:rsidR="00122D6A" w:rsidRPr="00C978A2" w:rsidRDefault="00122D6A" w:rsidP="00C978A2">
            <w:pPr>
              <w:spacing w:after="0" w:line="240" w:lineRule="auto"/>
              <w:jc w:val="center"/>
              <w:rPr>
                <w:rFonts w:ascii="Arial" w:eastAsia="Times New Roman" w:hAnsi="Arial" w:cs="Arial"/>
                <w:b/>
                <w:bCs/>
                <w:color w:val="000000"/>
                <w:sz w:val="18"/>
                <w:szCs w:val="18"/>
                <w:lang w:val="fr-FR" w:eastAsia="fr-FR"/>
              </w:rPr>
            </w:pPr>
            <w:r w:rsidRPr="00C978A2">
              <w:rPr>
                <w:rFonts w:ascii="Arial" w:eastAsia="Times New Roman" w:hAnsi="Arial" w:cs="Arial"/>
                <w:b/>
                <w:bCs/>
                <w:color w:val="000000"/>
                <w:sz w:val="18"/>
                <w:szCs w:val="18"/>
                <w:lang w:val="fr-FR" w:eastAsia="fr-FR"/>
              </w:rPr>
              <w:t xml:space="preserve">Initial </w:t>
            </w:r>
            <w:proofErr w:type="spellStart"/>
            <w:r w:rsidRPr="00C978A2">
              <w:rPr>
                <w:rFonts w:ascii="Arial" w:eastAsia="Times New Roman" w:hAnsi="Arial" w:cs="Arial"/>
                <w:b/>
                <w:bCs/>
                <w:color w:val="000000"/>
                <w:sz w:val="18"/>
                <w:szCs w:val="18"/>
                <w:lang w:val="fr-FR" w:eastAsia="fr-FR"/>
              </w:rPr>
              <w:t>diagnosis</w:t>
            </w:r>
            <w:proofErr w:type="spellEnd"/>
          </w:p>
        </w:tc>
        <w:tc>
          <w:tcPr>
            <w:tcW w:w="2786" w:type="dxa"/>
            <w:tcBorders>
              <w:top w:val="single" w:sz="8" w:space="0" w:color="FFFFFF"/>
              <w:left w:val="nil"/>
              <w:bottom w:val="single" w:sz="12" w:space="0" w:color="FFFFFF"/>
              <w:right w:val="single" w:sz="8" w:space="0" w:color="FFFFFF"/>
            </w:tcBorders>
            <w:shd w:val="clear" w:color="000000" w:fill="4F81BD"/>
            <w:vAlign w:val="center"/>
            <w:hideMark/>
          </w:tcPr>
          <w:p w14:paraId="74CE1870" w14:textId="77777777" w:rsidR="00122D6A" w:rsidRPr="00C978A2" w:rsidRDefault="00122D6A" w:rsidP="00C978A2">
            <w:pPr>
              <w:spacing w:after="0" w:line="240" w:lineRule="auto"/>
              <w:jc w:val="center"/>
              <w:rPr>
                <w:rFonts w:ascii="Arial" w:eastAsia="Times New Roman" w:hAnsi="Arial" w:cs="Arial"/>
                <w:b/>
                <w:bCs/>
                <w:color w:val="000000"/>
                <w:sz w:val="18"/>
                <w:szCs w:val="18"/>
                <w:lang w:val="fr-FR" w:eastAsia="fr-FR"/>
              </w:rPr>
            </w:pPr>
            <w:r w:rsidRPr="00C978A2">
              <w:rPr>
                <w:rFonts w:ascii="Arial" w:eastAsia="Times New Roman" w:hAnsi="Arial" w:cs="Arial"/>
                <w:b/>
                <w:bCs/>
                <w:color w:val="000000"/>
                <w:sz w:val="18"/>
                <w:szCs w:val="18"/>
                <w:lang w:val="fr-FR" w:eastAsia="fr-FR"/>
              </w:rPr>
              <w:t xml:space="preserve">Diagnostic </w:t>
            </w:r>
            <w:proofErr w:type="spellStart"/>
            <w:r w:rsidRPr="00C978A2">
              <w:rPr>
                <w:rFonts w:ascii="Arial" w:eastAsia="Times New Roman" w:hAnsi="Arial" w:cs="Arial"/>
                <w:b/>
                <w:bCs/>
                <w:color w:val="000000"/>
                <w:sz w:val="18"/>
                <w:szCs w:val="18"/>
                <w:lang w:val="fr-FR" w:eastAsia="fr-FR"/>
              </w:rPr>
              <w:t>revision</w:t>
            </w:r>
            <w:proofErr w:type="spellEnd"/>
          </w:p>
        </w:tc>
        <w:tc>
          <w:tcPr>
            <w:tcW w:w="2499" w:type="dxa"/>
            <w:tcBorders>
              <w:top w:val="single" w:sz="8" w:space="0" w:color="FFFFFF"/>
              <w:left w:val="nil"/>
              <w:bottom w:val="single" w:sz="12" w:space="0" w:color="FFFFFF"/>
              <w:right w:val="single" w:sz="8" w:space="0" w:color="FFFFFF"/>
            </w:tcBorders>
            <w:shd w:val="clear" w:color="000000" w:fill="4F81BD"/>
            <w:vAlign w:val="center"/>
            <w:hideMark/>
          </w:tcPr>
          <w:p w14:paraId="218C7C06" w14:textId="77777777" w:rsidR="00122D6A" w:rsidRPr="00C978A2" w:rsidRDefault="00122D6A" w:rsidP="00C978A2">
            <w:pPr>
              <w:spacing w:after="0" w:line="240" w:lineRule="auto"/>
              <w:jc w:val="center"/>
              <w:rPr>
                <w:rFonts w:ascii="Arial" w:eastAsia="Times New Roman" w:hAnsi="Arial" w:cs="Arial"/>
                <w:b/>
                <w:bCs/>
                <w:color w:val="000000"/>
                <w:sz w:val="18"/>
                <w:szCs w:val="18"/>
                <w:lang w:val="fr-FR" w:eastAsia="fr-FR"/>
              </w:rPr>
            </w:pPr>
            <w:proofErr w:type="spellStart"/>
            <w:r w:rsidRPr="00C978A2">
              <w:rPr>
                <w:rFonts w:ascii="Arial" w:eastAsia="Times New Roman" w:hAnsi="Arial" w:cs="Arial"/>
                <w:b/>
                <w:bCs/>
                <w:color w:val="000000"/>
                <w:sz w:val="18"/>
                <w:szCs w:val="18"/>
                <w:lang w:val="fr-FR" w:eastAsia="fr-FR"/>
              </w:rPr>
              <w:t>Reason</w:t>
            </w:r>
            <w:proofErr w:type="spellEnd"/>
            <w:r w:rsidRPr="00C978A2">
              <w:rPr>
                <w:rFonts w:ascii="Arial" w:eastAsia="Times New Roman" w:hAnsi="Arial" w:cs="Arial"/>
                <w:b/>
                <w:bCs/>
                <w:color w:val="000000"/>
                <w:sz w:val="18"/>
                <w:szCs w:val="18"/>
                <w:lang w:val="fr-FR" w:eastAsia="fr-FR"/>
              </w:rPr>
              <w:t xml:space="preserve"> modification</w:t>
            </w:r>
          </w:p>
        </w:tc>
      </w:tr>
      <w:tr w:rsidR="00122D6A" w:rsidRPr="00C978A2" w14:paraId="0174147A" w14:textId="77777777" w:rsidTr="007F59CF">
        <w:trPr>
          <w:trHeight w:val="445"/>
        </w:trPr>
        <w:tc>
          <w:tcPr>
            <w:tcW w:w="741" w:type="dxa"/>
            <w:tcBorders>
              <w:top w:val="nil"/>
              <w:left w:val="single" w:sz="8" w:space="0" w:color="FFFFFF"/>
              <w:bottom w:val="single" w:sz="8" w:space="0" w:color="FFFFFF"/>
              <w:right w:val="single" w:sz="8" w:space="0" w:color="FFFFFF"/>
            </w:tcBorders>
            <w:shd w:val="clear" w:color="000000" w:fill="D0D8E8"/>
            <w:vAlign w:val="center"/>
            <w:hideMark/>
          </w:tcPr>
          <w:p w14:paraId="06893100" w14:textId="389DDE2E"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1</w:t>
            </w:r>
          </w:p>
        </w:tc>
        <w:tc>
          <w:tcPr>
            <w:tcW w:w="2273" w:type="dxa"/>
            <w:tcBorders>
              <w:top w:val="nil"/>
              <w:left w:val="nil"/>
              <w:bottom w:val="single" w:sz="8" w:space="0" w:color="FFFFFF"/>
              <w:right w:val="single" w:sz="8" w:space="0" w:color="FFFFFF"/>
            </w:tcBorders>
            <w:shd w:val="clear" w:color="000000" w:fill="D0D8E8"/>
            <w:vAlign w:val="center"/>
            <w:hideMark/>
          </w:tcPr>
          <w:p w14:paraId="582982DF" w14:textId="064E5320"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proofErr w:type="spellStart"/>
            <w:r w:rsidRPr="00C978A2">
              <w:rPr>
                <w:rFonts w:ascii="Arial" w:eastAsia="Times New Roman" w:hAnsi="Arial" w:cs="Arial"/>
                <w:color w:val="000000"/>
                <w:sz w:val="18"/>
                <w:szCs w:val="18"/>
                <w:lang w:val="fr-FR" w:eastAsia="fr-FR"/>
              </w:rPr>
              <w:t>Osteosarcoma</w:t>
            </w:r>
            <w:proofErr w:type="spellEnd"/>
          </w:p>
        </w:tc>
        <w:tc>
          <w:tcPr>
            <w:tcW w:w="2786" w:type="dxa"/>
            <w:tcBorders>
              <w:top w:val="nil"/>
              <w:left w:val="nil"/>
              <w:bottom w:val="single" w:sz="8" w:space="0" w:color="FFFFFF"/>
              <w:right w:val="single" w:sz="8" w:space="0" w:color="FFFFFF"/>
            </w:tcBorders>
            <w:shd w:val="clear" w:color="000000" w:fill="D0D8E8"/>
            <w:vAlign w:val="center"/>
            <w:hideMark/>
          </w:tcPr>
          <w:p w14:paraId="4B8E95DA" w14:textId="5D667F32" w:rsidR="00122D6A" w:rsidRPr="00C978A2" w:rsidRDefault="00122D6A" w:rsidP="00D41376">
            <w:pPr>
              <w:spacing w:after="0" w:line="240" w:lineRule="auto"/>
              <w:jc w:val="center"/>
              <w:rPr>
                <w:rFonts w:ascii="Arial" w:eastAsia="Times New Roman" w:hAnsi="Arial" w:cs="Arial"/>
                <w:color w:val="000000"/>
                <w:sz w:val="18"/>
                <w:szCs w:val="18"/>
                <w:lang w:val="fr-FR" w:eastAsia="fr-FR"/>
              </w:rPr>
            </w:pPr>
            <w:proofErr w:type="spellStart"/>
            <w:r w:rsidRPr="00C978A2">
              <w:rPr>
                <w:rFonts w:ascii="Arial" w:eastAsia="Times New Roman" w:hAnsi="Arial" w:cs="Arial"/>
                <w:color w:val="000000"/>
                <w:sz w:val="18"/>
                <w:szCs w:val="18"/>
                <w:lang w:val="fr-FR" w:eastAsia="fr-FR"/>
              </w:rPr>
              <w:t>Mesenchymal</w:t>
            </w:r>
            <w:proofErr w:type="spellEnd"/>
            <w:r w:rsidRPr="00C978A2">
              <w:rPr>
                <w:rFonts w:ascii="Arial" w:eastAsia="Times New Roman" w:hAnsi="Arial" w:cs="Arial"/>
                <w:color w:val="000000"/>
                <w:sz w:val="18"/>
                <w:szCs w:val="18"/>
                <w:lang w:val="fr-FR" w:eastAsia="fr-FR"/>
              </w:rPr>
              <w:t xml:space="preserve"> </w:t>
            </w:r>
            <w:proofErr w:type="spellStart"/>
            <w:r w:rsidRPr="00C978A2">
              <w:rPr>
                <w:rFonts w:ascii="Arial" w:eastAsia="Times New Roman" w:hAnsi="Arial" w:cs="Arial"/>
                <w:color w:val="000000"/>
                <w:sz w:val="18"/>
                <w:szCs w:val="18"/>
                <w:lang w:val="fr-FR" w:eastAsia="fr-FR"/>
              </w:rPr>
              <w:t>chondrosarcoma</w:t>
            </w:r>
            <w:proofErr w:type="spellEnd"/>
            <w:r w:rsidRPr="00C978A2">
              <w:rPr>
                <w:rFonts w:ascii="Arial" w:eastAsia="Times New Roman" w:hAnsi="Arial" w:cs="Arial"/>
                <w:color w:val="000000"/>
                <w:sz w:val="18"/>
                <w:szCs w:val="18"/>
                <w:lang w:val="fr-FR" w:eastAsia="fr-FR"/>
              </w:rPr>
              <w:t xml:space="preserve"> </w:t>
            </w:r>
          </w:p>
        </w:tc>
        <w:tc>
          <w:tcPr>
            <w:tcW w:w="2499" w:type="dxa"/>
            <w:tcBorders>
              <w:top w:val="nil"/>
              <w:left w:val="nil"/>
              <w:bottom w:val="single" w:sz="8" w:space="0" w:color="FFFFFF"/>
              <w:right w:val="single" w:sz="8" w:space="0" w:color="FFFFFF"/>
            </w:tcBorders>
            <w:shd w:val="clear" w:color="000000" w:fill="D0D8E8"/>
            <w:vAlign w:val="center"/>
            <w:hideMark/>
          </w:tcPr>
          <w:p w14:paraId="3817BB2A" w14:textId="77777777"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HEY1/NCOA2 fusion</w:t>
            </w:r>
          </w:p>
        </w:tc>
      </w:tr>
      <w:tr w:rsidR="00122D6A" w:rsidRPr="00C978A2" w14:paraId="48A783F4" w14:textId="77777777" w:rsidTr="007F59CF">
        <w:trPr>
          <w:trHeight w:val="315"/>
        </w:trPr>
        <w:tc>
          <w:tcPr>
            <w:tcW w:w="741" w:type="dxa"/>
            <w:tcBorders>
              <w:top w:val="nil"/>
              <w:left w:val="single" w:sz="8" w:space="0" w:color="FFFFFF"/>
              <w:bottom w:val="single" w:sz="8" w:space="0" w:color="FFFFFF"/>
              <w:right w:val="single" w:sz="8" w:space="0" w:color="FFFFFF"/>
            </w:tcBorders>
            <w:shd w:val="clear" w:color="000000" w:fill="E9EDF4"/>
            <w:vAlign w:val="center"/>
            <w:hideMark/>
          </w:tcPr>
          <w:p w14:paraId="5D42341B" w14:textId="7FF70270"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2</w:t>
            </w:r>
          </w:p>
        </w:tc>
        <w:tc>
          <w:tcPr>
            <w:tcW w:w="2273" w:type="dxa"/>
            <w:tcBorders>
              <w:top w:val="nil"/>
              <w:left w:val="nil"/>
              <w:bottom w:val="single" w:sz="8" w:space="0" w:color="FFFFFF"/>
              <w:right w:val="single" w:sz="8" w:space="0" w:color="FFFFFF"/>
            </w:tcBorders>
            <w:shd w:val="clear" w:color="000000" w:fill="E9EDF4"/>
            <w:vAlign w:val="center"/>
            <w:hideMark/>
          </w:tcPr>
          <w:p w14:paraId="4FD5DAF5" w14:textId="3B2F99B3"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MPNST</w:t>
            </w:r>
          </w:p>
        </w:tc>
        <w:tc>
          <w:tcPr>
            <w:tcW w:w="2786" w:type="dxa"/>
            <w:tcBorders>
              <w:top w:val="nil"/>
              <w:left w:val="nil"/>
              <w:bottom w:val="single" w:sz="8" w:space="0" w:color="FFFFFF"/>
              <w:right w:val="single" w:sz="8" w:space="0" w:color="FFFFFF"/>
            </w:tcBorders>
            <w:shd w:val="clear" w:color="000000" w:fill="E9EDF4"/>
            <w:vAlign w:val="center"/>
            <w:hideMark/>
          </w:tcPr>
          <w:p w14:paraId="5A3DC491" w14:textId="150E49EB" w:rsidR="00122D6A" w:rsidRPr="00C978A2" w:rsidRDefault="00122D6A" w:rsidP="00B75F55">
            <w:pPr>
              <w:spacing w:after="0" w:line="240" w:lineRule="auto"/>
              <w:jc w:val="center"/>
              <w:rPr>
                <w:rFonts w:ascii="Arial" w:eastAsia="Times New Roman" w:hAnsi="Arial" w:cs="Arial"/>
                <w:color w:val="000000"/>
                <w:sz w:val="18"/>
                <w:szCs w:val="18"/>
                <w:lang w:val="fr-FR" w:eastAsia="fr-FR"/>
              </w:rPr>
            </w:pPr>
            <w:proofErr w:type="spellStart"/>
            <w:r w:rsidRPr="00C978A2">
              <w:rPr>
                <w:rFonts w:ascii="Arial" w:eastAsia="Times New Roman" w:hAnsi="Arial" w:cs="Arial"/>
                <w:color w:val="000000"/>
                <w:sz w:val="18"/>
                <w:szCs w:val="18"/>
                <w:lang w:val="fr-FR" w:eastAsia="fr-FR"/>
              </w:rPr>
              <w:t>R</w:t>
            </w:r>
            <w:r>
              <w:rPr>
                <w:rFonts w:ascii="Arial" w:eastAsia="Times New Roman" w:hAnsi="Arial" w:cs="Arial"/>
                <w:color w:val="000000"/>
                <w:sz w:val="18"/>
                <w:szCs w:val="18"/>
                <w:lang w:val="fr-FR" w:eastAsia="fr-FR"/>
              </w:rPr>
              <w:t>habdomyosarcoma</w:t>
            </w:r>
            <w:proofErr w:type="spellEnd"/>
          </w:p>
        </w:tc>
        <w:tc>
          <w:tcPr>
            <w:tcW w:w="2499" w:type="dxa"/>
            <w:tcBorders>
              <w:top w:val="nil"/>
              <w:left w:val="nil"/>
              <w:bottom w:val="single" w:sz="8" w:space="0" w:color="FFFFFF"/>
              <w:right w:val="single" w:sz="8" w:space="0" w:color="FFFFFF"/>
            </w:tcBorders>
            <w:shd w:val="clear" w:color="000000" w:fill="E9EDF4"/>
            <w:vAlign w:val="center"/>
            <w:hideMark/>
          </w:tcPr>
          <w:p w14:paraId="0EAAC72B" w14:textId="6869F678" w:rsidR="00122D6A" w:rsidRPr="00C978A2" w:rsidRDefault="00122D6A" w:rsidP="0001035E">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VGLL2</w:t>
            </w:r>
            <w:r>
              <w:rPr>
                <w:rFonts w:ascii="Arial" w:eastAsia="Times New Roman" w:hAnsi="Arial" w:cs="Arial"/>
                <w:color w:val="000000"/>
                <w:sz w:val="18"/>
                <w:szCs w:val="18"/>
                <w:lang w:val="fr-FR" w:eastAsia="fr-FR"/>
              </w:rPr>
              <w:t>/</w:t>
            </w:r>
            <w:r w:rsidRPr="00C978A2">
              <w:rPr>
                <w:rFonts w:ascii="Arial" w:eastAsia="Times New Roman" w:hAnsi="Arial" w:cs="Arial"/>
                <w:color w:val="000000"/>
                <w:sz w:val="18"/>
                <w:szCs w:val="18"/>
                <w:lang w:val="fr-FR" w:eastAsia="fr-FR"/>
              </w:rPr>
              <w:t>NCOA2 fusion</w:t>
            </w:r>
          </w:p>
        </w:tc>
      </w:tr>
      <w:tr w:rsidR="00122D6A" w:rsidRPr="00C978A2" w14:paraId="128A5A5C" w14:textId="77777777" w:rsidTr="007F59CF">
        <w:trPr>
          <w:trHeight w:val="315"/>
        </w:trPr>
        <w:tc>
          <w:tcPr>
            <w:tcW w:w="741" w:type="dxa"/>
            <w:tcBorders>
              <w:top w:val="nil"/>
              <w:left w:val="single" w:sz="8" w:space="0" w:color="FFFFFF"/>
              <w:bottom w:val="single" w:sz="8" w:space="0" w:color="FFFFFF"/>
              <w:right w:val="single" w:sz="8" w:space="0" w:color="FFFFFF"/>
            </w:tcBorders>
            <w:shd w:val="clear" w:color="000000" w:fill="D0D8E8"/>
            <w:vAlign w:val="center"/>
            <w:hideMark/>
          </w:tcPr>
          <w:p w14:paraId="5D7DFE7B" w14:textId="335A9F2A"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3</w:t>
            </w:r>
          </w:p>
        </w:tc>
        <w:tc>
          <w:tcPr>
            <w:tcW w:w="2273" w:type="dxa"/>
            <w:tcBorders>
              <w:top w:val="nil"/>
              <w:left w:val="nil"/>
              <w:bottom w:val="single" w:sz="8" w:space="0" w:color="FFFFFF"/>
              <w:right w:val="single" w:sz="8" w:space="0" w:color="FFFFFF"/>
            </w:tcBorders>
            <w:shd w:val="clear" w:color="000000" w:fill="D0D8E8"/>
            <w:vAlign w:val="center"/>
            <w:hideMark/>
          </w:tcPr>
          <w:p w14:paraId="4598A287" w14:textId="2C283B6D" w:rsidR="00122D6A" w:rsidRPr="00C978A2" w:rsidRDefault="00122D6A" w:rsidP="00D41376">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 xml:space="preserve">IMT ALK </w:t>
            </w:r>
            <w:proofErr w:type="spellStart"/>
            <w:r w:rsidRPr="00C978A2">
              <w:rPr>
                <w:rFonts w:ascii="Arial" w:eastAsia="Times New Roman" w:hAnsi="Arial" w:cs="Arial"/>
                <w:color w:val="000000"/>
                <w:sz w:val="18"/>
                <w:szCs w:val="18"/>
                <w:lang w:val="fr-FR" w:eastAsia="fr-FR"/>
              </w:rPr>
              <w:t>neg</w:t>
            </w:r>
            <w:proofErr w:type="spellEnd"/>
          </w:p>
        </w:tc>
        <w:tc>
          <w:tcPr>
            <w:tcW w:w="2786" w:type="dxa"/>
            <w:tcBorders>
              <w:top w:val="nil"/>
              <w:left w:val="nil"/>
              <w:bottom w:val="single" w:sz="8" w:space="0" w:color="FFFFFF"/>
              <w:right w:val="single" w:sz="8" w:space="0" w:color="FFFFFF"/>
            </w:tcBorders>
            <w:shd w:val="clear" w:color="000000" w:fill="D0D8E8"/>
            <w:vAlign w:val="center"/>
            <w:hideMark/>
          </w:tcPr>
          <w:p w14:paraId="0B9FF9D3" w14:textId="5B31C4EB" w:rsidR="00122D6A" w:rsidRPr="00C978A2" w:rsidRDefault="00122D6A" w:rsidP="00D41376">
            <w:pPr>
              <w:spacing w:after="0" w:line="240" w:lineRule="auto"/>
              <w:jc w:val="center"/>
              <w:rPr>
                <w:rFonts w:ascii="Arial" w:eastAsia="Times New Roman" w:hAnsi="Arial" w:cs="Arial"/>
                <w:color w:val="000000"/>
                <w:sz w:val="18"/>
                <w:szCs w:val="18"/>
                <w:lang w:val="fr-FR" w:eastAsia="fr-FR"/>
              </w:rPr>
            </w:pPr>
            <w:proofErr w:type="spellStart"/>
            <w:r w:rsidRPr="00C978A2">
              <w:rPr>
                <w:rFonts w:ascii="Arial" w:eastAsia="Times New Roman" w:hAnsi="Arial" w:cs="Arial"/>
                <w:color w:val="000000"/>
                <w:sz w:val="18"/>
                <w:szCs w:val="18"/>
                <w:lang w:val="fr-FR" w:eastAsia="fr-FR"/>
              </w:rPr>
              <w:t>Undifferentiated</w:t>
            </w:r>
            <w:proofErr w:type="spellEnd"/>
            <w:r w:rsidRPr="00C978A2">
              <w:rPr>
                <w:rFonts w:ascii="Arial" w:eastAsia="Times New Roman" w:hAnsi="Arial" w:cs="Arial"/>
                <w:color w:val="000000"/>
                <w:sz w:val="18"/>
                <w:szCs w:val="18"/>
                <w:lang w:val="fr-FR" w:eastAsia="fr-FR"/>
              </w:rPr>
              <w:t xml:space="preserve"> </w:t>
            </w:r>
            <w:proofErr w:type="spellStart"/>
            <w:r w:rsidRPr="00C978A2">
              <w:rPr>
                <w:rFonts w:ascii="Arial" w:eastAsia="Times New Roman" w:hAnsi="Arial" w:cs="Arial"/>
                <w:color w:val="000000"/>
                <w:sz w:val="18"/>
                <w:szCs w:val="18"/>
                <w:lang w:val="fr-FR" w:eastAsia="fr-FR"/>
              </w:rPr>
              <w:t>sarcoma</w:t>
            </w:r>
            <w:proofErr w:type="spellEnd"/>
            <w:r w:rsidRPr="00C978A2">
              <w:rPr>
                <w:rFonts w:ascii="Arial" w:eastAsia="Times New Roman" w:hAnsi="Arial" w:cs="Arial"/>
                <w:color w:val="000000"/>
                <w:sz w:val="18"/>
                <w:szCs w:val="18"/>
                <w:lang w:val="fr-FR" w:eastAsia="fr-FR"/>
              </w:rPr>
              <w:t xml:space="preserve"> </w:t>
            </w:r>
          </w:p>
        </w:tc>
        <w:tc>
          <w:tcPr>
            <w:tcW w:w="2499" w:type="dxa"/>
            <w:tcBorders>
              <w:top w:val="nil"/>
              <w:left w:val="nil"/>
              <w:bottom w:val="single" w:sz="8" w:space="0" w:color="FFFFFF"/>
              <w:right w:val="single" w:sz="8" w:space="0" w:color="FFFFFF"/>
            </w:tcBorders>
            <w:shd w:val="clear" w:color="000000" w:fill="D0D8E8"/>
            <w:vAlign w:val="center"/>
            <w:hideMark/>
          </w:tcPr>
          <w:p w14:paraId="133FD2E5" w14:textId="402CDB4A" w:rsidR="00122D6A" w:rsidRPr="00C978A2" w:rsidRDefault="00122D6A" w:rsidP="0001035E">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ETV6</w:t>
            </w:r>
            <w:r>
              <w:rPr>
                <w:rFonts w:ascii="Arial" w:eastAsia="Times New Roman" w:hAnsi="Arial" w:cs="Arial"/>
                <w:color w:val="000000"/>
                <w:sz w:val="18"/>
                <w:szCs w:val="18"/>
                <w:lang w:val="fr-FR" w:eastAsia="fr-FR"/>
              </w:rPr>
              <w:t>/</w:t>
            </w:r>
            <w:r w:rsidRPr="00C978A2">
              <w:rPr>
                <w:rFonts w:ascii="Arial" w:eastAsia="Times New Roman" w:hAnsi="Arial" w:cs="Arial"/>
                <w:color w:val="000000"/>
                <w:sz w:val="18"/>
                <w:szCs w:val="18"/>
                <w:lang w:val="fr-FR" w:eastAsia="fr-FR"/>
              </w:rPr>
              <w:t>NTRK3 fusion</w:t>
            </w:r>
          </w:p>
        </w:tc>
      </w:tr>
      <w:tr w:rsidR="00122D6A" w:rsidRPr="00C978A2" w14:paraId="1AB722B8" w14:textId="77777777" w:rsidTr="007F59CF">
        <w:trPr>
          <w:trHeight w:val="315"/>
        </w:trPr>
        <w:tc>
          <w:tcPr>
            <w:tcW w:w="741" w:type="dxa"/>
            <w:tcBorders>
              <w:top w:val="nil"/>
              <w:left w:val="single" w:sz="8" w:space="0" w:color="FFFFFF"/>
              <w:bottom w:val="single" w:sz="8" w:space="0" w:color="FFFFFF"/>
              <w:right w:val="single" w:sz="8" w:space="0" w:color="FFFFFF"/>
            </w:tcBorders>
            <w:shd w:val="clear" w:color="000000" w:fill="D0D8E8"/>
            <w:vAlign w:val="center"/>
            <w:hideMark/>
          </w:tcPr>
          <w:p w14:paraId="60B9339E" w14:textId="241DEC78"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4</w:t>
            </w:r>
          </w:p>
        </w:tc>
        <w:tc>
          <w:tcPr>
            <w:tcW w:w="2273" w:type="dxa"/>
            <w:tcBorders>
              <w:top w:val="nil"/>
              <w:left w:val="nil"/>
              <w:bottom w:val="single" w:sz="8" w:space="0" w:color="FFFFFF"/>
              <w:right w:val="single" w:sz="8" w:space="0" w:color="FFFFFF"/>
            </w:tcBorders>
            <w:shd w:val="clear" w:color="000000" w:fill="D0D8E8"/>
            <w:vAlign w:val="center"/>
            <w:hideMark/>
          </w:tcPr>
          <w:p w14:paraId="3BFE1714" w14:textId="77777777"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proofErr w:type="spellStart"/>
            <w:r w:rsidRPr="00C978A2">
              <w:rPr>
                <w:rFonts w:ascii="Arial" w:eastAsia="Times New Roman" w:hAnsi="Arial" w:cs="Arial"/>
                <w:color w:val="000000"/>
                <w:sz w:val="18"/>
                <w:szCs w:val="18"/>
                <w:lang w:val="fr-FR" w:eastAsia="fr-FR"/>
              </w:rPr>
              <w:t>Ependymoma</w:t>
            </w:r>
            <w:proofErr w:type="spellEnd"/>
          </w:p>
        </w:tc>
        <w:tc>
          <w:tcPr>
            <w:tcW w:w="2786" w:type="dxa"/>
            <w:tcBorders>
              <w:top w:val="nil"/>
              <w:left w:val="nil"/>
              <w:bottom w:val="single" w:sz="8" w:space="0" w:color="FFFFFF"/>
              <w:right w:val="single" w:sz="8" w:space="0" w:color="FFFFFF"/>
            </w:tcBorders>
            <w:shd w:val="clear" w:color="000000" w:fill="D0D8E8"/>
            <w:vAlign w:val="center"/>
            <w:hideMark/>
          </w:tcPr>
          <w:p w14:paraId="1DC83C93" w14:textId="77777777"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CNS HGNET-MN1</w:t>
            </w:r>
          </w:p>
        </w:tc>
        <w:tc>
          <w:tcPr>
            <w:tcW w:w="2499" w:type="dxa"/>
            <w:tcBorders>
              <w:top w:val="nil"/>
              <w:left w:val="nil"/>
              <w:bottom w:val="single" w:sz="8" w:space="0" w:color="FFFFFF"/>
              <w:right w:val="single" w:sz="8" w:space="0" w:color="FFFFFF"/>
            </w:tcBorders>
            <w:shd w:val="clear" w:color="000000" w:fill="D0D8E8"/>
            <w:vAlign w:val="center"/>
            <w:hideMark/>
          </w:tcPr>
          <w:p w14:paraId="25C892DE" w14:textId="77777777"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MN1-BEND2 fusion</w:t>
            </w:r>
          </w:p>
        </w:tc>
      </w:tr>
      <w:tr w:rsidR="00122D6A" w:rsidRPr="00C978A2" w14:paraId="15DC1CEF" w14:textId="77777777" w:rsidTr="007F59CF">
        <w:trPr>
          <w:trHeight w:val="336"/>
        </w:trPr>
        <w:tc>
          <w:tcPr>
            <w:tcW w:w="741" w:type="dxa"/>
            <w:tcBorders>
              <w:top w:val="nil"/>
              <w:left w:val="single" w:sz="8" w:space="0" w:color="FFFFFF"/>
              <w:bottom w:val="single" w:sz="8" w:space="0" w:color="FFFFFF"/>
              <w:right w:val="single" w:sz="8" w:space="0" w:color="FFFFFF"/>
            </w:tcBorders>
            <w:shd w:val="clear" w:color="000000" w:fill="E9EDF4"/>
            <w:vAlign w:val="center"/>
            <w:hideMark/>
          </w:tcPr>
          <w:p w14:paraId="7EBBBF09" w14:textId="0E6A0F5B"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5</w:t>
            </w:r>
          </w:p>
        </w:tc>
        <w:tc>
          <w:tcPr>
            <w:tcW w:w="2273" w:type="dxa"/>
            <w:tcBorders>
              <w:top w:val="nil"/>
              <w:left w:val="nil"/>
              <w:bottom w:val="single" w:sz="8" w:space="0" w:color="FFFFFF"/>
              <w:right w:val="single" w:sz="8" w:space="0" w:color="FFFFFF"/>
            </w:tcBorders>
            <w:shd w:val="clear" w:color="000000" w:fill="E9EDF4"/>
            <w:vAlign w:val="center"/>
            <w:hideMark/>
          </w:tcPr>
          <w:p w14:paraId="039CC671" w14:textId="77777777"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proofErr w:type="spellStart"/>
            <w:r w:rsidRPr="00C978A2">
              <w:rPr>
                <w:rFonts w:ascii="Arial" w:eastAsia="Times New Roman" w:hAnsi="Arial" w:cs="Arial"/>
                <w:color w:val="000000"/>
                <w:sz w:val="18"/>
                <w:szCs w:val="18"/>
                <w:lang w:val="fr-FR" w:eastAsia="fr-FR"/>
              </w:rPr>
              <w:t>Pleuropulmonary</w:t>
            </w:r>
            <w:proofErr w:type="spellEnd"/>
            <w:r w:rsidRPr="00C978A2">
              <w:rPr>
                <w:rFonts w:ascii="Arial" w:eastAsia="Times New Roman" w:hAnsi="Arial" w:cs="Arial"/>
                <w:color w:val="000000"/>
                <w:sz w:val="18"/>
                <w:szCs w:val="18"/>
                <w:lang w:val="fr-FR" w:eastAsia="fr-FR"/>
              </w:rPr>
              <w:t xml:space="preserve"> </w:t>
            </w:r>
            <w:proofErr w:type="spellStart"/>
            <w:r w:rsidRPr="00C978A2">
              <w:rPr>
                <w:rFonts w:ascii="Arial" w:eastAsia="Times New Roman" w:hAnsi="Arial" w:cs="Arial"/>
                <w:color w:val="000000"/>
                <w:sz w:val="18"/>
                <w:szCs w:val="18"/>
                <w:lang w:val="fr-FR" w:eastAsia="fr-FR"/>
              </w:rPr>
              <w:t>blastoma</w:t>
            </w:r>
            <w:proofErr w:type="spellEnd"/>
          </w:p>
        </w:tc>
        <w:tc>
          <w:tcPr>
            <w:tcW w:w="2786" w:type="dxa"/>
            <w:tcBorders>
              <w:top w:val="nil"/>
              <w:left w:val="nil"/>
              <w:bottom w:val="single" w:sz="8" w:space="0" w:color="FFFFFF"/>
              <w:right w:val="single" w:sz="8" w:space="0" w:color="FFFFFF"/>
            </w:tcBorders>
            <w:shd w:val="clear" w:color="000000" w:fill="E9EDF4"/>
            <w:vAlign w:val="center"/>
            <w:hideMark/>
          </w:tcPr>
          <w:p w14:paraId="30758E6E" w14:textId="0A70268F" w:rsidR="00122D6A" w:rsidRPr="00C978A2" w:rsidRDefault="00122D6A" w:rsidP="007E4785">
            <w:pPr>
              <w:spacing w:after="0" w:line="240" w:lineRule="auto"/>
              <w:jc w:val="center"/>
              <w:rPr>
                <w:rFonts w:ascii="Arial" w:eastAsia="Times New Roman" w:hAnsi="Arial" w:cs="Arial"/>
                <w:color w:val="000000"/>
                <w:sz w:val="18"/>
                <w:szCs w:val="18"/>
                <w:lang w:val="en-US" w:eastAsia="fr-FR"/>
              </w:rPr>
            </w:pPr>
            <w:proofErr w:type="spellStart"/>
            <w:r w:rsidRPr="00C978A2">
              <w:rPr>
                <w:rFonts w:ascii="Arial" w:eastAsia="Times New Roman" w:hAnsi="Arial" w:cs="Arial"/>
                <w:color w:val="000000"/>
                <w:sz w:val="18"/>
                <w:szCs w:val="18"/>
                <w:lang w:val="en-US" w:eastAsia="fr-FR"/>
              </w:rPr>
              <w:t>Fœtal</w:t>
            </w:r>
            <w:proofErr w:type="spellEnd"/>
            <w:r w:rsidRPr="00C978A2">
              <w:rPr>
                <w:rFonts w:ascii="Arial" w:eastAsia="Times New Roman" w:hAnsi="Arial" w:cs="Arial"/>
                <w:color w:val="000000"/>
                <w:sz w:val="18"/>
                <w:szCs w:val="18"/>
                <w:lang w:val="en-US" w:eastAsia="fr-FR"/>
              </w:rPr>
              <w:t xml:space="preserve"> </w:t>
            </w:r>
            <w:r>
              <w:rPr>
                <w:rFonts w:ascii="Arial" w:eastAsia="Times New Roman" w:hAnsi="Arial" w:cs="Arial"/>
                <w:color w:val="000000"/>
                <w:sz w:val="18"/>
                <w:szCs w:val="18"/>
                <w:lang w:val="en-US" w:eastAsia="fr-FR"/>
              </w:rPr>
              <w:t>a</w:t>
            </w:r>
            <w:r w:rsidRPr="00C978A2">
              <w:rPr>
                <w:rFonts w:ascii="Arial" w:eastAsia="Times New Roman" w:hAnsi="Arial" w:cs="Arial"/>
                <w:color w:val="000000"/>
                <w:sz w:val="18"/>
                <w:szCs w:val="18"/>
                <w:lang w:val="en-US" w:eastAsia="fr-FR"/>
              </w:rPr>
              <w:t>denocarcinoma of the lung</w:t>
            </w:r>
          </w:p>
        </w:tc>
        <w:tc>
          <w:tcPr>
            <w:tcW w:w="2499" w:type="dxa"/>
            <w:tcBorders>
              <w:top w:val="nil"/>
              <w:left w:val="nil"/>
              <w:bottom w:val="single" w:sz="8" w:space="0" w:color="FFFFFF"/>
              <w:right w:val="single" w:sz="8" w:space="0" w:color="FFFFFF"/>
            </w:tcBorders>
            <w:shd w:val="clear" w:color="000000" w:fill="E9EDF4"/>
            <w:vAlign w:val="center"/>
            <w:hideMark/>
          </w:tcPr>
          <w:p w14:paraId="28E5E056" w14:textId="77777777"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proofErr w:type="spellStart"/>
            <w:r w:rsidRPr="00C978A2">
              <w:rPr>
                <w:rFonts w:ascii="Arial" w:eastAsia="Times New Roman" w:hAnsi="Arial" w:cs="Arial"/>
                <w:color w:val="000000"/>
                <w:sz w:val="18"/>
                <w:szCs w:val="18"/>
                <w:lang w:val="fr-FR" w:eastAsia="fr-FR"/>
              </w:rPr>
              <w:t>Pathology</w:t>
            </w:r>
            <w:proofErr w:type="spellEnd"/>
            <w:r w:rsidRPr="00C978A2">
              <w:rPr>
                <w:rFonts w:ascii="Arial" w:eastAsia="Times New Roman" w:hAnsi="Arial" w:cs="Arial"/>
                <w:color w:val="000000"/>
                <w:sz w:val="18"/>
                <w:szCs w:val="18"/>
                <w:lang w:val="fr-FR" w:eastAsia="fr-FR"/>
              </w:rPr>
              <w:t xml:space="preserve"> report</w:t>
            </w:r>
          </w:p>
        </w:tc>
      </w:tr>
      <w:tr w:rsidR="00122D6A" w:rsidRPr="00C978A2" w14:paraId="47F7C7A2" w14:textId="77777777" w:rsidTr="007F59CF">
        <w:trPr>
          <w:trHeight w:val="315"/>
        </w:trPr>
        <w:tc>
          <w:tcPr>
            <w:tcW w:w="741" w:type="dxa"/>
            <w:tcBorders>
              <w:top w:val="nil"/>
              <w:left w:val="single" w:sz="8" w:space="0" w:color="FFFFFF"/>
              <w:bottom w:val="single" w:sz="8" w:space="0" w:color="FFFFFF"/>
              <w:right w:val="single" w:sz="8" w:space="0" w:color="FFFFFF"/>
            </w:tcBorders>
            <w:shd w:val="clear" w:color="000000" w:fill="E9EDF4"/>
            <w:vAlign w:val="center"/>
            <w:hideMark/>
          </w:tcPr>
          <w:p w14:paraId="384EC08F" w14:textId="2B4E0443"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6</w:t>
            </w:r>
          </w:p>
        </w:tc>
        <w:tc>
          <w:tcPr>
            <w:tcW w:w="2273" w:type="dxa"/>
            <w:tcBorders>
              <w:top w:val="nil"/>
              <w:left w:val="nil"/>
              <w:bottom w:val="single" w:sz="8" w:space="0" w:color="FFFFFF"/>
              <w:right w:val="single" w:sz="8" w:space="0" w:color="FFFFFF"/>
            </w:tcBorders>
            <w:shd w:val="clear" w:color="000000" w:fill="E9EDF4"/>
            <w:vAlign w:val="center"/>
            <w:hideMark/>
          </w:tcPr>
          <w:p w14:paraId="403E0F95" w14:textId="77777777"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proofErr w:type="spellStart"/>
            <w:r w:rsidRPr="00C978A2">
              <w:rPr>
                <w:rFonts w:ascii="Arial" w:eastAsia="Times New Roman" w:hAnsi="Arial" w:cs="Arial"/>
                <w:color w:val="000000"/>
                <w:sz w:val="18"/>
                <w:szCs w:val="18"/>
                <w:lang w:val="fr-FR" w:eastAsia="fr-FR"/>
              </w:rPr>
              <w:t>Ependymoma</w:t>
            </w:r>
            <w:proofErr w:type="spellEnd"/>
          </w:p>
        </w:tc>
        <w:tc>
          <w:tcPr>
            <w:tcW w:w="2786" w:type="dxa"/>
            <w:tcBorders>
              <w:top w:val="nil"/>
              <w:left w:val="nil"/>
              <w:bottom w:val="single" w:sz="8" w:space="0" w:color="FFFFFF"/>
              <w:right w:val="single" w:sz="8" w:space="0" w:color="FFFFFF"/>
            </w:tcBorders>
            <w:shd w:val="clear" w:color="000000" w:fill="E9EDF4"/>
            <w:vAlign w:val="center"/>
            <w:hideMark/>
          </w:tcPr>
          <w:p w14:paraId="27E8949B" w14:textId="77777777"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CNS-HGNET-BCOR</w:t>
            </w:r>
          </w:p>
        </w:tc>
        <w:tc>
          <w:tcPr>
            <w:tcW w:w="2499" w:type="dxa"/>
            <w:tcBorders>
              <w:top w:val="nil"/>
              <w:left w:val="nil"/>
              <w:bottom w:val="single" w:sz="8" w:space="0" w:color="FFFFFF"/>
              <w:right w:val="single" w:sz="8" w:space="0" w:color="FFFFFF"/>
            </w:tcBorders>
            <w:shd w:val="clear" w:color="000000" w:fill="E9EDF4"/>
            <w:vAlign w:val="center"/>
            <w:hideMark/>
          </w:tcPr>
          <w:p w14:paraId="2099D11B" w14:textId="5DC301A9" w:rsidR="00122D6A" w:rsidRPr="00C978A2" w:rsidRDefault="00122D6A" w:rsidP="0001035E">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ITD</w:t>
            </w:r>
            <w:r>
              <w:rPr>
                <w:rFonts w:ascii="Arial" w:eastAsia="Times New Roman" w:hAnsi="Arial" w:cs="Arial"/>
                <w:color w:val="000000"/>
                <w:sz w:val="18"/>
                <w:szCs w:val="18"/>
                <w:lang w:val="fr-FR" w:eastAsia="fr-FR"/>
              </w:rPr>
              <w:t>/</w:t>
            </w:r>
            <w:r w:rsidRPr="00C978A2">
              <w:rPr>
                <w:rFonts w:ascii="Arial" w:eastAsia="Times New Roman" w:hAnsi="Arial" w:cs="Arial"/>
                <w:color w:val="000000"/>
                <w:sz w:val="18"/>
                <w:szCs w:val="18"/>
                <w:lang w:val="fr-FR" w:eastAsia="fr-FR"/>
              </w:rPr>
              <w:t xml:space="preserve">BCOR </w:t>
            </w:r>
          </w:p>
        </w:tc>
      </w:tr>
      <w:tr w:rsidR="00122D6A" w:rsidRPr="00C978A2" w14:paraId="3C977570" w14:textId="77777777" w:rsidTr="007F59CF">
        <w:trPr>
          <w:trHeight w:val="315"/>
        </w:trPr>
        <w:tc>
          <w:tcPr>
            <w:tcW w:w="741" w:type="dxa"/>
            <w:tcBorders>
              <w:top w:val="nil"/>
              <w:left w:val="single" w:sz="8" w:space="0" w:color="FFFFFF"/>
              <w:bottom w:val="single" w:sz="8" w:space="0" w:color="FFFFFF"/>
              <w:right w:val="single" w:sz="8" w:space="0" w:color="FFFFFF"/>
            </w:tcBorders>
            <w:shd w:val="clear" w:color="000000" w:fill="D0D8E8"/>
            <w:vAlign w:val="center"/>
            <w:hideMark/>
          </w:tcPr>
          <w:p w14:paraId="07B26EFE" w14:textId="6C6C1A26"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7</w:t>
            </w:r>
          </w:p>
        </w:tc>
        <w:tc>
          <w:tcPr>
            <w:tcW w:w="2273" w:type="dxa"/>
            <w:tcBorders>
              <w:top w:val="nil"/>
              <w:left w:val="nil"/>
              <w:bottom w:val="single" w:sz="8" w:space="0" w:color="FFFFFF"/>
              <w:right w:val="single" w:sz="8" w:space="0" w:color="FFFFFF"/>
            </w:tcBorders>
            <w:shd w:val="clear" w:color="000000" w:fill="D0D8E8"/>
            <w:vAlign w:val="center"/>
            <w:hideMark/>
          </w:tcPr>
          <w:p w14:paraId="6358B148" w14:textId="77777777"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proofErr w:type="spellStart"/>
            <w:r w:rsidRPr="00C978A2">
              <w:rPr>
                <w:rFonts w:ascii="Arial" w:eastAsia="Times New Roman" w:hAnsi="Arial" w:cs="Arial"/>
                <w:color w:val="000000"/>
                <w:sz w:val="18"/>
                <w:szCs w:val="18"/>
                <w:lang w:val="fr-FR" w:eastAsia="fr-FR"/>
              </w:rPr>
              <w:t>Neuroepitelial</w:t>
            </w:r>
            <w:proofErr w:type="spellEnd"/>
            <w:r w:rsidRPr="00C978A2">
              <w:rPr>
                <w:rFonts w:ascii="Arial" w:eastAsia="Times New Roman" w:hAnsi="Arial" w:cs="Arial"/>
                <w:color w:val="000000"/>
                <w:sz w:val="18"/>
                <w:szCs w:val="18"/>
                <w:lang w:val="fr-FR" w:eastAsia="fr-FR"/>
              </w:rPr>
              <w:t xml:space="preserve"> </w:t>
            </w:r>
            <w:proofErr w:type="spellStart"/>
            <w:r w:rsidRPr="00C978A2">
              <w:rPr>
                <w:rFonts w:ascii="Arial" w:eastAsia="Times New Roman" w:hAnsi="Arial" w:cs="Arial"/>
                <w:color w:val="000000"/>
                <w:sz w:val="18"/>
                <w:szCs w:val="18"/>
                <w:lang w:val="fr-FR" w:eastAsia="fr-FR"/>
              </w:rPr>
              <w:t>tumor</w:t>
            </w:r>
            <w:proofErr w:type="spellEnd"/>
          </w:p>
        </w:tc>
        <w:tc>
          <w:tcPr>
            <w:tcW w:w="2786" w:type="dxa"/>
            <w:tcBorders>
              <w:top w:val="nil"/>
              <w:left w:val="nil"/>
              <w:bottom w:val="single" w:sz="8" w:space="0" w:color="FFFFFF"/>
              <w:right w:val="single" w:sz="8" w:space="0" w:color="FFFFFF"/>
            </w:tcBorders>
            <w:shd w:val="clear" w:color="000000" w:fill="D0D8E8"/>
            <w:vAlign w:val="center"/>
            <w:hideMark/>
          </w:tcPr>
          <w:p w14:paraId="5C95FB09" w14:textId="77777777"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proofErr w:type="spellStart"/>
            <w:r w:rsidRPr="00C978A2">
              <w:rPr>
                <w:rFonts w:ascii="Arial" w:eastAsia="Times New Roman" w:hAnsi="Arial" w:cs="Arial"/>
                <w:color w:val="000000"/>
                <w:sz w:val="18"/>
                <w:szCs w:val="18"/>
                <w:lang w:val="fr-FR" w:eastAsia="fr-FR"/>
              </w:rPr>
              <w:t>Ependymoma</w:t>
            </w:r>
            <w:proofErr w:type="spellEnd"/>
          </w:p>
        </w:tc>
        <w:tc>
          <w:tcPr>
            <w:tcW w:w="2499" w:type="dxa"/>
            <w:tcBorders>
              <w:top w:val="nil"/>
              <w:left w:val="nil"/>
              <w:bottom w:val="single" w:sz="8" w:space="0" w:color="FFFFFF"/>
              <w:right w:val="single" w:sz="8" w:space="0" w:color="FFFFFF"/>
            </w:tcBorders>
            <w:shd w:val="clear" w:color="000000" w:fill="D0D8E8"/>
            <w:vAlign w:val="center"/>
            <w:hideMark/>
          </w:tcPr>
          <w:p w14:paraId="00CC66FC" w14:textId="77777777"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C11orf95/RELA fusion</w:t>
            </w:r>
          </w:p>
        </w:tc>
      </w:tr>
      <w:tr w:rsidR="00122D6A" w:rsidRPr="00C978A2" w14:paraId="50EC160B" w14:textId="77777777" w:rsidTr="007F59CF">
        <w:trPr>
          <w:trHeight w:val="315"/>
        </w:trPr>
        <w:tc>
          <w:tcPr>
            <w:tcW w:w="741" w:type="dxa"/>
            <w:tcBorders>
              <w:top w:val="nil"/>
              <w:left w:val="single" w:sz="8" w:space="0" w:color="FFFFFF"/>
              <w:bottom w:val="single" w:sz="8" w:space="0" w:color="FFFFFF"/>
              <w:right w:val="single" w:sz="8" w:space="0" w:color="FFFFFF"/>
            </w:tcBorders>
            <w:shd w:val="clear" w:color="000000" w:fill="E9EDF4"/>
            <w:vAlign w:val="center"/>
            <w:hideMark/>
          </w:tcPr>
          <w:p w14:paraId="198123C1" w14:textId="0BFD41FF"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8</w:t>
            </w:r>
          </w:p>
        </w:tc>
        <w:tc>
          <w:tcPr>
            <w:tcW w:w="2273" w:type="dxa"/>
            <w:tcBorders>
              <w:top w:val="nil"/>
              <w:left w:val="nil"/>
              <w:bottom w:val="single" w:sz="8" w:space="0" w:color="FFFFFF"/>
              <w:right w:val="single" w:sz="8" w:space="0" w:color="FFFFFF"/>
            </w:tcBorders>
            <w:shd w:val="clear" w:color="000000" w:fill="E9EDF4"/>
            <w:vAlign w:val="center"/>
            <w:hideMark/>
          </w:tcPr>
          <w:p w14:paraId="0A456ECB" w14:textId="7900AAB7" w:rsidR="00122D6A" w:rsidRPr="00C978A2" w:rsidRDefault="00122D6A" w:rsidP="00B75F55">
            <w:pPr>
              <w:spacing w:after="0" w:line="240" w:lineRule="auto"/>
              <w:jc w:val="center"/>
              <w:rPr>
                <w:rFonts w:ascii="Arial" w:eastAsia="Times New Roman" w:hAnsi="Arial" w:cs="Arial"/>
                <w:color w:val="000000"/>
                <w:sz w:val="18"/>
                <w:szCs w:val="18"/>
                <w:lang w:val="fr-FR" w:eastAsia="fr-FR"/>
              </w:rPr>
            </w:pPr>
            <w:proofErr w:type="spellStart"/>
            <w:r w:rsidRPr="00C978A2">
              <w:rPr>
                <w:rFonts w:ascii="Arial" w:eastAsia="Times New Roman" w:hAnsi="Arial" w:cs="Arial"/>
                <w:color w:val="000000"/>
                <w:sz w:val="18"/>
                <w:szCs w:val="18"/>
                <w:lang w:val="fr-FR" w:eastAsia="fr-FR"/>
              </w:rPr>
              <w:t>H</w:t>
            </w:r>
            <w:r>
              <w:rPr>
                <w:rFonts w:ascii="Arial" w:eastAsia="Times New Roman" w:hAnsi="Arial" w:cs="Arial"/>
                <w:color w:val="000000"/>
                <w:sz w:val="18"/>
                <w:szCs w:val="18"/>
                <w:lang w:val="fr-FR" w:eastAsia="fr-FR"/>
              </w:rPr>
              <w:t>epatoblastoma</w:t>
            </w:r>
            <w:proofErr w:type="spellEnd"/>
          </w:p>
        </w:tc>
        <w:tc>
          <w:tcPr>
            <w:tcW w:w="2786" w:type="dxa"/>
            <w:tcBorders>
              <w:top w:val="nil"/>
              <w:left w:val="nil"/>
              <w:bottom w:val="single" w:sz="8" w:space="0" w:color="FFFFFF"/>
              <w:right w:val="single" w:sz="8" w:space="0" w:color="FFFFFF"/>
            </w:tcBorders>
            <w:shd w:val="clear" w:color="000000" w:fill="E9EDF4"/>
            <w:vAlign w:val="center"/>
            <w:hideMark/>
          </w:tcPr>
          <w:p w14:paraId="24B826C2" w14:textId="3B649589"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proofErr w:type="spellStart"/>
            <w:r>
              <w:rPr>
                <w:rFonts w:ascii="Arial" w:eastAsia="Times New Roman" w:hAnsi="Arial" w:cs="Arial"/>
                <w:color w:val="000000"/>
                <w:sz w:val="18"/>
                <w:szCs w:val="18"/>
                <w:lang w:val="fr-FR" w:eastAsia="fr-FR"/>
              </w:rPr>
              <w:t>H</w:t>
            </w:r>
            <w:r w:rsidRPr="00C978A2">
              <w:rPr>
                <w:rFonts w:ascii="Arial" w:eastAsia="Times New Roman" w:hAnsi="Arial" w:cs="Arial"/>
                <w:color w:val="000000"/>
                <w:sz w:val="18"/>
                <w:szCs w:val="18"/>
                <w:lang w:val="fr-FR" w:eastAsia="fr-FR"/>
              </w:rPr>
              <w:t>epatocarcinoma</w:t>
            </w:r>
            <w:proofErr w:type="spellEnd"/>
          </w:p>
        </w:tc>
        <w:tc>
          <w:tcPr>
            <w:tcW w:w="2499" w:type="dxa"/>
            <w:tcBorders>
              <w:top w:val="nil"/>
              <w:left w:val="nil"/>
              <w:bottom w:val="single" w:sz="8" w:space="0" w:color="FFFFFF"/>
              <w:right w:val="single" w:sz="8" w:space="0" w:color="FFFFFF"/>
            </w:tcBorders>
            <w:shd w:val="clear" w:color="000000" w:fill="E9EDF4"/>
            <w:vAlign w:val="center"/>
            <w:hideMark/>
          </w:tcPr>
          <w:p w14:paraId="47B39F1E" w14:textId="6355EB0A"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proofErr w:type="spellStart"/>
            <w:r>
              <w:rPr>
                <w:rFonts w:ascii="Arial" w:eastAsia="Times New Roman" w:hAnsi="Arial" w:cs="Arial"/>
                <w:color w:val="000000"/>
                <w:sz w:val="18"/>
                <w:szCs w:val="18"/>
                <w:lang w:val="fr-FR" w:eastAsia="fr-FR"/>
              </w:rPr>
              <w:t>P</w:t>
            </w:r>
            <w:r w:rsidRPr="00C978A2">
              <w:rPr>
                <w:rFonts w:ascii="Arial" w:eastAsia="Times New Roman" w:hAnsi="Arial" w:cs="Arial"/>
                <w:color w:val="000000"/>
                <w:sz w:val="18"/>
                <w:szCs w:val="18"/>
                <w:lang w:val="fr-FR" w:eastAsia="fr-FR"/>
              </w:rPr>
              <w:t>athology</w:t>
            </w:r>
            <w:proofErr w:type="spellEnd"/>
            <w:r w:rsidRPr="00C978A2">
              <w:rPr>
                <w:rFonts w:ascii="Arial" w:eastAsia="Times New Roman" w:hAnsi="Arial" w:cs="Arial"/>
                <w:color w:val="000000"/>
                <w:sz w:val="18"/>
                <w:szCs w:val="18"/>
                <w:lang w:val="fr-FR" w:eastAsia="fr-FR"/>
              </w:rPr>
              <w:t xml:space="preserve"> report</w:t>
            </w:r>
          </w:p>
        </w:tc>
      </w:tr>
      <w:tr w:rsidR="00122D6A" w:rsidRPr="00C978A2" w14:paraId="056A9217" w14:textId="77777777" w:rsidTr="007F59CF">
        <w:trPr>
          <w:trHeight w:val="315"/>
        </w:trPr>
        <w:tc>
          <w:tcPr>
            <w:tcW w:w="741" w:type="dxa"/>
            <w:tcBorders>
              <w:top w:val="nil"/>
              <w:left w:val="single" w:sz="8" w:space="0" w:color="FFFFFF"/>
              <w:bottom w:val="single" w:sz="8" w:space="0" w:color="FFFFFF"/>
              <w:right w:val="single" w:sz="8" w:space="0" w:color="FFFFFF"/>
            </w:tcBorders>
            <w:shd w:val="clear" w:color="000000" w:fill="D0D8E8"/>
            <w:vAlign w:val="center"/>
            <w:hideMark/>
          </w:tcPr>
          <w:p w14:paraId="0C167D2A" w14:textId="6D7A5132"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9</w:t>
            </w:r>
          </w:p>
        </w:tc>
        <w:tc>
          <w:tcPr>
            <w:tcW w:w="2273" w:type="dxa"/>
            <w:tcBorders>
              <w:top w:val="nil"/>
              <w:left w:val="nil"/>
              <w:bottom w:val="single" w:sz="8" w:space="0" w:color="FFFFFF"/>
              <w:right w:val="single" w:sz="8" w:space="0" w:color="FFFFFF"/>
            </w:tcBorders>
            <w:shd w:val="clear" w:color="000000" w:fill="D0D8E8"/>
            <w:vAlign w:val="center"/>
            <w:hideMark/>
          </w:tcPr>
          <w:p w14:paraId="55CC6D94" w14:textId="709BCE24" w:rsidR="00122D6A" w:rsidRPr="00C978A2" w:rsidRDefault="00122D6A" w:rsidP="00B75F55">
            <w:pPr>
              <w:spacing w:after="0" w:line="240" w:lineRule="auto"/>
              <w:jc w:val="center"/>
              <w:rPr>
                <w:rFonts w:ascii="Arial" w:eastAsia="Times New Roman" w:hAnsi="Arial" w:cs="Arial"/>
                <w:color w:val="000000"/>
                <w:sz w:val="18"/>
                <w:szCs w:val="18"/>
                <w:lang w:val="fr-FR" w:eastAsia="fr-FR"/>
              </w:rPr>
            </w:pPr>
            <w:proofErr w:type="spellStart"/>
            <w:r w:rsidRPr="00C978A2">
              <w:rPr>
                <w:rFonts w:ascii="Arial" w:eastAsia="Times New Roman" w:hAnsi="Arial" w:cs="Arial"/>
                <w:color w:val="000000"/>
                <w:sz w:val="18"/>
                <w:szCs w:val="18"/>
                <w:lang w:val="fr-FR" w:eastAsia="fr-FR"/>
              </w:rPr>
              <w:t>L</w:t>
            </w:r>
            <w:r>
              <w:rPr>
                <w:rFonts w:ascii="Arial" w:eastAsia="Times New Roman" w:hAnsi="Arial" w:cs="Arial"/>
                <w:color w:val="000000"/>
                <w:sz w:val="18"/>
                <w:szCs w:val="18"/>
                <w:lang w:val="fr-FR" w:eastAsia="fr-FR"/>
              </w:rPr>
              <w:t>ow</w:t>
            </w:r>
            <w:proofErr w:type="spellEnd"/>
            <w:r>
              <w:rPr>
                <w:rFonts w:ascii="Arial" w:eastAsia="Times New Roman" w:hAnsi="Arial" w:cs="Arial"/>
                <w:color w:val="000000"/>
                <w:sz w:val="18"/>
                <w:szCs w:val="18"/>
                <w:lang w:val="fr-FR" w:eastAsia="fr-FR"/>
              </w:rPr>
              <w:t xml:space="preserve"> grade </w:t>
            </w:r>
            <w:proofErr w:type="spellStart"/>
            <w:r>
              <w:rPr>
                <w:rFonts w:ascii="Arial" w:eastAsia="Times New Roman" w:hAnsi="Arial" w:cs="Arial"/>
                <w:color w:val="000000"/>
                <w:sz w:val="18"/>
                <w:szCs w:val="18"/>
                <w:lang w:val="fr-FR" w:eastAsia="fr-FR"/>
              </w:rPr>
              <w:t>glioma</w:t>
            </w:r>
            <w:proofErr w:type="spellEnd"/>
          </w:p>
        </w:tc>
        <w:tc>
          <w:tcPr>
            <w:tcW w:w="2786" w:type="dxa"/>
            <w:tcBorders>
              <w:top w:val="nil"/>
              <w:left w:val="nil"/>
              <w:bottom w:val="single" w:sz="8" w:space="0" w:color="FFFFFF"/>
              <w:right w:val="single" w:sz="8" w:space="0" w:color="FFFFFF"/>
            </w:tcBorders>
            <w:shd w:val="clear" w:color="000000" w:fill="D0D8E8"/>
            <w:vAlign w:val="center"/>
            <w:hideMark/>
          </w:tcPr>
          <w:p w14:paraId="1E949EE2" w14:textId="28FF6A40" w:rsidR="00122D6A" w:rsidRPr="00C978A2" w:rsidRDefault="00122D6A" w:rsidP="00B75F55">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H</w:t>
            </w:r>
            <w:r>
              <w:rPr>
                <w:rFonts w:ascii="Arial" w:eastAsia="Times New Roman" w:hAnsi="Arial" w:cs="Arial"/>
                <w:color w:val="000000"/>
                <w:sz w:val="18"/>
                <w:szCs w:val="18"/>
                <w:lang w:val="fr-FR" w:eastAsia="fr-FR"/>
              </w:rPr>
              <w:t xml:space="preserve">igh grade </w:t>
            </w:r>
            <w:proofErr w:type="spellStart"/>
            <w:r>
              <w:rPr>
                <w:rFonts w:ascii="Arial" w:eastAsia="Times New Roman" w:hAnsi="Arial" w:cs="Arial"/>
                <w:color w:val="000000"/>
                <w:sz w:val="18"/>
                <w:szCs w:val="18"/>
                <w:lang w:val="fr-FR" w:eastAsia="fr-FR"/>
              </w:rPr>
              <w:t>glioma</w:t>
            </w:r>
            <w:proofErr w:type="spellEnd"/>
          </w:p>
        </w:tc>
        <w:tc>
          <w:tcPr>
            <w:tcW w:w="2499" w:type="dxa"/>
            <w:tcBorders>
              <w:top w:val="nil"/>
              <w:left w:val="nil"/>
              <w:bottom w:val="single" w:sz="8" w:space="0" w:color="FFFFFF"/>
              <w:right w:val="single" w:sz="8" w:space="0" w:color="FFFFFF"/>
            </w:tcBorders>
            <w:shd w:val="clear" w:color="000000" w:fill="D0D8E8"/>
            <w:vAlign w:val="center"/>
            <w:hideMark/>
          </w:tcPr>
          <w:p w14:paraId="46A00EF4" w14:textId="77777777"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proofErr w:type="spellStart"/>
            <w:r w:rsidRPr="00C978A2">
              <w:rPr>
                <w:rFonts w:ascii="Arial" w:eastAsia="Times New Roman" w:hAnsi="Arial" w:cs="Arial"/>
                <w:color w:val="000000"/>
                <w:sz w:val="18"/>
                <w:szCs w:val="18"/>
                <w:lang w:val="fr-FR" w:eastAsia="fr-FR"/>
              </w:rPr>
              <w:t>Pathology</w:t>
            </w:r>
            <w:proofErr w:type="spellEnd"/>
            <w:r w:rsidRPr="00C978A2">
              <w:rPr>
                <w:rFonts w:ascii="Arial" w:eastAsia="Times New Roman" w:hAnsi="Arial" w:cs="Arial"/>
                <w:color w:val="000000"/>
                <w:sz w:val="18"/>
                <w:szCs w:val="18"/>
                <w:lang w:val="fr-FR" w:eastAsia="fr-FR"/>
              </w:rPr>
              <w:t xml:space="preserve"> report</w:t>
            </w:r>
          </w:p>
        </w:tc>
      </w:tr>
      <w:tr w:rsidR="00122D6A" w:rsidRPr="00C978A2" w14:paraId="1BC8A5E4" w14:textId="77777777" w:rsidTr="007F59CF">
        <w:trPr>
          <w:trHeight w:val="315"/>
        </w:trPr>
        <w:tc>
          <w:tcPr>
            <w:tcW w:w="741" w:type="dxa"/>
            <w:tcBorders>
              <w:top w:val="nil"/>
              <w:left w:val="single" w:sz="8" w:space="0" w:color="FFFFFF"/>
              <w:bottom w:val="single" w:sz="8" w:space="0" w:color="FFFFFF"/>
              <w:right w:val="single" w:sz="8" w:space="0" w:color="FFFFFF"/>
            </w:tcBorders>
            <w:shd w:val="clear" w:color="000000" w:fill="E9EDF4"/>
            <w:vAlign w:val="center"/>
            <w:hideMark/>
          </w:tcPr>
          <w:p w14:paraId="647341F6" w14:textId="2C203D74"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10</w:t>
            </w:r>
          </w:p>
        </w:tc>
        <w:tc>
          <w:tcPr>
            <w:tcW w:w="2273" w:type="dxa"/>
            <w:tcBorders>
              <w:top w:val="nil"/>
              <w:left w:val="nil"/>
              <w:bottom w:val="single" w:sz="8" w:space="0" w:color="FFFFFF"/>
              <w:right w:val="single" w:sz="8" w:space="0" w:color="FFFFFF"/>
            </w:tcBorders>
            <w:shd w:val="clear" w:color="000000" w:fill="E9EDF4"/>
            <w:vAlign w:val="center"/>
            <w:hideMark/>
          </w:tcPr>
          <w:p w14:paraId="34B670C1" w14:textId="77777777"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proofErr w:type="spellStart"/>
            <w:r w:rsidRPr="00C978A2">
              <w:rPr>
                <w:rFonts w:ascii="Arial" w:eastAsia="Times New Roman" w:hAnsi="Arial" w:cs="Arial"/>
                <w:color w:val="000000"/>
                <w:sz w:val="18"/>
                <w:szCs w:val="18"/>
                <w:lang w:val="fr-FR" w:eastAsia="fr-FR"/>
              </w:rPr>
              <w:t>Astroblastoma</w:t>
            </w:r>
            <w:proofErr w:type="spellEnd"/>
          </w:p>
        </w:tc>
        <w:tc>
          <w:tcPr>
            <w:tcW w:w="2786" w:type="dxa"/>
            <w:tcBorders>
              <w:top w:val="nil"/>
              <w:left w:val="nil"/>
              <w:bottom w:val="single" w:sz="8" w:space="0" w:color="FFFFFF"/>
              <w:right w:val="single" w:sz="8" w:space="0" w:color="FFFFFF"/>
            </w:tcBorders>
            <w:shd w:val="clear" w:color="000000" w:fill="E9EDF4"/>
            <w:vAlign w:val="center"/>
            <w:hideMark/>
          </w:tcPr>
          <w:p w14:paraId="561075A7" w14:textId="77777777"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 xml:space="preserve">CNS HGNET-MN1 </w:t>
            </w:r>
          </w:p>
        </w:tc>
        <w:tc>
          <w:tcPr>
            <w:tcW w:w="2499" w:type="dxa"/>
            <w:tcBorders>
              <w:top w:val="nil"/>
              <w:left w:val="nil"/>
              <w:bottom w:val="single" w:sz="8" w:space="0" w:color="FFFFFF"/>
              <w:right w:val="single" w:sz="8" w:space="0" w:color="FFFFFF"/>
            </w:tcBorders>
            <w:shd w:val="clear" w:color="000000" w:fill="E9EDF4"/>
            <w:vAlign w:val="center"/>
            <w:hideMark/>
          </w:tcPr>
          <w:p w14:paraId="507E63D4" w14:textId="3D6F3284" w:rsidR="00122D6A" w:rsidRPr="00C978A2" w:rsidRDefault="00122D6A" w:rsidP="0001035E">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MN1</w:t>
            </w:r>
            <w:r>
              <w:rPr>
                <w:rFonts w:ascii="Arial" w:eastAsia="Times New Roman" w:hAnsi="Arial" w:cs="Arial"/>
                <w:color w:val="000000"/>
                <w:sz w:val="18"/>
                <w:szCs w:val="18"/>
                <w:lang w:val="fr-FR" w:eastAsia="fr-FR"/>
              </w:rPr>
              <w:t>/</w:t>
            </w:r>
            <w:r w:rsidRPr="00C978A2">
              <w:rPr>
                <w:rFonts w:ascii="Arial" w:eastAsia="Times New Roman" w:hAnsi="Arial" w:cs="Arial"/>
                <w:color w:val="000000"/>
                <w:sz w:val="18"/>
                <w:szCs w:val="18"/>
                <w:lang w:val="fr-FR" w:eastAsia="fr-FR"/>
              </w:rPr>
              <w:t>BEND2 fusion</w:t>
            </w:r>
          </w:p>
        </w:tc>
      </w:tr>
      <w:tr w:rsidR="00122D6A" w:rsidRPr="00C978A2" w14:paraId="4DB7E81F" w14:textId="77777777" w:rsidTr="007F59CF">
        <w:trPr>
          <w:trHeight w:val="315"/>
        </w:trPr>
        <w:tc>
          <w:tcPr>
            <w:tcW w:w="741" w:type="dxa"/>
            <w:tcBorders>
              <w:top w:val="nil"/>
              <w:left w:val="single" w:sz="8" w:space="0" w:color="FFFFFF"/>
              <w:bottom w:val="nil"/>
              <w:right w:val="single" w:sz="8" w:space="0" w:color="FFFFFF"/>
            </w:tcBorders>
            <w:shd w:val="clear" w:color="000000" w:fill="D0D8E8"/>
            <w:vAlign w:val="center"/>
            <w:hideMark/>
          </w:tcPr>
          <w:p w14:paraId="7B90E88D" w14:textId="660F70F3"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11</w:t>
            </w:r>
          </w:p>
        </w:tc>
        <w:tc>
          <w:tcPr>
            <w:tcW w:w="2273" w:type="dxa"/>
            <w:tcBorders>
              <w:top w:val="nil"/>
              <w:left w:val="nil"/>
              <w:bottom w:val="nil"/>
              <w:right w:val="single" w:sz="8" w:space="0" w:color="FFFFFF"/>
            </w:tcBorders>
            <w:shd w:val="clear" w:color="000000" w:fill="D0D8E8"/>
            <w:vAlign w:val="center"/>
            <w:hideMark/>
          </w:tcPr>
          <w:p w14:paraId="0136696E" w14:textId="55045144"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H</w:t>
            </w:r>
            <w:r>
              <w:rPr>
                <w:rFonts w:ascii="Arial" w:eastAsia="Times New Roman" w:hAnsi="Arial" w:cs="Arial"/>
                <w:color w:val="000000"/>
                <w:sz w:val="18"/>
                <w:szCs w:val="18"/>
                <w:lang w:val="fr-FR" w:eastAsia="fr-FR"/>
              </w:rPr>
              <w:t xml:space="preserve">igh grade </w:t>
            </w:r>
            <w:proofErr w:type="spellStart"/>
            <w:r>
              <w:rPr>
                <w:rFonts w:ascii="Arial" w:eastAsia="Times New Roman" w:hAnsi="Arial" w:cs="Arial"/>
                <w:color w:val="000000"/>
                <w:sz w:val="18"/>
                <w:szCs w:val="18"/>
                <w:lang w:val="fr-FR" w:eastAsia="fr-FR"/>
              </w:rPr>
              <w:t>glioma</w:t>
            </w:r>
            <w:proofErr w:type="spellEnd"/>
          </w:p>
        </w:tc>
        <w:tc>
          <w:tcPr>
            <w:tcW w:w="2786" w:type="dxa"/>
            <w:tcBorders>
              <w:top w:val="nil"/>
              <w:left w:val="nil"/>
              <w:bottom w:val="nil"/>
              <w:right w:val="single" w:sz="8" w:space="0" w:color="FFFFFF"/>
            </w:tcBorders>
            <w:shd w:val="clear" w:color="000000" w:fill="D0D8E8"/>
            <w:vAlign w:val="center"/>
            <w:hideMark/>
          </w:tcPr>
          <w:p w14:paraId="1F774C59" w14:textId="77777777" w:rsidR="00122D6A" w:rsidRPr="00C978A2" w:rsidRDefault="00122D6A" w:rsidP="00C978A2">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 xml:space="preserve">CNS HGNET-MN1 </w:t>
            </w:r>
          </w:p>
        </w:tc>
        <w:tc>
          <w:tcPr>
            <w:tcW w:w="2499" w:type="dxa"/>
            <w:tcBorders>
              <w:top w:val="nil"/>
              <w:left w:val="nil"/>
              <w:bottom w:val="nil"/>
              <w:right w:val="single" w:sz="8" w:space="0" w:color="FFFFFF"/>
            </w:tcBorders>
            <w:shd w:val="clear" w:color="000000" w:fill="D0D8E8"/>
            <w:vAlign w:val="center"/>
            <w:hideMark/>
          </w:tcPr>
          <w:p w14:paraId="3EB8AC54" w14:textId="7C1E1C0E" w:rsidR="00122D6A" w:rsidRPr="00C978A2" w:rsidRDefault="00122D6A" w:rsidP="0001035E">
            <w:pPr>
              <w:spacing w:after="0" w:line="240" w:lineRule="auto"/>
              <w:jc w:val="center"/>
              <w:rPr>
                <w:rFonts w:ascii="Arial" w:eastAsia="Times New Roman" w:hAnsi="Arial" w:cs="Arial"/>
                <w:color w:val="000000"/>
                <w:sz w:val="18"/>
                <w:szCs w:val="18"/>
                <w:lang w:val="fr-FR" w:eastAsia="fr-FR"/>
              </w:rPr>
            </w:pPr>
            <w:r w:rsidRPr="00C978A2">
              <w:rPr>
                <w:rFonts w:ascii="Arial" w:eastAsia="Times New Roman" w:hAnsi="Arial" w:cs="Arial"/>
                <w:color w:val="000000"/>
                <w:sz w:val="18"/>
                <w:szCs w:val="18"/>
                <w:lang w:val="fr-FR" w:eastAsia="fr-FR"/>
              </w:rPr>
              <w:t>MN1</w:t>
            </w:r>
            <w:r>
              <w:rPr>
                <w:rFonts w:ascii="Arial" w:eastAsia="Times New Roman" w:hAnsi="Arial" w:cs="Arial"/>
                <w:color w:val="000000"/>
                <w:sz w:val="18"/>
                <w:szCs w:val="18"/>
                <w:lang w:val="fr-FR" w:eastAsia="fr-FR"/>
              </w:rPr>
              <w:t>/</w:t>
            </w:r>
            <w:r w:rsidRPr="00C978A2">
              <w:rPr>
                <w:rFonts w:ascii="Arial" w:eastAsia="Times New Roman" w:hAnsi="Arial" w:cs="Arial"/>
                <w:color w:val="000000"/>
                <w:sz w:val="18"/>
                <w:szCs w:val="18"/>
                <w:lang w:val="fr-FR" w:eastAsia="fr-FR"/>
              </w:rPr>
              <w:t>CXXC5 fusion</w:t>
            </w:r>
          </w:p>
        </w:tc>
      </w:tr>
      <w:tr w:rsidR="007F59CF" w:rsidRPr="00C978A2" w14:paraId="7B32BF0F" w14:textId="77777777" w:rsidTr="007F59CF">
        <w:trPr>
          <w:trHeight w:val="315"/>
        </w:trPr>
        <w:tc>
          <w:tcPr>
            <w:tcW w:w="741" w:type="dxa"/>
            <w:tcBorders>
              <w:top w:val="nil"/>
              <w:left w:val="single" w:sz="8" w:space="0" w:color="FFFFFF"/>
              <w:bottom w:val="single" w:sz="8" w:space="0" w:color="FFFFFF"/>
              <w:right w:val="single" w:sz="8" w:space="0" w:color="FFFFFF"/>
            </w:tcBorders>
            <w:shd w:val="clear" w:color="000000" w:fill="D0D8E8"/>
            <w:vAlign w:val="center"/>
          </w:tcPr>
          <w:p w14:paraId="4B678AB5" w14:textId="66985A4B" w:rsidR="007F59CF" w:rsidRPr="00C978A2" w:rsidRDefault="007F59CF" w:rsidP="00C978A2">
            <w:pPr>
              <w:spacing w:after="0" w:line="240" w:lineRule="auto"/>
              <w:jc w:val="center"/>
              <w:rPr>
                <w:rFonts w:ascii="Arial" w:eastAsia="Times New Roman" w:hAnsi="Arial" w:cs="Arial"/>
                <w:color w:val="000000"/>
                <w:sz w:val="18"/>
                <w:szCs w:val="18"/>
                <w:lang w:val="fr-FR" w:eastAsia="fr-FR"/>
              </w:rPr>
            </w:pPr>
            <w:r>
              <w:rPr>
                <w:rFonts w:ascii="Arial" w:eastAsia="Times New Roman" w:hAnsi="Arial" w:cs="Arial"/>
                <w:color w:val="000000"/>
                <w:sz w:val="18"/>
                <w:szCs w:val="18"/>
                <w:lang w:val="fr-FR" w:eastAsia="fr-FR"/>
              </w:rPr>
              <w:t>12</w:t>
            </w:r>
          </w:p>
        </w:tc>
        <w:tc>
          <w:tcPr>
            <w:tcW w:w="2273" w:type="dxa"/>
            <w:tcBorders>
              <w:top w:val="nil"/>
              <w:left w:val="nil"/>
              <w:bottom w:val="single" w:sz="8" w:space="0" w:color="FFFFFF"/>
              <w:right w:val="single" w:sz="8" w:space="0" w:color="FFFFFF"/>
            </w:tcBorders>
            <w:shd w:val="clear" w:color="000000" w:fill="D0D8E8"/>
            <w:vAlign w:val="center"/>
          </w:tcPr>
          <w:p w14:paraId="5E411346" w14:textId="5A387C44" w:rsidR="007F59CF" w:rsidRPr="00C978A2" w:rsidRDefault="007F59CF" w:rsidP="00C978A2">
            <w:pPr>
              <w:spacing w:after="0" w:line="240" w:lineRule="auto"/>
              <w:jc w:val="center"/>
              <w:rPr>
                <w:rFonts w:ascii="Arial" w:eastAsia="Times New Roman" w:hAnsi="Arial" w:cs="Arial"/>
                <w:color w:val="000000"/>
                <w:sz w:val="18"/>
                <w:szCs w:val="18"/>
                <w:lang w:val="fr-FR" w:eastAsia="fr-FR"/>
              </w:rPr>
            </w:pPr>
            <w:r>
              <w:rPr>
                <w:rFonts w:ascii="Arial" w:eastAsia="Times New Roman" w:hAnsi="Arial" w:cs="Arial"/>
                <w:color w:val="000000"/>
                <w:sz w:val="18"/>
                <w:szCs w:val="18"/>
                <w:lang w:val="fr-FR" w:eastAsia="fr-FR"/>
              </w:rPr>
              <w:t xml:space="preserve">Synovial </w:t>
            </w:r>
            <w:proofErr w:type="spellStart"/>
            <w:r>
              <w:rPr>
                <w:rFonts w:ascii="Arial" w:eastAsia="Times New Roman" w:hAnsi="Arial" w:cs="Arial"/>
                <w:color w:val="000000"/>
                <w:sz w:val="18"/>
                <w:szCs w:val="18"/>
                <w:lang w:val="fr-FR" w:eastAsia="fr-FR"/>
              </w:rPr>
              <w:t>sarcoma</w:t>
            </w:r>
            <w:proofErr w:type="spellEnd"/>
          </w:p>
        </w:tc>
        <w:tc>
          <w:tcPr>
            <w:tcW w:w="2786" w:type="dxa"/>
            <w:tcBorders>
              <w:top w:val="nil"/>
              <w:left w:val="nil"/>
              <w:bottom w:val="single" w:sz="8" w:space="0" w:color="FFFFFF"/>
              <w:right w:val="single" w:sz="8" w:space="0" w:color="FFFFFF"/>
            </w:tcBorders>
            <w:shd w:val="clear" w:color="000000" w:fill="D0D8E8"/>
            <w:vAlign w:val="center"/>
          </w:tcPr>
          <w:p w14:paraId="018D5640" w14:textId="3A127A90" w:rsidR="007F59CF" w:rsidRPr="00C978A2" w:rsidRDefault="007F59CF" w:rsidP="00C978A2">
            <w:pPr>
              <w:spacing w:after="0" w:line="240" w:lineRule="auto"/>
              <w:jc w:val="center"/>
              <w:rPr>
                <w:rFonts w:ascii="Arial" w:eastAsia="Times New Roman" w:hAnsi="Arial" w:cs="Arial"/>
                <w:color w:val="000000"/>
                <w:sz w:val="18"/>
                <w:szCs w:val="18"/>
                <w:lang w:val="fr-FR" w:eastAsia="fr-FR"/>
              </w:rPr>
            </w:pPr>
            <w:proofErr w:type="spellStart"/>
            <w:r w:rsidRPr="00C978A2">
              <w:rPr>
                <w:rFonts w:ascii="Arial" w:eastAsia="Times New Roman" w:hAnsi="Arial" w:cs="Arial"/>
                <w:color w:val="000000"/>
                <w:sz w:val="18"/>
                <w:szCs w:val="18"/>
                <w:lang w:val="fr-FR" w:eastAsia="fr-FR"/>
              </w:rPr>
              <w:t>Undifferentiated</w:t>
            </w:r>
            <w:proofErr w:type="spellEnd"/>
            <w:r w:rsidRPr="00C978A2">
              <w:rPr>
                <w:rFonts w:ascii="Arial" w:eastAsia="Times New Roman" w:hAnsi="Arial" w:cs="Arial"/>
                <w:color w:val="000000"/>
                <w:sz w:val="18"/>
                <w:szCs w:val="18"/>
                <w:lang w:val="fr-FR" w:eastAsia="fr-FR"/>
              </w:rPr>
              <w:t xml:space="preserve"> </w:t>
            </w:r>
            <w:proofErr w:type="spellStart"/>
            <w:r w:rsidRPr="00C978A2">
              <w:rPr>
                <w:rFonts w:ascii="Arial" w:eastAsia="Times New Roman" w:hAnsi="Arial" w:cs="Arial"/>
                <w:color w:val="000000"/>
                <w:sz w:val="18"/>
                <w:szCs w:val="18"/>
                <w:lang w:val="fr-FR" w:eastAsia="fr-FR"/>
              </w:rPr>
              <w:t>sarcoma</w:t>
            </w:r>
            <w:proofErr w:type="spellEnd"/>
          </w:p>
        </w:tc>
        <w:tc>
          <w:tcPr>
            <w:tcW w:w="2499" w:type="dxa"/>
            <w:tcBorders>
              <w:top w:val="nil"/>
              <w:left w:val="nil"/>
              <w:bottom w:val="single" w:sz="8" w:space="0" w:color="FFFFFF"/>
              <w:right w:val="single" w:sz="8" w:space="0" w:color="FFFFFF"/>
            </w:tcBorders>
            <w:shd w:val="clear" w:color="000000" w:fill="D0D8E8"/>
            <w:vAlign w:val="center"/>
          </w:tcPr>
          <w:p w14:paraId="2632855B" w14:textId="70737DEA" w:rsidR="007F59CF" w:rsidRPr="007F59CF" w:rsidRDefault="007F59CF" w:rsidP="0001035E">
            <w:pPr>
              <w:spacing w:after="0" w:line="240" w:lineRule="auto"/>
              <w:jc w:val="center"/>
              <w:rPr>
                <w:rFonts w:ascii="Arial" w:eastAsia="Times New Roman" w:hAnsi="Arial" w:cs="Arial"/>
                <w:color w:val="000000"/>
                <w:sz w:val="18"/>
                <w:szCs w:val="18"/>
                <w:lang w:val="en-US" w:eastAsia="fr-FR"/>
              </w:rPr>
            </w:pPr>
            <w:r w:rsidRPr="007F59CF">
              <w:rPr>
                <w:rFonts w:ascii="Arial" w:eastAsia="Times New Roman" w:hAnsi="Arial" w:cs="Arial"/>
                <w:color w:val="000000"/>
                <w:sz w:val="18"/>
                <w:szCs w:val="18"/>
                <w:lang w:val="en-US" w:eastAsia="fr-FR"/>
              </w:rPr>
              <w:t>Pathology report + absence of SS18-SSX fusion</w:t>
            </w:r>
          </w:p>
        </w:tc>
      </w:tr>
    </w:tbl>
    <w:p w14:paraId="3F3F6F36" w14:textId="274F1711" w:rsidR="00122D6A" w:rsidRPr="00DF27E2" w:rsidRDefault="00DF27E2" w:rsidP="00122D6A">
      <w:r w:rsidRPr="00F0538D">
        <w:rPr>
          <w:b/>
        </w:rPr>
        <w:t>Supplementary Table 2</w:t>
      </w:r>
      <w:r>
        <w:rPr>
          <w:b/>
        </w:rPr>
        <w:t>A</w:t>
      </w:r>
      <w:r w:rsidRPr="00F0538D">
        <w:t xml:space="preserve">: </w:t>
      </w:r>
      <w:r>
        <w:t xml:space="preserve">Revision of initial diagnosis </w:t>
      </w:r>
      <w:r>
        <w:t>of patients included in the MAPPYACTS trial</w:t>
      </w:r>
      <w:r w:rsidR="00122D6A" w:rsidRPr="00DF27E2">
        <w:t xml:space="preserve">, n=11. MPNST: malignant peripheral nerve sheath </w:t>
      </w:r>
      <w:proofErr w:type="spellStart"/>
      <w:r w:rsidR="00122D6A" w:rsidRPr="00DF27E2">
        <w:t>tumor</w:t>
      </w:r>
      <w:proofErr w:type="spellEnd"/>
      <w:r w:rsidR="00122D6A" w:rsidRPr="00DF27E2">
        <w:t xml:space="preserve">, IMT: inflammatory </w:t>
      </w:r>
      <w:proofErr w:type="spellStart"/>
      <w:r w:rsidR="00122D6A" w:rsidRPr="00DF27E2">
        <w:t>myofibroblastic</w:t>
      </w:r>
      <w:proofErr w:type="spellEnd"/>
      <w:r w:rsidR="00122D6A" w:rsidRPr="00DF27E2">
        <w:t xml:space="preserve"> </w:t>
      </w:r>
      <w:proofErr w:type="spellStart"/>
      <w:r w:rsidR="00122D6A" w:rsidRPr="00DF27E2">
        <w:t>tumor</w:t>
      </w:r>
      <w:proofErr w:type="spellEnd"/>
      <w:r w:rsidR="00122D6A" w:rsidRPr="00DF27E2">
        <w:t>.</w:t>
      </w:r>
    </w:p>
    <w:p w14:paraId="404040B2" w14:textId="77777777" w:rsidR="00032F8A" w:rsidRPr="00F0538D" w:rsidRDefault="00032F8A" w:rsidP="00BA555D">
      <w:pPr>
        <w:pStyle w:val="Paragraphedeliste"/>
        <w:rPr>
          <w:noProof/>
          <w:lang w:eastAsia="en-GB"/>
        </w:rPr>
      </w:pPr>
    </w:p>
    <w:tbl>
      <w:tblPr>
        <w:tblW w:w="7103" w:type="dxa"/>
        <w:tblInd w:w="55" w:type="dxa"/>
        <w:tblLayout w:type="fixed"/>
        <w:tblCellMar>
          <w:left w:w="70" w:type="dxa"/>
          <w:right w:w="70" w:type="dxa"/>
        </w:tblCellMar>
        <w:tblLook w:val="04A0" w:firstRow="1" w:lastRow="0" w:firstColumn="1" w:lastColumn="0" w:noHBand="0" w:noVBand="1"/>
      </w:tblPr>
      <w:tblGrid>
        <w:gridCol w:w="674"/>
        <w:gridCol w:w="1893"/>
        <w:gridCol w:w="2126"/>
        <w:gridCol w:w="992"/>
        <w:gridCol w:w="1418"/>
      </w:tblGrid>
      <w:tr w:rsidR="003146C0" w:rsidRPr="00F0538D" w14:paraId="27D0B87D" w14:textId="77777777" w:rsidTr="003146C0">
        <w:trPr>
          <w:trHeight w:val="664"/>
        </w:trPr>
        <w:tc>
          <w:tcPr>
            <w:tcW w:w="674" w:type="dxa"/>
            <w:vMerge w:val="restart"/>
            <w:tcBorders>
              <w:top w:val="single" w:sz="8" w:space="0" w:color="FFFFFF"/>
              <w:left w:val="single" w:sz="8" w:space="0" w:color="FFFFFF"/>
              <w:bottom w:val="single" w:sz="12" w:space="0" w:color="FFFFFF"/>
              <w:right w:val="single" w:sz="8" w:space="0" w:color="FFFFFF"/>
            </w:tcBorders>
            <w:shd w:val="clear" w:color="000000" w:fill="4F81BD"/>
            <w:vAlign w:val="center"/>
            <w:hideMark/>
          </w:tcPr>
          <w:p w14:paraId="1EA3669F" w14:textId="4BD1B08E" w:rsidR="003146C0" w:rsidRPr="00F0538D" w:rsidRDefault="003146C0" w:rsidP="00C978A2">
            <w:pPr>
              <w:spacing w:after="0" w:line="240" w:lineRule="auto"/>
              <w:rPr>
                <w:rFonts w:ascii="Arial" w:eastAsia="Times New Roman" w:hAnsi="Arial" w:cs="Arial"/>
                <w:b/>
                <w:bCs/>
                <w:color w:val="FFFFFF"/>
                <w:sz w:val="16"/>
                <w:szCs w:val="16"/>
                <w:lang w:val="fr-FR" w:eastAsia="fr-FR"/>
              </w:rPr>
            </w:pPr>
            <w:r w:rsidRPr="00F0538D">
              <w:rPr>
                <w:rFonts w:ascii="Arial" w:eastAsia="Times New Roman" w:hAnsi="Arial" w:cs="Arial"/>
                <w:b/>
                <w:bCs/>
                <w:color w:val="FFFFFF"/>
                <w:sz w:val="16"/>
                <w:szCs w:val="16"/>
                <w:lang w:val="fr-FR" w:eastAsia="fr-FR"/>
              </w:rPr>
              <w:t>Patient</w:t>
            </w:r>
          </w:p>
        </w:tc>
        <w:tc>
          <w:tcPr>
            <w:tcW w:w="1893" w:type="dxa"/>
            <w:vMerge w:val="restart"/>
            <w:tcBorders>
              <w:top w:val="single" w:sz="8" w:space="0" w:color="FFFFFF"/>
              <w:left w:val="single" w:sz="8" w:space="0" w:color="FFFFFF"/>
              <w:bottom w:val="single" w:sz="12" w:space="0" w:color="FFFFFF"/>
              <w:right w:val="single" w:sz="8" w:space="0" w:color="FFFFFF"/>
            </w:tcBorders>
            <w:shd w:val="clear" w:color="000000" w:fill="4F81BD"/>
            <w:vAlign w:val="center"/>
            <w:hideMark/>
          </w:tcPr>
          <w:p w14:paraId="7DA49BAE" w14:textId="77777777" w:rsidR="003146C0" w:rsidRPr="00F0538D" w:rsidRDefault="003146C0" w:rsidP="00C978A2">
            <w:pPr>
              <w:spacing w:after="0" w:line="240" w:lineRule="auto"/>
              <w:rPr>
                <w:rFonts w:ascii="Arial" w:eastAsia="Times New Roman" w:hAnsi="Arial" w:cs="Arial"/>
                <w:b/>
                <w:bCs/>
                <w:color w:val="FFFFFF"/>
                <w:sz w:val="16"/>
                <w:szCs w:val="16"/>
                <w:lang w:val="fr-FR" w:eastAsia="fr-FR"/>
              </w:rPr>
            </w:pPr>
            <w:r w:rsidRPr="00F0538D">
              <w:rPr>
                <w:rFonts w:ascii="Arial" w:eastAsia="Times New Roman" w:hAnsi="Arial" w:cs="Arial"/>
                <w:b/>
                <w:bCs/>
                <w:color w:val="FFFFFF"/>
                <w:sz w:val="16"/>
                <w:szCs w:val="16"/>
                <w:lang w:val="fr-FR" w:eastAsia="fr-FR"/>
              </w:rPr>
              <w:t xml:space="preserve">Initial </w:t>
            </w:r>
            <w:proofErr w:type="spellStart"/>
            <w:r w:rsidRPr="00F0538D">
              <w:rPr>
                <w:rFonts w:ascii="Arial" w:eastAsia="Times New Roman" w:hAnsi="Arial" w:cs="Arial"/>
                <w:b/>
                <w:bCs/>
                <w:color w:val="FFFFFF"/>
                <w:sz w:val="16"/>
                <w:szCs w:val="16"/>
                <w:lang w:val="fr-FR" w:eastAsia="fr-FR"/>
              </w:rPr>
              <w:t>diagnosis</w:t>
            </w:r>
            <w:proofErr w:type="spellEnd"/>
          </w:p>
        </w:tc>
        <w:tc>
          <w:tcPr>
            <w:tcW w:w="2126" w:type="dxa"/>
            <w:vMerge w:val="restart"/>
            <w:tcBorders>
              <w:top w:val="single" w:sz="8" w:space="0" w:color="FFFFFF"/>
              <w:left w:val="single" w:sz="8" w:space="0" w:color="FFFFFF"/>
              <w:bottom w:val="single" w:sz="12" w:space="0" w:color="FFFFFF"/>
              <w:right w:val="single" w:sz="8" w:space="0" w:color="FFFFFF"/>
            </w:tcBorders>
            <w:shd w:val="clear" w:color="000000" w:fill="4F81BD"/>
            <w:vAlign w:val="center"/>
            <w:hideMark/>
          </w:tcPr>
          <w:p w14:paraId="2EF54BB6" w14:textId="77777777" w:rsidR="003146C0" w:rsidRPr="00F0538D" w:rsidRDefault="003146C0" w:rsidP="00C978A2">
            <w:pPr>
              <w:spacing w:after="0" w:line="240" w:lineRule="auto"/>
              <w:rPr>
                <w:rFonts w:ascii="Arial" w:eastAsia="Times New Roman" w:hAnsi="Arial" w:cs="Arial"/>
                <w:b/>
                <w:bCs/>
                <w:color w:val="FFFFFF"/>
                <w:sz w:val="16"/>
                <w:szCs w:val="16"/>
                <w:lang w:val="fr-FR" w:eastAsia="fr-FR"/>
              </w:rPr>
            </w:pPr>
            <w:r w:rsidRPr="00F0538D">
              <w:rPr>
                <w:rFonts w:ascii="Arial" w:eastAsia="Times New Roman" w:hAnsi="Arial" w:cs="Arial"/>
                <w:b/>
                <w:bCs/>
                <w:color w:val="FFFFFF"/>
                <w:sz w:val="16"/>
                <w:szCs w:val="16"/>
                <w:lang w:val="fr-FR" w:eastAsia="fr-FR"/>
              </w:rPr>
              <w:t>Second cancer</w:t>
            </w:r>
          </w:p>
        </w:tc>
        <w:tc>
          <w:tcPr>
            <w:tcW w:w="992" w:type="dxa"/>
            <w:vMerge w:val="restart"/>
            <w:tcBorders>
              <w:top w:val="single" w:sz="8" w:space="0" w:color="FFFFFF"/>
              <w:left w:val="single" w:sz="8" w:space="0" w:color="FFFFFF"/>
              <w:bottom w:val="single" w:sz="12" w:space="0" w:color="FFFFFF"/>
              <w:right w:val="single" w:sz="8" w:space="0" w:color="FFFFFF"/>
            </w:tcBorders>
            <w:shd w:val="clear" w:color="000000" w:fill="4F81BD"/>
            <w:vAlign w:val="center"/>
            <w:hideMark/>
          </w:tcPr>
          <w:p w14:paraId="1366555E" w14:textId="77777777" w:rsidR="003146C0" w:rsidRPr="00F0538D" w:rsidRDefault="003146C0" w:rsidP="00C978A2">
            <w:pPr>
              <w:spacing w:after="0" w:line="240" w:lineRule="auto"/>
              <w:rPr>
                <w:rFonts w:ascii="Arial" w:eastAsia="Times New Roman" w:hAnsi="Arial" w:cs="Arial"/>
                <w:b/>
                <w:bCs/>
                <w:color w:val="FFFFFF"/>
                <w:sz w:val="16"/>
                <w:szCs w:val="16"/>
                <w:lang w:val="fr-FR" w:eastAsia="fr-FR"/>
              </w:rPr>
            </w:pPr>
            <w:r w:rsidRPr="00F0538D">
              <w:rPr>
                <w:rFonts w:ascii="Arial" w:eastAsia="Times New Roman" w:hAnsi="Arial" w:cs="Arial"/>
                <w:b/>
                <w:bCs/>
                <w:color w:val="FFFFFF"/>
                <w:sz w:val="16"/>
                <w:szCs w:val="16"/>
                <w:lang w:val="fr-FR" w:eastAsia="fr-FR"/>
              </w:rPr>
              <w:t xml:space="preserve">RT </w:t>
            </w:r>
            <w:proofErr w:type="spellStart"/>
            <w:r w:rsidRPr="00F0538D">
              <w:rPr>
                <w:rFonts w:ascii="Arial" w:eastAsia="Times New Roman" w:hAnsi="Arial" w:cs="Arial"/>
                <w:b/>
                <w:bCs/>
                <w:color w:val="FFFFFF"/>
                <w:sz w:val="16"/>
                <w:szCs w:val="16"/>
                <w:lang w:val="fr-FR" w:eastAsia="fr-FR"/>
              </w:rPr>
              <w:t>related</w:t>
            </w:r>
            <w:proofErr w:type="spellEnd"/>
          </w:p>
        </w:tc>
        <w:tc>
          <w:tcPr>
            <w:tcW w:w="1418" w:type="dxa"/>
            <w:vMerge w:val="restart"/>
            <w:tcBorders>
              <w:top w:val="single" w:sz="8" w:space="0" w:color="FFFFFF"/>
              <w:left w:val="single" w:sz="8" w:space="0" w:color="FFFFFF"/>
              <w:bottom w:val="single" w:sz="12" w:space="0" w:color="FFFFFF"/>
              <w:right w:val="single" w:sz="8" w:space="0" w:color="FFFFFF"/>
            </w:tcBorders>
            <w:shd w:val="clear" w:color="000000" w:fill="4F81BD"/>
            <w:vAlign w:val="center"/>
            <w:hideMark/>
          </w:tcPr>
          <w:p w14:paraId="57E5BF3A" w14:textId="77777777" w:rsidR="003146C0" w:rsidRPr="00F0538D" w:rsidRDefault="003146C0" w:rsidP="00C978A2">
            <w:pPr>
              <w:spacing w:after="0" w:line="240" w:lineRule="auto"/>
              <w:rPr>
                <w:rFonts w:ascii="Arial" w:eastAsia="Times New Roman" w:hAnsi="Arial" w:cs="Arial"/>
                <w:b/>
                <w:bCs/>
                <w:color w:val="FFFFFF"/>
                <w:sz w:val="16"/>
                <w:szCs w:val="16"/>
                <w:lang w:val="fr-FR" w:eastAsia="fr-FR"/>
              </w:rPr>
            </w:pPr>
            <w:r w:rsidRPr="00F0538D">
              <w:rPr>
                <w:rFonts w:ascii="Arial" w:eastAsia="Times New Roman" w:hAnsi="Arial" w:cs="Arial"/>
                <w:b/>
                <w:bCs/>
                <w:color w:val="FFFFFF"/>
                <w:sz w:val="16"/>
                <w:szCs w:val="16"/>
                <w:lang w:val="fr-FR" w:eastAsia="fr-FR"/>
              </w:rPr>
              <w:t xml:space="preserve">Delay 1st-2nd </w:t>
            </w:r>
            <w:proofErr w:type="spellStart"/>
            <w:r w:rsidRPr="00F0538D">
              <w:rPr>
                <w:rFonts w:ascii="Arial" w:eastAsia="Times New Roman" w:hAnsi="Arial" w:cs="Arial"/>
                <w:b/>
                <w:bCs/>
                <w:color w:val="FFFFFF"/>
                <w:sz w:val="16"/>
                <w:szCs w:val="16"/>
                <w:lang w:val="fr-FR" w:eastAsia="fr-FR"/>
              </w:rPr>
              <w:t>tumor</w:t>
            </w:r>
            <w:proofErr w:type="spellEnd"/>
          </w:p>
        </w:tc>
      </w:tr>
      <w:tr w:rsidR="003146C0" w:rsidRPr="00F0538D" w14:paraId="0BA742F1" w14:textId="77777777" w:rsidTr="003146C0">
        <w:trPr>
          <w:trHeight w:val="458"/>
        </w:trPr>
        <w:tc>
          <w:tcPr>
            <w:tcW w:w="674" w:type="dxa"/>
            <w:vMerge/>
            <w:tcBorders>
              <w:top w:val="single" w:sz="8" w:space="0" w:color="FFFFFF"/>
              <w:left w:val="single" w:sz="8" w:space="0" w:color="FFFFFF"/>
              <w:bottom w:val="single" w:sz="12" w:space="0" w:color="FFFFFF"/>
              <w:right w:val="single" w:sz="8" w:space="0" w:color="FFFFFF"/>
            </w:tcBorders>
            <w:vAlign w:val="center"/>
            <w:hideMark/>
          </w:tcPr>
          <w:p w14:paraId="0D4255CD" w14:textId="2D38DD11" w:rsidR="003146C0" w:rsidRPr="00F0538D" w:rsidRDefault="003146C0" w:rsidP="00C978A2">
            <w:pPr>
              <w:spacing w:after="0" w:line="240" w:lineRule="auto"/>
              <w:rPr>
                <w:rFonts w:ascii="Arial" w:eastAsia="Times New Roman" w:hAnsi="Arial" w:cs="Arial"/>
                <w:b/>
                <w:bCs/>
                <w:color w:val="FFFFFF"/>
                <w:sz w:val="16"/>
                <w:szCs w:val="16"/>
                <w:lang w:val="fr-FR" w:eastAsia="fr-FR"/>
              </w:rPr>
            </w:pPr>
          </w:p>
        </w:tc>
        <w:tc>
          <w:tcPr>
            <w:tcW w:w="1893" w:type="dxa"/>
            <w:vMerge/>
            <w:tcBorders>
              <w:top w:val="single" w:sz="8" w:space="0" w:color="FFFFFF"/>
              <w:left w:val="single" w:sz="8" w:space="0" w:color="FFFFFF"/>
              <w:bottom w:val="single" w:sz="12" w:space="0" w:color="FFFFFF"/>
              <w:right w:val="single" w:sz="8" w:space="0" w:color="FFFFFF"/>
            </w:tcBorders>
            <w:vAlign w:val="center"/>
            <w:hideMark/>
          </w:tcPr>
          <w:p w14:paraId="44E24A67" w14:textId="77777777" w:rsidR="003146C0" w:rsidRPr="00F0538D" w:rsidRDefault="003146C0" w:rsidP="00C978A2">
            <w:pPr>
              <w:spacing w:after="0" w:line="240" w:lineRule="auto"/>
              <w:rPr>
                <w:rFonts w:ascii="Arial" w:eastAsia="Times New Roman" w:hAnsi="Arial" w:cs="Arial"/>
                <w:b/>
                <w:bCs/>
                <w:color w:val="FFFFFF"/>
                <w:sz w:val="16"/>
                <w:szCs w:val="16"/>
                <w:lang w:val="fr-FR" w:eastAsia="fr-FR"/>
              </w:rPr>
            </w:pPr>
          </w:p>
        </w:tc>
        <w:tc>
          <w:tcPr>
            <w:tcW w:w="2126" w:type="dxa"/>
            <w:vMerge/>
            <w:tcBorders>
              <w:top w:val="single" w:sz="8" w:space="0" w:color="FFFFFF"/>
              <w:left w:val="single" w:sz="8" w:space="0" w:color="FFFFFF"/>
              <w:bottom w:val="single" w:sz="12" w:space="0" w:color="FFFFFF"/>
              <w:right w:val="single" w:sz="8" w:space="0" w:color="FFFFFF"/>
            </w:tcBorders>
            <w:vAlign w:val="center"/>
            <w:hideMark/>
          </w:tcPr>
          <w:p w14:paraId="384D1C59" w14:textId="77777777" w:rsidR="003146C0" w:rsidRPr="00F0538D" w:rsidRDefault="003146C0" w:rsidP="00C978A2">
            <w:pPr>
              <w:spacing w:after="0" w:line="240" w:lineRule="auto"/>
              <w:rPr>
                <w:rFonts w:ascii="Arial" w:eastAsia="Times New Roman" w:hAnsi="Arial" w:cs="Arial"/>
                <w:b/>
                <w:bCs/>
                <w:color w:val="FFFFFF"/>
                <w:sz w:val="16"/>
                <w:szCs w:val="16"/>
                <w:lang w:val="fr-FR" w:eastAsia="fr-FR"/>
              </w:rPr>
            </w:pPr>
          </w:p>
        </w:tc>
        <w:tc>
          <w:tcPr>
            <w:tcW w:w="992" w:type="dxa"/>
            <w:vMerge/>
            <w:tcBorders>
              <w:top w:val="single" w:sz="8" w:space="0" w:color="FFFFFF"/>
              <w:left w:val="single" w:sz="8" w:space="0" w:color="FFFFFF"/>
              <w:bottom w:val="single" w:sz="12" w:space="0" w:color="FFFFFF"/>
              <w:right w:val="single" w:sz="8" w:space="0" w:color="FFFFFF"/>
            </w:tcBorders>
            <w:vAlign w:val="center"/>
            <w:hideMark/>
          </w:tcPr>
          <w:p w14:paraId="01454E63" w14:textId="77777777" w:rsidR="003146C0" w:rsidRPr="00F0538D" w:rsidRDefault="003146C0" w:rsidP="00C978A2">
            <w:pPr>
              <w:spacing w:after="0" w:line="240" w:lineRule="auto"/>
              <w:rPr>
                <w:rFonts w:ascii="Arial" w:eastAsia="Times New Roman" w:hAnsi="Arial" w:cs="Arial"/>
                <w:b/>
                <w:bCs/>
                <w:color w:val="FFFFFF"/>
                <w:sz w:val="16"/>
                <w:szCs w:val="16"/>
                <w:lang w:val="fr-FR" w:eastAsia="fr-FR"/>
              </w:rPr>
            </w:pPr>
          </w:p>
        </w:tc>
        <w:tc>
          <w:tcPr>
            <w:tcW w:w="1418" w:type="dxa"/>
            <w:vMerge/>
            <w:tcBorders>
              <w:top w:val="single" w:sz="8" w:space="0" w:color="FFFFFF"/>
              <w:left w:val="single" w:sz="8" w:space="0" w:color="FFFFFF"/>
              <w:bottom w:val="single" w:sz="12" w:space="0" w:color="FFFFFF"/>
              <w:right w:val="single" w:sz="8" w:space="0" w:color="FFFFFF"/>
            </w:tcBorders>
            <w:vAlign w:val="center"/>
            <w:hideMark/>
          </w:tcPr>
          <w:p w14:paraId="5ADCED73" w14:textId="77777777" w:rsidR="003146C0" w:rsidRPr="00F0538D" w:rsidRDefault="003146C0" w:rsidP="00C978A2">
            <w:pPr>
              <w:spacing w:after="0" w:line="240" w:lineRule="auto"/>
              <w:rPr>
                <w:rFonts w:ascii="Arial" w:eastAsia="Times New Roman" w:hAnsi="Arial" w:cs="Arial"/>
                <w:b/>
                <w:bCs/>
                <w:color w:val="FFFFFF"/>
                <w:sz w:val="16"/>
                <w:szCs w:val="16"/>
                <w:lang w:val="fr-FR" w:eastAsia="fr-FR"/>
              </w:rPr>
            </w:pPr>
          </w:p>
        </w:tc>
      </w:tr>
      <w:tr w:rsidR="003146C0" w:rsidRPr="00F0538D" w14:paraId="46E31605" w14:textId="77777777" w:rsidTr="003146C0">
        <w:trPr>
          <w:trHeight w:val="325"/>
        </w:trPr>
        <w:tc>
          <w:tcPr>
            <w:tcW w:w="674" w:type="dxa"/>
            <w:tcBorders>
              <w:top w:val="nil"/>
              <w:left w:val="single" w:sz="8" w:space="0" w:color="FFFFFF"/>
              <w:bottom w:val="single" w:sz="8" w:space="0" w:color="FFFFFF"/>
              <w:right w:val="single" w:sz="8" w:space="0" w:color="FFFFFF"/>
            </w:tcBorders>
            <w:shd w:val="clear" w:color="000000" w:fill="D0D8E8"/>
            <w:vAlign w:val="center"/>
            <w:hideMark/>
          </w:tcPr>
          <w:p w14:paraId="2ABFCC3A" w14:textId="51325E79" w:rsidR="003146C0" w:rsidRPr="00F0538D" w:rsidRDefault="00437E5A" w:rsidP="00C978A2">
            <w:pPr>
              <w:spacing w:after="0" w:line="240" w:lineRule="auto"/>
              <w:rPr>
                <w:rFonts w:ascii="Arial" w:eastAsia="Times New Roman" w:hAnsi="Arial" w:cs="Arial"/>
                <w:color w:val="000000"/>
                <w:sz w:val="16"/>
                <w:szCs w:val="16"/>
                <w:lang w:val="fr-FR" w:eastAsia="fr-FR"/>
              </w:rPr>
            </w:pPr>
            <w:r w:rsidRPr="00F0538D">
              <w:rPr>
                <w:rFonts w:ascii="Arial" w:eastAsia="Times New Roman" w:hAnsi="Arial" w:cs="Arial"/>
                <w:color w:val="000000"/>
                <w:sz w:val="16"/>
                <w:szCs w:val="16"/>
                <w:lang w:val="fr-FR" w:eastAsia="fr-FR"/>
              </w:rPr>
              <w:t>13</w:t>
            </w:r>
          </w:p>
        </w:tc>
        <w:tc>
          <w:tcPr>
            <w:tcW w:w="1893" w:type="dxa"/>
            <w:tcBorders>
              <w:top w:val="nil"/>
              <w:left w:val="nil"/>
              <w:bottom w:val="single" w:sz="8" w:space="0" w:color="FFFFFF"/>
              <w:right w:val="single" w:sz="8" w:space="0" w:color="FFFFFF"/>
            </w:tcBorders>
            <w:shd w:val="clear" w:color="000000" w:fill="D0D8E8"/>
            <w:vAlign w:val="center"/>
            <w:hideMark/>
          </w:tcPr>
          <w:p w14:paraId="1B0A9B26"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proofErr w:type="spellStart"/>
            <w:r w:rsidRPr="00F0538D">
              <w:rPr>
                <w:rFonts w:ascii="Arial" w:eastAsia="Times New Roman" w:hAnsi="Arial" w:cs="Arial"/>
                <w:color w:val="000000"/>
                <w:sz w:val="16"/>
                <w:szCs w:val="16"/>
                <w:lang w:val="fr-FR" w:eastAsia="fr-FR"/>
              </w:rPr>
              <w:t>Osteosarcoma</w:t>
            </w:r>
            <w:proofErr w:type="spellEnd"/>
          </w:p>
        </w:tc>
        <w:tc>
          <w:tcPr>
            <w:tcW w:w="2126" w:type="dxa"/>
            <w:tcBorders>
              <w:top w:val="nil"/>
              <w:left w:val="nil"/>
              <w:bottom w:val="single" w:sz="8" w:space="0" w:color="FFFFFF"/>
              <w:right w:val="single" w:sz="8" w:space="0" w:color="FFFFFF"/>
            </w:tcBorders>
            <w:shd w:val="clear" w:color="000000" w:fill="D0D8E8"/>
            <w:vAlign w:val="center"/>
            <w:hideMark/>
          </w:tcPr>
          <w:p w14:paraId="00EEBEA0"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proofErr w:type="spellStart"/>
            <w:r w:rsidRPr="00F0538D">
              <w:rPr>
                <w:rFonts w:ascii="Arial" w:eastAsia="Times New Roman" w:hAnsi="Arial" w:cs="Arial"/>
                <w:color w:val="000000"/>
                <w:sz w:val="16"/>
                <w:szCs w:val="16"/>
                <w:lang w:val="fr-FR" w:eastAsia="fr-FR"/>
              </w:rPr>
              <w:t>Sarcoma</w:t>
            </w:r>
            <w:proofErr w:type="spellEnd"/>
            <w:r w:rsidRPr="00F0538D">
              <w:rPr>
                <w:rFonts w:ascii="Arial" w:eastAsia="Times New Roman" w:hAnsi="Arial" w:cs="Arial"/>
                <w:color w:val="000000"/>
                <w:sz w:val="16"/>
                <w:szCs w:val="16"/>
                <w:lang w:val="fr-FR" w:eastAsia="fr-FR"/>
              </w:rPr>
              <w:t xml:space="preserve"> - </w:t>
            </w:r>
            <w:proofErr w:type="spellStart"/>
            <w:r w:rsidRPr="00F0538D">
              <w:rPr>
                <w:rFonts w:ascii="Arial" w:eastAsia="Times New Roman" w:hAnsi="Arial" w:cs="Arial"/>
                <w:color w:val="000000"/>
                <w:sz w:val="16"/>
                <w:szCs w:val="16"/>
                <w:lang w:val="fr-FR" w:eastAsia="fr-FR"/>
              </w:rPr>
              <w:t>undifferentiated</w:t>
            </w:r>
            <w:proofErr w:type="spellEnd"/>
            <w:r w:rsidRPr="00F0538D">
              <w:rPr>
                <w:rFonts w:ascii="Arial" w:eastAsia="Times New Roman" w:hAnsi="Arial" w:cs="Arial"/>
                <w:color w:val="000000"/>
                <w:sz w:val="16"/>
                <w:szCs w:val="16"/>
                <w:lang w:val="fr-FR" w:eastAsia="fr-FR"/>
              </w:rPr>
              <w:t xml:space="preserve"> </w:t>
            </w:r>
          </w:p>
        </w:tc>
        <w:tc>
          <w:tcPr>
            <w:tcW w:w="992" w:type="dxa"/>
            <w:tcBorders>
              <w:top w:val="nil"/>
              <w:left w:val="nil"/>
              <w:bottom w:val="single" w:sz="8" w:space="0" w:color="FFFFFF"/>
              <w:right w:val="single" w:sz="8" w:space="0" w:color="FFFFFF"/>
            </w:tcBorders>
            <w:shd w:val="clear" w:color="000000" w:fill="D0D8E8"/>
            <w:vAlign w:val="center"/>
            <w:hideMark/>
          </w:tcPr>
          <w:p w14:paraId="6213ADFB"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r w:rsidRPr="00F0538D">
              <w:rPr>
                <w:rFonts w:ascii="Arial" w:eastAsia="Times New Roman" w:hAnsi="Arial" w:cs="Arial"/>
                <w:color w:val="000000"/>
                <w:sz w:val="16"/>
                <w:szCs w:val="16"/>
                <w:lang w:val="fr-FR" w:eastAsia="fr-FR"/>
              </w:rPr>
              <w:t>No</w:t>
            </w:r>
          </w:p>
        </w:tc>
        <w:tc>
          <w:tcPr>
            <w:tcW w:w="1418" w:type="dxa"/>
            <w:tcBorders>
              <w:top w:val="nil"/>
              <w:left w:val="nil"/>
              <w:bottom w:val="single" w:sz="8" w:space="0" w:color="FFFFFF"/>
              <w:right w:val="single" w:sz="8" w:space="0" w:color="FFFFFF"/>
            </w:tcBorders>
            <w:shd w:val="clear" w:color="000000" w:fill="D0D8E8"/>
            <w:vAlign w:val="center"/>
            <w:hideMark/>
          </w:tcPr>
          <w:p w14:paraId="28065652"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r w:rsidRPr="00F0538D">
              <w:rPr>
                <w:rFonts w:ascii="Arial" w:eastAsia="Times New Roman" w:hAnsi="Arial" w:cs="Arial"/>
                <w:color w:val="000000"/>
                <w:sz w:val="16"/>
                <w:szCs w:val="16"/>
                <w:lang w:val="fr-FR" w:eastAsia="fr-FR"/>
              </w:rPr>
              <w:t xml:space="preserve">20 </w:t>
            </w:r>
            <w:proofErr w:type="spellStart"/>
            <w:r w:rsidRPr="00F0538D">
              <w:rPr>
                <w:rFonts w:ascii="Arial" w:eastAsia="Times New Roman" w:hAnsi="Arial" w:cs="Arial"/>
                <w:color w:val="000000"/>
                <w:sz w:val="16"/>
                <w:szCs w:val="16"/>
                <w:lang w:val="fr-FR" w:eastAsia="fr-FR"/>
              </w:rPr>
              <w:t>years</w:t>
            </w:r>
            <w:proofErr w:type="spellEnd"/>
          </w:p>
        </w:tc>
      </w:tr>
      <w:tr w:rsidR="003146C0" w:rsidRPr="00F0538D" w14:paraId="14F403BC" w14:textId="77777777" w:rsidTr="003146C0">
        <w:trPr>
          <w:trHeight w:val="310"/>
        </w:trPr>
        <w:tc>
          <w:tcPr>
            <w:tcW w:w="674" w:type="dxa"/>
            <w:tcBorders>
              <w:top w:val="nil"/>
              <w:left w:val="single" w:sz="8" w:space="0" w:color="FFFFFF"/>
              <w:bottom w:val="single" w:sz="8" w:space="0" w:color="FFFFFF"/>
              <w:right w:val="single" w:sz="8" w:space="0" w:color="FFFFFF"/>
            </w:tcBorders>
            <w:shd w:val="clear" w:color="000000" w:fill="D0D8E8"/>
            <w:vAlign w:val="center"/>
            <w:hideMark/>
          </w:tcPr>
          <w:p w14:paraId="10D0A7B1" w14:textId="297EBFEF" w:rsidR="003146C0" w:rsidRPr="00F0538D" w:rsidRDefault="00437E5A" w:rsidP="00C978A2">
            <w:pPr>
              <w:spacing w:after="0" w:line="240" w:lineRule="auto"/>
              <w:rPr>
                <w:rFonts w:ascii="Arial" w:eastAsia="Times New Roman" w:hAnsi="Arial" w:cs="Arial"/>
                <w:color w:val="000000"/>
                <w:sz w:val="16"/>
                <w:szCs w:val="16"/>
                <w:lang w:val="fr-FR" w:eastAsia="fr-FR"/>
              </w:rPr>
            </w:pPr>
            <w:r w:rsidRPr="00F0538D">
              <w:rPr>
                <w:rFonts w:ascii="Arial" w:eastAsia="Times New Roman" w:hAnsi="Arial" w:cs="Arial"/>
                <w:color w:val="000000"/>
                <w:sz w:val="16"/>
                <w:szCs w:val="16"/>
                <w:lang w:val="fr-FR" w:eastAsia="fr-FR"/>
              </w:rPr>
              <w:t>14</w:t>
            </w:r>
          </w:p>
        </w:tc>
        <w:tc>
          <w:tcPr>
            <w:tcW w:w="1893" w:type="dxa"/>
            <w:tcBorders>
              <w:top w:val="nil"/>
              <w:left w:val="nil"/>
              <w:bottom w:val="single" w:sz="8" w:space="0" w:color="FFFFFF"/>
              <w:right w:val="single" w:sz="8" w:space="0" w:color="FFFFFF"/>
            </w:tcBorders>
            <w:shd w:val="clear" w:color="000000" w:fill="D0D8E8"/>
            <w:vAlign w:val="center"/>
            <w:hideMark/>
          </w:tcPr>
          <w:p w14:paraId="2FBDFE07"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proofErr w:type="spellStart"/>
            <w:r w:rsidRPr="00F0538D">
              <w:rPr>
                <w:rFonts w:ascii="Arial" w:eastAsia="Times New Roman" w:hAnsi="Arial" w:cs="Arial"/>
                <w:color w:val="000000"/>
                <w:sz w:val="16"/>
                <w:szCs w:val="16"/>
                <w:lang w:val="fr-FR" w:eastAsia="fr-FR"/>
              </w:rPr>
              <w:t>Medulloblastoma</w:t>
            </w:r>
            <w:proofErr w:type="spellEnd"/>
          </w:p>
        </w:tc>
        <w:tc>
          <w:tcPr>
            <w:tcW w:w="2126" w:type="dxa"/>
            <w:tcBorders>
              <w:top w:val="nil"/>
              <w:left w:val="nil"/>
              <w:bottom w:val="single" w:sz="8" w:space="0" w:color="FFFFFF"/>
              <w:right w:val="single" w:sz="8" w:space="0" w:color="FFFFFF"/>
            </w:tcBorders>
            <w:shd w:val="clear" w:color="000000" w:fill="D0D8E8"/>
            <w:vAlign w:val="center"/>
            <w:hideMark/>
          </w:tcPr>
          <w:p w14:paraId="26C72C62"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proofErr w:type="spellStart"/>
            <w:r w:rsidRPr="00F0538D">
              <w:rPr>
                <w:rFonts w:ascii="Arial" w:eastAsia="Times New Roman" w:hAnsi="Arial" w:cs="Arial"/>
                <w:color w:val="000000"/>
                <w:sz w:val="16"/>
                <w:szCs w:val="16"/>
                <w:lang w:val="fr-FR" w:eastAsia="fr-FR"/>
              </w:rPr>
              <w:t>Glioblastoma</w:t>
            </w:r>
            <w:proofErr w:type="spellEnd"/>
          </w:p>
        </w:tc>
        <w:tc>
          <w:tcPr>
            <w:tcW w:w="992" w:type="dxa"/>
            <w:tcBorders>
              <w:top w:val="nil"/>
              <w:left w:val="nil"/>
              <w:bottom w:val="single" w:sz="8" w:space="0" w:color="FFFFFF"/>
              <w:right w:val="single" w:sz="8" w:space="0" w:color="FFFFFF"/>
            </w:tcBorders>
            <w:shd w:val="clear" w:color="000000" w:fill="D0D8E8"/>
            <w:vAlign w:val="center"/>
            <w:hideMark/>
          </w:tcPr>
          <w:p w14:paraId="41FE7D46"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proofErr w:type="spellStart"/>
            <w:r w:rsidRPr="00F0538D">
              <w:rPr>
                <w:rFonts w:ascii="Arial" w:eastAsia="Times New Roman" w:hAnsi="Arial" w:cs="Arial"/>
                <w:color w:val="000000"/>
                <w:sz w:val="16"/>
                <w:szCs w:val="16"/>
                <w:lang w:val="fr-FR" w:eastAsia="fr-FR"/>
              </w:rPr>
              <w:t>Yes</w:t>
            </w:r>
            <w:proofErr w:type="spellEnd"/>
          </w:p>
        </w:tc>
        <w:tc>
          <w:tcPr>
            <w:tcW w:w="1418" w:type="dxa"/>
            <w:tcBorders>
              <w:top w:val="nil"/>
              <w:left w:val="nil"/>
              <w:bottom w:val="single" w:sz="8" w:space="0" w:color="FFFFFF"/>
              <w:right w:val="single" w:sz="8" w:space="0" w:color="FFFFFF"/>
            </w:tcBorders>
            <w:shd w:val="clear" w:color="000000" w:fill="D0D8E8"/>
            <w:vAlign w:val="center"/>
            <w:hideMark/>
          </w:tcPr>
          <w:p w14:paraId="5B18BFD1"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r w:rsidRPr="00F0538D">
              <w:rPr>
                <w:rFonts w:ascii="Arial" w:eastAsia="Times New Roman" w:hAnsi="Arial" w:cs="Arial"/>
                <w:color w:val="000000"/>
                <w:sz w:val="16"/>
                <w:szCs w:val="16"/>
                <w:lang w:val="fr-FR" w:eastAsia="fr-FR"/>
              </w:rPr>
              <w:t xml:space="preserve">7 </w:t>
            </w:r>
            <w:proofErr w:type="spellStart"/>
            <w:r w:rsidRPr="00F0538D">
              <w:rPr>
                <w:rFonts w:ascii="Arial" w:eastAsia="Times New Roman" w:hAnsi="Arial" w:cs="Arial"/>
                <w:color w:val="000000"/>
                <w:sz w:val="16"/>
                <w:szCs w:val="16"/>
                <w:lang w:val="fr-FR" w:eastAsia="fr-FR"/>
              </w:rPr>
              <w:t>years</w:t>
            </w:r>
            <w:proofErr w:type="spellEnd"/>
          </w:p>
        </w:tc>
      </w:tr>
      <w:tr w:rsidR="003146C0" w:rsidRPr="00F0538D" w14:paraId="7518046B" w14:textId="77777777" w:rsidTr="003146C0">
        <w:trPr>
          <w:trHeight w:val="310"/>
        </w:trPr>
        <w:tc>
          <w:tcPr>
            <w:tcW w:w="674" w:type="dxa"/>
            <w:tcBorders>
              <w:top w:val="nil"/>
              <w:left w:val="single" w:sz="8" w:space="0" w:color="FFFFFF"/>
              <w:bottom w:val="single" w:sz="8" w:space="0" w:color="FFFFFF"/>
              <w:right w:val="single" w:sz="8" w:space="0" w:color="FFFFFF"/>
            </w:tcBorders>
            <w:shd w:val="clear" w:color="000000" w:fill="E9EDF4"/>
            <w:vAlign w:val="center"/>
            <w:hideMark/>
          </w:tcPr>
          <w:p w14:paraId="703FFDD0" w14:textId="178999C0" w:rsidR="003146C0" w:rsidRPr="00F0538D" w:rsidRDefault="00437E5A" w:rsidP="00C978A2">
            <w:pPr>
              <w:spacing w:after="0" w:line="240" w:lineRule="auto"/>
              <w:rPr>
                <w:rFonts w:ascii="Arial" w:eastAsia="Times New Roman" w:hAnsi="Arial" w:cs="Arial"/>
                <w:color w:val="000000"/>
                <w:sz w:val="16"/>
                <w:szCs w:val="16"/>
                <w:lang w:val="fr-FR" w:eastAsia="fr-FR"/>
              </w:rPr>
            </w:pPr>
            <w:r w:rsidRPr="00F0538D">
              <w:rPr>
                <w:rFonts w:ascii="Arial" w:eastAsia="Times New Roman" w:hAnsi="Arial" w:cs="Arial"/>
                <w:color w:val="000000"/>
                <w:sz w:val="16"/>
                <w:szCs w:val="16"/>
                <w:lang w:val="fr-FR" w:eastAsia="fr-FR"/>
              </w:rPr>
              <w:t>15</w:t>
            </w:r>
          </w:p>
        </w:tc>
        <w:tc>
          <w:tcPr>
            <w:tcW w:w="1893" w:type="dxa"/>
            <w:tcBorders>
              <w:top w:val="nil"/>
              <w:left w:val="nil"/>
              <w:bottom w:val="single" w:sz="8" w:space="0" w:color="FFFFFF"/>
              <w:right w:val="single" w:sz="8" w:space="0" w:color="FFFFFF"/>
            </w:tcBorders>
            <w:shd w:val="clear" w:color="000000" w:fill="E9EDF4"/>
            <w:vAlign w:val="center"/>
            <w:hideMark/>
          </w:tcPr>
          <w:p w14:paraId="61F90F71"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proofErr w:type="spellStart"/>
            <w:r w:rsidRPr="00F0538D">
              <w:rPr>
                <w:rFonts w:ascii="Arial" w:eastAsia="Times New Roman" w:hAnsi="Arial" w:cs="Arial"/>
                <w:color w:val="000000"/>
                <w:sz w:val="16"/>
                <w:szCs w:val="16"/>
                <w:lang w:val="fr-FR" w:eastAsia="fr-FR"/>
              </w:rPr>
              <w:t>Pinealoblastoma</w:t>
            </w:r>
            <w:proofErr w:type="spellEnd"/>
          </w:p>
        </w:tc>
        <w:tc>
          <w:tcPr>
            <w:tcW w:w="2126" w:type="dxa"/>
            <w:tcBorders>
              <w:top w:val="nil"/>
              <w:left w:val="nil"/>
              <w:bottom w:val="single" w:sz="8" w:space="0" w:color="FFFFFF"/>
              <w:right w:val="single" w:sz="8" w:space="0" w:color="FFFFFF"/>
            </w:tcBorders>
            <w:shd w:val="clear" w:color="000000" w:fill="E9EDF4"/>
            <w:vAlign w:val="center"/>
            <w:hideMark/>
          </w:tcPr>
          <w:p w14:paraId="2AD25E0F"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proofErr w:type="spellStart"/>
            <w:r w:rsidRPr="00F0538D">
              <w:rPr>
                <w:rFonts w:ascii="Arial" w:eastAsia="Times New Roman" w:hAnsi="Arial" w:cs="Arial"/>
                <w:color w:val="000000"/>
                <w:sz w:val="16"/>
                <w:szCs w:val="16"/>
                <w:lang w:val="fr-FR" w:eastAsia="fr-FR"/>
              </w:rPr>
              <w:t>Glioblastoma</w:t>
            </w:r>
            <w:proofErr w:type="spellEnd"/>
            <w:r w:rsidRPr="00F0538D">
              <w:rPr>
                <w:rFonts w:ascii="Arial" w:eastAsia="Times New Roman" w:hAnsi="Arial" w:cs="Arial"/>
                <w:color w:val="000000"/>
                <w:sz w:val="16"/>
                <w:szCs w:val="16"/>
                <w:lang w:val="fr-FR" w:eastAsia="fr-FR"/>
              </w:rPr>
              <w:t xml:space="preserve">  </w:t>
            </w:r>
          </w:p>
        </w:tc>
        <w:tc>
          <w:tcPr>
            <w:tcW w:w="992" w:type="dxa"/>
            <w:tcBorders>
              <w:top w:val="nil"/>
              <w:left w:val="nil"/>
              <w:bottom w:val="single" w:sz="8" w:space="0" w:color="FFFFFF"/>
              <w:right w:val="single" w:sz="8" w:space="0" w:color="FFFFFF"/>
            </w:tcBorders>
            <w:shd w:val="clear" w:color="000000" w:fill="E9EDF4"/>
            <w:vAlign w:val="center"/>
            <w:hideMark/>
          </w:tcPr>
          <w:p w14:paraId="636F3087"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proofErr w:type="spellStart"/>
            <w:r w:rsidRPr="00F0538D">
              <w:rPr>
                <w:rFonts w:ascii="Arial" w:eastAsia="Times New Roman" w:hAnsi="Arial" w:cs="Arial"/>
                <w:color w:val="000000"/>
                <w:sz w:val="16"/>
                <w:szCs w:val="16"/>
                <w:lang w:val="fr-FR" w:eastAsia="fr-FR"/>
              </w:rPr>
              <w:t>Yes</w:t>
            </w:r>
            <w:proofErr w:type="spellEnd"/>
          </w:p>
        </w:tc>
        <w:tc>
          <w:tcPr>
            <w:tcW w:w="1418" w:type="dxa"/>
            <w:tcBorders>
              <w:top w:val="nil"/>
              <w:left w:val="nil"/>
              <w:bottom w:val="single" w:sz="8" w:space="0" w:color="FFFFFF"/>
              <w:right w:val="single" w:sz="8" w:space="0" w:color="FFFFFF"/>
            </w:tcBorders>
            <w:shd w:val="clear" w:color="000000" w:fill="E9EDF4"/>
            <w:vAlign w:val="center"/>
            <w:hideMark/>
          </w:tcPr>
          <w:p w14:paraId="3BA58508"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r w:rsidRPr="00F0538D">
              <w:rPr>
                <w:rFonts w:ascii="Arial" w:eastAsia="Times New Roman" w:hAnsi="Arial" w:cs="Arial"/>
                <w:color w:val="000000"/>
                <w:sz w:val="16"/>
                <w:szCs w:val="16"/>
                <w:lang w:val="fr-FR" w:eastAsia="fr-FR"/>
              </w:rPr>
              <w:t xml:space="preserve">7 </w:t>
            </w:r>
            <w:proofErr w:type="spellStart"/>
            <w:r w:rsidRPr="00F0538D">
              <w:rPr>
                <w:rFonts w:ascii="Arial" w:eastAsia="Times New Roman" w:hAnsi="Arial" w:cs="Arial"/>
                <w:color w:val="000000"/>
                <w:sz w:val="16"/>
                <w:szCs w:val="16"/>
                <w:lang w:val="fr-FR" w:eastAsia="fr-FR"/>
              </w:rPr>
              <w:t>years</w:t>
            </w:r>
            <w:proofErr w:type="spellEnd"/>
          </w:p>
        </w:tc>
      </w:tr>
      <w:tr w:rsidR="003146C0" w:rsidRPr="00F0538D" w14:paraId="34E990CE" w14:textId="77777777" w:rsidTr="003146C0">
        <w:trPr>
          <w:trHeight w:val="310"/>
        </w:trPr>
        <w:tc>
          <w:tcPr>
            <w:tcW w:w="674" w:type="dxa"/>
            <w:tcBorders>
              <w:top w:val="nil"/>
              <w:left w:val="single" w:sz="8" w:space="0" w:color="FFFFFF"/>
              <w:bottom w:val="single" w:sz="8" w:space="0" w:color="FFFFFF"/>
              <w:right w:val="single" w:sz="8" w:space="0" w:color="FFFFFF"/>
            </w:tcBorders>
            <w:shd w:val="clear" w:color="000000" w:fill="D0D8E8"/>
            <w:vAlign w:val="center"/>
            <w:hideMark/>
          </w:tcPr>
          <w:p w14:paraId="356E67F2" w14:textId="2AD386D9" w:rsidR="003146C0" w:rsidRPr="00F0538D" w:rsidRDefault="00437E5A" w:rsidP="00C978A2">
            <w:pPr>
              <w:spacing w:after="0" w:line="240" w:lineRule="auto"/>
              <w:rPr>
                <w:rFonts w:ascii="Arial" w:eastAsia="Times New Roman" w:hAnsi="Arial" w:cs="Arial"/>
                <w:color w:val="000000"/>
                <w:sz w:val="16"/>
                <w:szCs w:val="16"/>
                <w:lang w:val="fr-FR" w:eastAsia="fr-FR"/>
              </w:rPr>
            </w:pPr>
            <w:r w:rsidRPr="00F0538D">
              <w:rPr>
                <w:rFonts w:ascii="Arial" w:eastAsia="Times New Roman" w:hAnsi="Arial" w:cs="Arial"/>
                <w:color w:val="000000"/>
                <w:sz w:val="16"/>
                <w:szCs w:val="16"/>
                <w:lang w:val="fr-FR" w:eastAsia="fr-FR"/>
              </w:rPr>
              <w:t>16</w:t>
            </w:r>
          </w:p>
        </w:tc>
        <w:tc>
          <w:tcPr>
            <w:tcW w:w="1893" w:type="dxa"/>
            <w:tcBorders>
              <w:top w:val="nil"/>
              <w:left w:val="nil"/>
              <w:bottom w:val="single" w:sz="8" w:space="0" w:color="FFFFFF"/>
              <w:right w:val="single" w:sz="8" w:space="0" w:color="FFFFFF"/>
            </w:tcBorders>
            <w:shd w:val="clear" w:color="000000" w:fill="D0D8E8"/>
            <w:vAlign w:val="center"/>
            <w:hideMark/>
          </w:tcPr>
          <w:p w14:paraId="6796781E"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proofErr w:type="spellStart"/>
            <w:r w:rsidRPr="00F0538D">
              <w:rPr>
                <w:rFonts w:ascii="Arial" w:eastAsia="Times New Roman" w:hAnsi="Arial" w:cs="Arial"/>
                <w:color w:val="000000"/>
                <w:sz w:val="16"/>
                <w:szCs w:val="16"/>
                <w:lang w:val="fr-FR" w:eastAsia="fr-FR"/>
              </w:rPr>
              <w:t>Medulloblastoma</w:t>
            </w:r>
            <w:proofErr w:type="spellEnd"/>
          </w:p>
        </w:tc>
        <w:tc>
          <w:tcPr>
            <w:tcW w:w="2126" w:type="dxa"/>
            <w:tcBorders>
              <w:top w:val="nil"/>
              <w:left w:val="nil"/>
              <w:bottom w:val="single" w:sz="8" w:space="0" w:color="FFFFFF"/>
              <w:right w:val="single" w:sz="8" w:space="0" w:color="FFFFFF"/>
            </w:tcBorders>
            <w:shd w:val="clear" w:color="000000" w:fill="D0D8E8"/>
            <w:vAlign w:val="center"/>
            <w:hideMark/>
          </w:tcPr>
          <w:p w14:paraId="128B0280"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proofErr w:type="spellStart"/>
            <w:r w:rsidRPr="00F0538D">
              <w:rPr>
                <w:rFonts w:ascii="Arial" w:eastAsia="Times New Roman" w:hAnsi="Arial" w:cs="Arial"/>
                <w:color w:val="000000"/>
                <w:sz w:val="16"/>
                <w:szCs w:val="16"/>
                <w:lang w:val="fr-FR" w:eastAsia="fr-FR"/>
              </w:rPr>
              <w:t>Glioblastoma</w:t>
            </w:r>
            <w:proofErr w:type="spellEnd"/>
          </w:p>
        </w:tc>
        <w:tc>
          <w:tcPr>
            <w:tcW w:w="992" w:type="dxa"/>
            <w:tcBorders>
              <w:top w:val="nil"/>
              <w:left w:val="nil"/>
              <w:bottom w:val="single" w:sz="8" w:space="0" w:color="FFFFFF"/>
              <w:right w:val="single" w:sz="8" w:space="0" w:color="FFFFFF"/>
            </w:tcBorders>
            <w:shd w:val="clear" w:color="000000" w:fill="D0D8E8"/>
            <w:vAlign w:val="center"/>
            <w:hideMark/>
          </w:tcPr>
          <w:p w14:paraId="79EB95AE"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proofErr w:type="spellStart"/>
            <w:r w:rsidRPr="00F0538D">
              <w:rPr>
                <w:rFonts w:ascii="Arial" w:eastAsia="Times New Roman" w:hAnsi="Arial" w:cs="Arial"/>
                <w:color w:val="000000"/>
                <w:sz w:val="16"/>
                <w:szCs w:val="16"/>
                <w:lang w:val="fr-FR" w:eastAsia="fr-FR"/>
              </w:rPr>
              <w:t>Yes</w:t>
            </w:r>
            <w:proofErr w:type="spellEnd"/>
          </w:p>
        </w:tc>
        <w:tc>
          <w:tcPr>
            <w:tcW w:w="1418" w:type="dxa"/>
            <w:tcBorders>
              <w:top w:val="nil"/>
              <w:left w:val="nil"/>
              <w:bottom w:val="single" w:sz="8" w:space="0" w:color="FFFFFF"/>
              <w:right w:val="single" w:sz="8" w:space="0" w:color="FFFFFF"/>
            </w:tcBorders>
            <w:shd w:val="clear" w:color="000000" w:fill="D0D8E8"/>
            <w:vAlign w:val="center"/>
            <w:hideMark/>
          </w:tcPr>
          <w:p w14:paraId="5DDA225B"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r w:rsidRPr="00F0538D">
              <w:rPr>
                <w:rFonts w:ascii="Arial" w:eastAsia="Times New Roman" w:hAnsi="Arial" w:cs="Arial"/>
                <w:color w:val="000000"/>
                <w:sz w:val="16"/>
                <w:szCs w:val="16"/>
                <w:lang w:val="fr-FR" w:eastAsia="fr-FR"/>
              </w:rPr>
              <w:t xml:space="preserve">10 </w:t>
            </w:r>
            <w:proofErr w:type="spellStart"/>
            <w:r w:rsidRPr="00F0538D">
              <w:rPr>
                <w:rFonts w:ascii="Arial" w:eastAsia="Times New Roman" w:hAnsi="Arial" w:cs="Arial"/>
                <w:color w:val="000000"/>
                <w:sz w:val="16"/>
                <w:szCs w:val="16"/>
                <w:lang w:val="fr-FR" w:eastAsia="fr-FR"/>
              </w:rPr>
              <w:t>years</w:t>
            </w:r>
            <w:proofErr w:type="spellEnd"/>
          </w:p>
        </w:tc>
      </w:tr>
      <w:tr w:rsidR="003146C0" w:rsidRPr="00F0538D" w14:paraId="1915EE07" w14:textId="77777777" w:rsidTr="003146C0">
        <w:trPr>
          <w:trHeight w:val="458"/>
        </w:trPr>
        <w:tc>
          <w:tcPr>
            <w:tcW w:w="674" w:type="dxa"/>
            <w:tcBorders>
              <w:top w:val="nil"/>
              <w:left w:val="single" w:sz="8" w:space="0" w:color="FFFFFF"/>
              <w:bottom w:val="single" w:sz="8" w:space="0" w:color="FFFFFF"/>
              <w:right w:val="single" w:sz="8" w:space="0" w:color="FFFFFF"/>
            </w:tcBorders>
            <w:shd w:val="clear" w:color="000000" w:fill="E9EDF4"/>
            <w:vAlign w:val="center"/>
            <w:hideMark/>
          </w:tcPr>
          <w:p w14:paraId="7F64FF61" w14:textId="7F95F4F9" w:rsidR="003146C0" w:rsidRPr="00F0538D" w:rsidRDefault="00437E5A" w:rsidP="00C978A2">
            <w:pPr>
              <w:spacing w:after="0" w:line="240" w:lineRule="auto"/>
              <w:rPr>
                <w:rFonts w:ascii="Arial" w:eastAsia="Times New Roman" w:hAnsi="Arial" w:cs="Arial"/>
                <w:color w:val="000000"/>
                <w:sz w:val="16"/>
                <w:szCs w:val="16"/>
                <w:lang w:val="fr-FR" w:eastAsia="fr-FR"/>
              </w:rPr>
            </w:pPr>
            <w:r w:rsidRPr="00F0538D">
              <w:rPr>
                <w:rFonts w:ascii="Arial" w:eastAsia="Times New Roman" w:hAnsi="Arial" w:cs="Arial"/>
                <w:color w:val="000000"/>
                <w:sz w:val="16"/>
                <w:szCs w:val="16"/>
                <w:lang w:val="fr-FR" w:eastAsia="fr-FR"/>
              </w:rPr>
              <w:t>17</w:t>
            </w:r>
          </w:p>
        </w:tc>
        <w:tc>
          <w:tcPr>
            <w:tcW w:w="1893" w:type="dxa"/>
            <w:tcBorders>
              <w:top w:val="nil"/>
              <w:left w:val="nil"/>
              <w:bottom w:val="single" w:sz="8" w:space="0" w:color="FFFFFF"/>
              <w:right w:val="single" w:sz="8" w:space="0" w:color="FFFFFF"/>
            </w:tcBorders>
            <w:shd w:val="clear" w:color="000000" w:fill="E9EDF4"/>
            <w:vAlign w:val="center"/>
            <w:hideMark/>
          </w:tcPr>
          <w:p w14:paraId="60A6368E" w14:textId="35D26CF6" w:rsidR="003146C0" w:rsidRPr="00F0538D" w:rsidRDefault="003146C0" w:rsidP="00C978A2">
            <w:pPr>
              <w:spacing w:after="0" w:line="240" w:lineRule="auto"/>
              <w:rPr>
                <w:rFonts w:ascii="Arial" w:eastAsia="Times New Roman" w:hAnsi="Arial" w:cs="Arial"/>
                <w:color w:val="000000"/>
                <w:sz w:val="16"/>
                <w:szCs w:val="16"/>
                <w:lang w:val="en-US" w:eastAsia="fr-FR"/>
              </w:rPr>
            </w:pPr>
            <w:r w:rsidRPr="00F0538D">
              <w:rPr>
                <w:rFonts w:ascii="Arial" w:eastAsia="Times New Roman" w:hAnsi="Arial" w:cs="Arial"/>
                <w:color w:val="000000"/>
                <w:sz w:val="16"/>
                <w:szCs w:val="16"/>
                <w:lang w:val="en-US" w:eastAsia="fr-FR"/>
              </w:rPr>
              <w:t>ETANTR</w:t>
            </w:r>
          </w:p>
        </w:tc>
        <w:tc>
          <w:tcPr>
            <w:tcW w:w="2126" w:type="dxa"/>
            <w:tcBorders>
              <w:top w:val="nil"/>
              <w:left w:val="nil"/>
              <w:bottom w:val="single" w:sz="8" w:space="0" w:color="FFFFFF"/>
              <w:right w:val="single" w:sz="8" w:space="0" w:color="FFFFFF"/>
            </w:tcBorders>
            <w:shd w:val="clear" w:color="000000" w:fill="E9EDF4"/>
            <w:vAlign w:val="center"/>
            <w:hideMark/>
          </w:tcPr>
          <w:p w14:paraId="6387CB43"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proofErr w:type="spellStart"/>
            <w:r w:rsidRPr="00F0538D">
              <w:rPr>
                <w:rFonts w:ascii="Arial" w:eastAsia="Times New Roman" w:hAnsi="Arial" w:cs="Arial"/>
                <w:color w:val="000000"/>
                <w:sz w:val="16"/>
                <w:szCs w:val="16"/>
                <w:lang w:val="fr-FR" w:eastAsia="fr-FR"/>
              </w:rPr>
              <w:t>Osteosarcoma</w:t>
            </w:r>
            <w:proofErr w:type="spellEnd"/>
          </w:p>
        </w:tc>
        <w:tc>
          <w:tcPr>
            <w:tcW w:w="992" w:type="dxa"/>
            <w:tcBorders>
              <w:top w:val="nil"/>
              <w:left w:val="nil"/>
              <w:bottom w:val="single" w:sz="8" w:space="0" w:color="FFFFFF"/>
              <w:right w:val="single" w:sz="8" w:space="0" w:color="FFFFFF"/>
            </w:tcBorders>
            <w:shd w:val="clear" w:color="000000" w:fill="E9EDF4"/>
            <w:vAlign w:val="center"/>
            <w:hideMark/>
          </w:tcPr>
          <w:p w14:paraId="6B8DB5D5"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proofErr w:type="spellStart"/>
            <w:r w:rsidRPr="00F0538D">
              <w:rPr>
                <w:rFonts w:ascii="Arial" w:eastAsia="Times New Roman" w:hAnsi="Arial" w:cs="Arial"/>
                <w:color w:val="000000"/>
                <w:sz w:val="16"/>
                <w:szCs w:val="16"/>
                <w:lang w:val="fr-FR" w:eastAsia="fr-FR"/>
              </w:rPr>
              <w:t>Yes</w:t>
            </w:r>
            <w:proofErr w:type="spellEnd"/>
          </w:p>
        </w:tc>
        <w:tc>
          <w:tcPr>
            <w:tcW w:w="1418" w:type="dxa"/>
            <w:tcBorders>
              <w:top w:val="nil"/>
              <w:left w:val="nil"/>
              <w:bottom w:val="single" w:sz="8" w:space="0" w:color="FFFFFF"/>
              <w:right w:val="single" w:sz="8" w:space="0" w:color="FFFFFF"/>
            </w:tcBorders>
            <w:shd w:val="clear" w:color="000000" w:fill="E9EDF4"/>
            <w:vAlign w:val="center"/>
            <w:hideMark/>
          </w:tcPr>
          <w:p w14:paraId="3685AD2E"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r w:rsidRPr="00F0538D">
              <w:rPr>
                <w:rFonts w:ascii="Arial" w:eastAsia="Times New Roman" w:hAnsi="Arial" w:cs="Arial"/>
                <w:color w:val="000000"/>
                <w:sz w:val="16"/>
                <w:szCs w:val="16"/>
                <w:lang w:val="fr-FR" w:eastAsia="fr-FR"/>
              </w:rPr>
              <w:t xml:space="preserve">7 </w:t>
            </w:r>
            <w:proofErr w:type="spellStart"/>
            <w:r w:rsidRPr="00F0538D">
              <w:rPr>
                <w:rFonts w:ascii="Arial" w:eastAsia="Times New Roman" w:hAnsi="Arial" w:cs="Arial"/>
                <w:color w:val="000000"/>
                <w:sz w:val="16"/>
                <w:szCs w:val="16"/>
                <w:lang w:val="fr-FR" w:eastAsia="fr-FR"/>
              </w:rPr>
              <w:t>years</w:t>
            </w:r>
            <w:proofErr w:type="spellEnd"/>
          </w:p>
        </w:tc>
      </w:tr>
      <w:tr w:rsidR="003146C0" w:rsidRPr="00F0538D" w14:paraId="2F3CEBB9" w14:textId="77777777" w:rsidTr="003146C0">
        <w:trPr>
          <w:trHeight w:val="310"/>
        </w:trPr>
        <w:tc>
          <w:tcPr>
            <w:tcW w:w="674" w:type="dxa"/>
            <w:tcBorders>
              <w:top w:val="nil"/>
              <w:left w:val="single" w:sz="8" w:space="0" w:color="FFFFFF"/>
              <w:bottom w:val="single" w:sz="8" w:space="0" w:color="FFFFFF"/>
              <w:right w:val="single" w:sz="8" w:space="0" w:color="FFFFFF"/>
            </w:tcBorders>
            <w:shd w:val="clear" w:color="000000" w:fill="D0D8E8"/>
            <w:vAlign w:val="center"/>
            <w:hideMark/>
          </w:tcPr>
          <w:p w14:paraId="79593292" w14:textId="564B8498" w:rsidR="003146C0" w:rsidRPr="00F0538D" w:rsidRDefault="00437E5A" w:rsidP="00C978A2">
            <w:pPr>
              <w:spacing w:after="0" w:line="240" w:lineRule="auto"/>
              <w:rPr>
                <w:rFonts w:ascii="Arial" w:eastAsia="Times New Roman" w:hAnsi="Arial" w:cs="Arial"/>
                <w:color w:val="000000"/>
                <w:sz w:val="16"/>
                <w:szCs w:val="16"/>
                <w:lang w:val="fr-FR" w:eastAsia="fr-FR"/>
              </w:rPr>
            </w:pPr>
            <w:r w:rsidRPr="00F0538D">
              <w:rPr>
                <w:rFonts w:ascii="Arial" w:eastAsia="Times New Roman" w:hAnsi="Arial" w:cs="Arial"/>
                <w:color w:val="000000"/>
                <w:sz w:val="16"/>
                <w:szCs w:val="16"/>
                <w:lang w:val="fr-FR" w:eastAsia="fr-FR"/>
              </w:rPr>
              <w:t>18</w:t>
            </w:r>
          </w:p>
        </w:tc>
        <w:tc>
          <w:tcPr>
            <w:tcW w:w="1893" w:type="dxa"/>
            <w:tcBorders>
              <w:top w:val="nil"/>
              <w:left w:val="nil"/>
              <w:bottom w:val="single" w:sz="8" w:space="0" w:color="FFFFFF"/>
              <w:right w:val="single" w:sz="8" w:space="0" w:color="FFFFFF"/>
            </w:tcBorders>
            <w:shd w:val="clear" w:color="000000" w:fill="D0D8E8"/>
            <w:vAlign w:val="center"/>
            <w:hideMark/>
          </w:tcPr>
          <w:p w14:paraId="6DF5F56F"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proofErr w:type="spellStart"/>
            <w:r w:rsidRPr="00F0538D">
              <w:rPr>
                <w:rFonts w:ascii="Arial" w:eastAsia="Times New Roman" w:hAnsi="Arial" w:cs="Arial"/>
                <w:color w:val="000000"/>
                <w:sz w:val="16"/>
                <w:szCs w:val="16"/>
                <w:lang w:val="fr-FR" w:eastAsia="fr-FR"/>
              </w:rPr>
              <w:t>Medulloblastoma</w:t>
            </w:r>
            <w:proofErr w:type="spellEnd"/>
          </w:p>
        </w:tc>
        <w:tc>
          <w:tcPr>
            <w:tcW w:w="2126" w:type="dxa"/>
            <w:tcBorders>
              <w:top w:val="nil"/>
              <w:left w:val="nil"/>
              <w:bottom w:val="single" w:sz="8" w:space="0" w:color="FFFFFF"/>
              <w:right w:val="single" w:sz="8" w:space="0" w:color="FFFFFF"/>
            </w:tcBorders>
            <w:shd w:val="clear" w:color="000000" w:fill="D0D8E8"/>
            <w:vAlign w:val="center"/>
            <w:hideMark/>
          </w:tcPr>
          <w:p w14:paraId="0FD5A0D5" w14:textId="7A8EF3B8" w:rsidR="003146C0" w:rsidRPr="00F0538D" w:rsidRDefault="003146C0" w:rsidP="009A6963">
            <w:pPr>
              <w:spacing w:after="0" w:line="240" w:lineRule="auto"/>
              <w:rPr>
                <w:rFonts w:ascii="Arial" w:eastAsia="Times New Roman" w:hAnsi="Arial" w:cs="Arial"/>
                <w:color w:val="000000"/>
                <w:sz w:val="16"/>
                <w:szCs w:val="16"/>
                <w:lang w:val="fr-FR" w:eastAsia="fr-FR"/>
              </w:rPr>
            </w:pPr>
            <w:r w:rsidRPr="00F0538D">
              <w:rPr>
                <w:rFonts w:ascii="Arial" w:eastAsia="Times New Roman" w:hAnsi="Arial" w:cs="Arial"/>
                <w:color w:val="000000"/>
                <w:sz w:val="16"/>
                <w:szCs w:val="16"/>
                <w:lang w:val="fr-FR" w:eastAsia="fr-FR"/>
              </w:rPr>
              <w:t xml:space="preserve">High grade </w:t>
            </w:r>
            <w:proofErr w:type="spellStart"/>
            <w:r w:rsidRPr="00F0538D">
              <w:rPr>
                <w:rFonts w:ascii="Arial" w:eastAsia="Times New Roman" w:hAnsi="Arial" w:cs="Arial"/>
                <w:color w:val="000000"/>
                <w:sz w:val="16"/>
                <w:szCs w:val="16"/>
                <w:lang w:val="fr-FR" w:eastAsia="fr-FR"/>
              </w:rPr>
              <w:t>glioma</w:t>
            </w:r>
            <w:proofErr w:type="spellEnd"/>
          </w:p>
        </w:tc>
        <w:tc>
          <w:tcPr>
            <w:tcW w:w="992" w:type="dxa"/>
            <w:tcBorders>
              <w:top w:val="nil"/>
              <w:left w:val="nil"/>
              <w:bottom w:val="single" w:sz="8" w:space="0" w:color="FFFFFF"/>
              <w:right w:val="single" w:sz="8" w:space="0" w:color="FFFFFF"/>
            </w:tcBorders>
            <w:shd w:val="clear" w:color="000000" w:fill="D0D8E8"/>
            <w:vAlign w:val="center"/>
            <w:hideMark/>
          </w:tcPr>
          <w:p w14:paraId="1187C873" w14:textId="2826810A" w:rsidR="003146C0" w:rsidRPr="00F0538D" w:rsidRDefault="003146C0" w:rsidP="00C978A2">
            <w:pPr>
              <w:spacing w:after="0" w:line="240" w:lineRule="auto"/>
              <w:rPr>
                <w:rFonts w:ascii="Arial" w:eastAsia="Times New Roman" w:hAnsi="Arial" w:cs="Arial"/>
                <w:color w:val="000000"/>
                <w:sz w:val="16"/>
                <w:szCs w:val="16"/>
                <w:lang w:val="fr-FR" w:eastAsia="fr-FR"/>
              </w:rPr>
            </w:pPr>
            <w:proofErr w:type="spellStart"/>
            <w:r w:rsidRPr="00F0538D">
              <w:rPr>
                <w:rFonts w:ascii="Arial" w:eastAsia="Times New Roman" w:hAnsi="Arial" w:cs="Arial"/>
                <w:color w:val="000000"/>
                <w:sz w:val="16"/>
                <w:szCs w:val="16"/>
                <w:lang w:val="fr-FR" w:eastAsia="fr-FR"/>
              </w:rPr>
              <w:t>Yes</w:t>
            </w:r>
            <w:proofErr w:type="spellEnd"/>
          </w:p>
        </w:tc>
        <w:tc>
          <w:tcPr>
            <w:tcW w:w="1418" w:type="dxa"/>
            <w:tcBorders>
              <w:top w:val="nil"/>
              <w:left w:val="nil"/>
              <w:bottom w:val="nil"/>
              <w:right w:val="single" w:sz="8" w:space="0" w:color="FFFFFF"/>
            </w:tcBorders>
            <w:shd w:val="clear" w:color="000000" w:fill="D0D8E8"/>
            <w:vAlign w:val="center"/>
            <w:hideMark/>
          </w:tcPr>
          <w:p w14:paraId="212198AE"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r w:rsidRPr="00F0538D">
              <w:rPr>
                <w:rFonts w:ascii="Arial" w:eastAsia="Times New Roman" w:hAnsi="Arial" w:cs="Arial"/>
                <w:color w:val="000000"/>
                <w:sz w:val="16"/>
                <w:szCs w:val="16"/>
                <w:lang w:val="fr-FR" w:eastAsia="fr-FR"/>
              </w:rPr>
              <w:t xml:space="preserve">9 </w:t>
            </w:r>
            <w:proofErr w:type="spellStart"/>
            <w:r w:rsidRPr="00F0538D">
              <w:rPr>
                <w:rFonts w:ascii="Arial" w:eastAsia="Times New Roman" w:hAnsi="Arial" w:cs="Arial"/>
                <w:color w:val="000000"/>
                <w:sz w:val="16"/>
                <w:szCs w:val="16"/>
                <w:lang w:val="fr-FR" w:eastAsia="fr-FR"/>
              </w:rPr>
              <w:t>years</w:t>
            </w:r>
            <w:proofErr w:type="spellEnd"/>
          </w:p>
        </w:tc>
      </w:tr>
      <w:tr w:rsidR="003146C0" w:rsidRPr="00F0538D" w14:paraId="6ECEE8B2" w14:textId="77777777" w:rsidTr="003146C0">
        <w:trPr>
          <w:trHeight w:val="310"/>
        </w:trPr>
        <w:tc>
          <w:tcPr>
            <w:tcW w:w="674" w:type="dxa"/>
            <w:tcBorders>
              <w:top w:val="nil"/>
              <w:left w:val="single" w:sz="8" w:space="0" w:color="FFFFFF"/>
              <w:bottom w:val="single" w:sz="8" w:space="0" w:color="FFFFFF"/>
              <w:right w:val="single" w:sz="8" w:space="0" w:color="FFFFFF"/>
            </w:tcBorders>
            <w:shd w:val="clear" w:color="000000" w:fill="D0D8E8"/>
            <w:vAlign w:val="center"/>
            <w:hideMark/>
          </w:tcPr>
          <w:p w14:paraId="4F2BEDD9" w14:textId="4483EE69" w:rsidR="003146C0" w:rsidRPr="00F0538D" w:rsidRDefault="00437E5A" w:rsidP="00C978A2">
            <w:pPr>
              <w:spacing w:after="0" w:line="240" w:lineRule="auto"/>
              <w:rPr>
                <w:rFonts w:ascii="Arial" w:eastAsia="Times New Roman" w:hAnsi="Arial" w:cs="Arial"/>
                <w:color w:val="000000"/>
                <w:sz w:val="16"/>
                <w:szCs w:val="16"/>
                <w:lang w:val="fr-FR" w:eastAsia="fr-FR"/>
              </w:rPr>
            </w:pPr>
            <w:r w:rsidRPr="00F0538D">
              <w:rPr>
                <w:rFonts w:ascii="Arial" w:eastAsia="Times New Roman" w:hAnsi="Arial" w:cs="Arial"/>
                <w:color w:val="000000"/>
                <w:sz w:val="16"/>
                <w:szCs w:val="16"/>
                <w:lang w:val="fr-FR" w:eastAsia="fr-FR"/>
              </w:rPr>
              <w:t>19</w:t>
            </w:r>
          </w:p>
        </w:tc>
        <w:tc>
          <w:tcPr>
            <w:tcW w:w="1893" w:type="dxa"/>
            <w:tcBorders>
              <w:top w:val="nil"/>
              <w:left w:val="nil"/>
              <w:bottom w:val="single" w:sz="8" w:space="0" w:color="FFFFFF"/>
              <w:right w:val="single" w:sz="8" w:space="0" w:color="FFFFFF"/>
            </w:tcBorders>
            <w:shd w:val="clear" w:color="000000" w:fill="D0D8E8"/>
            <w:vAlign w:val="center"/>
            <w:hideMark/>
          </w:tcPr>
          <w:p w14:paraId="63508F46"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proofErr w:type="spellStart"/>
            <w:r w:rsidRPr="00F0538D">
              <w:rPr>
                <w:rFonts w:ascii="Arial" w:eastAsia="Times New Roman" w:hAnsi="Arial" w:cs="Arial"/>
                <w:color w:val="000000"/>
                <w:sz w:val="16"/>
                <w:szCs w:val="16"/>
                <w:lang w:val="fr-FR" w:eastAsia="fr-FR"/>
              </w:rPr>
              <w:t>Medulloblastoma</w:t>
            </w:r>
            <w:proofErr w:type="spellEnd"/>
          </w:p>
        </w:tc>
        <w:tc>
          <w:tcPr>
            <w:tcW w:w="2126" w:type="dxa"/>
            <w:tcBorders>
              <w:top w:val="nil"/>
              <w:left w:val="nil"/>
              <w:bottom w:val="single" w:sz="8" w:space="0" w:color="FFFFFF"/>
              <w:right w:val="single" w:sz="8" w:space="0" w:color="FFFFFF"/>
            </w:tcBorders>
            <w:shd w:val="clear" w:color="000000" w:fill="D0D8E8"/>
            <w:vAlign w:val="center"/>
            <w:hideMark/>
          </w:tcPr>
          <w:p w14:paraId="24954A6C"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proofErr w:type="spellStart"/>
            <w:r w:rsidRPr="00F0538D">
              <w:rPr>
                <w:rFonts w:ascii="Arial" w:eastAsia="Times New Roman" w:hAnsi="Arial" w:cs="Arial"/>
                <w:color w:val="000000"/>
                <w:sz w:val="16"/>
                <w:szCs w:val="16"/>
                <w:lang w:val="fr-FR" w:eastAsia="fr-FR"/>
              </w:rPr>
              <w:t>Glioblastoma</w:t>
            </w:r>
            <w:proofErr w:type="spellEnd"/>
          </w:p>
        </w:tc>
        <w:tc>
          <w:tcPr>
            <w:tcW w:w="992" w:type="dxa"/>
            <w:tcBorders>
              <w:top w:val="nil"/>
              <w:left w:val="nil"/>
              <w:bottom w:val="single" w:sz="8" w:space="0" w:color="FFFFFF"/>
              <w:right w:val="single" w:sz="8" w:space="0" w:color="FFFFFF"/>
            </w:tcBorders>
            <w:shd w:val="clear" w:color="000000" w:fill="D0D8E8"/>
            <w:vAlign w:val="center"/>
            <w:hideMark/>
          </w:tcPr>
          <w:p w14:paraId="0E54CA7C" w14:textId="41BEC03E" w:rsidR="003146C0" w:rsidRPr="00F0538D" w:rsidRDefault="003146C0" w:rsidP="00C978A2">
            <w:pPr>
              <w:spacing w:after="0" w:line="240" w:lineRule="auto"/>
              <w:rPr>
                <w:rFonts w:ascii="Arial" w:eastAsia="Times New Roman" w:hAnsi="Arial" w:cs="Arial"/>
                <w:color w:val="000000"/>
                <w:sz w:val="16"/>
                <w:szCs w:val="16"/>
                <w:lang w:val="fr-FR" w:eastAsia="fr-FR"/>
              </w:rPr>
            </w:pPr>
            <w:proofErr w:type="spellStart"/>
            <w:r w:rsidRPr="00F0538D">
              <w:rPr>
                <w:rFonts w:ascii="Arial" w:eastAsia="Times New Roman" w:hAnsi="Arial" w:cs="Arial"/>
                <w:color w:val="000000"/>
                <w:sz w:val="16"/>
                <w:szCs w:val="16"/>
                <w:lang w:val="fr-FR" w:eastAsia="fr-FR"/>
              </w:rPr>
              <w:t>Yes</w:t>
            </w:r>
            <w:proofErr w:type="spellEnd"/>
          </w:p>
        </w:tc>
        <w:tc>
          <w:tcPr>
            <w:tcW w:w="1418" w:type="dxa"/>
            <w:tcBorders>
              <w:top w:val="nil"/>
              <w:left w:val="nil"/>
              <w:bottom w:val="nil"/>
              <w:right w:val="single" w:sz="8" w:space="0" w:color="FFFFFF"/>
            </w:tcBorders>
            <w:shd w:val="clear" w:color="000000" w:fill="E9EDF4"/>
            <w:vAlign w:val="center"/>
            <w:hideMark/>
          </w:tcPr>
          <w:p w14:paraId="65E8A1D4" w14:textId="77777777" w:rsidR="003146C0" w:rsidRPr="00F0538D" w:rsidRDefault="003146C0" w:rsidP="00C978A2">
            <w:pPr>
              <w:spacing w:after="0" w:line="240" w:lineRule="auto"/>
              <w:rPr>
                <w:rFonts w:ascii="Arial" w:eastAsia="Times New Roman" w:hAnsi="Arial" w:cs="Arial"/>
                <w:color w:val="000000"/>
                <w:sz w:val="16"/>
                <w:szCs w:val="16"/>
                <w:lang w:val="fr-FR" w:eastAsia="fr-FR"/>
              </w:rPr>
            </w:pPr>
            <w:r w:rsidRPr="00F0538D">
              <w:rPr>
                <w:rFonts w:ascii="Arial" w:eastAsia="Times New Roman" w:hAnsi="Arial" w:cs="Arial"/>
                <w:color w:val="000000"/>
                <w:sz w:val="16"/>
                <w:szCs w:val="16"/>
                <w:lang w:val="fr-FR" w:eastAsia="fr-FR"/>
              </w:rPr>
              <w:t xml:space="preserve">7 </w:t>
            </w:r>
            <w:proofErr w:type="spellStart"/>
            <w:r w:rsidRPr="00F0538D">
              <w:rPr>
                <w:rFonts w:ascii="Arial" w:eastAsia="Times New Roman" w:hAnsi="Arial" w:cs="Arial"/>
                <w:color w:val="000000"/>
                <w:sz w:val="16"/>
                <w:szCs w:val="16"/>
                <w:lang w:val="fr-FR" w:eastAsia="fr-FR"/>
              </w:rPr>
              <w:t>years</w:t>
            </w:r>
            <w:proofErr w:type="spellEnd"/>
          </w:p>
        </w:tc>
      </w:tr>
    </w:tbl>
    <w:p w14:paraId="3C69255B" w14:textId="4B51AC02" w:rsidR="00122D6A" w:rsidRPr="00122D6A" w:rsidRDefault="00DF27E2" w:rsidP="00122D6A">
      <w:pPr>
        <w:rPr>
          <w:b/>
          <w:lang w:val="en-US"/>
        </w:rPr>
      </w:pPr>
      <w:r w:rsidRPr="00F0538D">
        <w:rPr>
          <w:b/>
        </w:rPr>
        <w:t>Supplementary Table 2</w:t>
      </w:r>
      <w:r>
        <w:rPr>
          <w:b/>
        </w:rPr>
        <w:t>B</w:t>
      </w:r>
      <w:r w:rsidRPr="00F0538D">
        <w:t xml:space="preserve">: </w:t>
      </w:r>
      <w:r>
        <w:t>Secondary m</w:t>
      </w:r>
      <w:r w:rsidRPr="00DF27E2">
        <w:t>alignancies,</w:t>
      </w:r>
      <w:r w:rsidR="00122D6A" w:rsidRPr="00DF27E2">
        <w:t xml:space="preserve"> n=</w:t>
      </w:r>
      <w:proofErr w:type="gramStart"/>
      <w:r w:rsidR="00122D6A" w:rsidRPr="00DF27E2">
        <w:t>7</w:t>
      </w:r>
      <w:proofErr w:type="gramEnd"/>
      <w:r w:rsidR="00122D6A" w:rsidRPr="00DF27E2">
        <w:t xml:space="preserve">. </w:t>
      </w:r>
      <w:r w:rsidR="00122D6A" w:rsidRPr="00DF27E2">
        <w:rPr>
          <w:lang w:val="en-US"/>
        </w:rPr>
        <w:t>ETANTR: Embryona</w:t>
      </w:r>
      <w:r w:rsidRPr="00DF27E2">
        <w:rPr>
          <w:lang w:val="en-US"/>
        </w:rPr>
        <w:t xml:space="preserve">l tumor with abundant neuropil </w:t>
      </w:r>
      <w:r w:rsidR="00122D6A" w:rsidRPr="00DF27E2">
        <w:rPr>
          <w:lang w:val="en-US"/>
        </w:rPr>
        <w:t>and true rosettes</w:t>
      </w:r>
      <w:r w:rsidR="004A4769" w:rsidRPr="00DF27E2">
        <w:rPr>
          <w:lang w:val="en-US"/>
        </w:rPr>
        <w:t>.</w:t>
      </w:r>
    </w:p>
    <w:p w14:paraId="5F056C05" w14:textId="5B3872DD" w:rsidR="00A23C51" w:rsidRPr="00122D6A" w:rsidRDefault="00A23C51" w:rsidP="00122D6A">
      <w:pPr>
        <w:rPr>
          <w:lang w:val="en-US"/>
        </w:rPr>
      </w:pPr>
    </w:p>
    <w:p w14:paraId="6E0DD79A" w14:textId="77777777" w:rsidR="00A23C51" w:rsidRPr="00122D6A" w:rsidRDefault="00A23C51" w:rsidP="00A23C51">
      <w:pPr>
        <w:rPr>
          <w:b/>
          <w:lang w:val="en-US"/>
        </w:rPr>
      </w:pPr>
    </w:p>
    <w:p w14:paraId="24151C58" w14:textId="77777777" w:rsidR="00A23C51" w:rsidRPr="00122D6A" w:rsidRDefault="00A23C51" w:rsidP="00A23C51">
      <w:pPr>
        <w:rPr>
          <w:b/>
          <w:lang w:val="en-US"/>
        </w:rPr>
      </w:pPr>
    </w:p>
    <w:p w14:paraId="0B204403" w14:textId="503276E7" w:rsidR="00814F81" w:rsidRDefault="00814F81" w:rsidP="00A23C51">
      <w:pPr>
        <w:rPr>
          <w:b/>
          <w:lang w:val="en-US"/>
        </w:rPr>
      </w:pPr>
    </w:p>
    <w:p w14:paraId="3B08621F" w14:textId="4BA90FCF" w:rsidR="00425236" w:rsidRDefault="00425236" w:rsidP="00A23C51">
      <w:pPr>
        <w:rPr>
          <w:b/>
          <w:lang w:val="en-US"/>
        </w:rPr>
      </w:pPr>
    </w:p>
    <w:p w14:paraId="3AD68D0A" w14:textId="5E047486" w:rsidR="00F0538D" w:rsidRPr="00F0538D" w:rsidRDefault="00F0538D" w:rsidP="00690F55"/>
    <w:tbl>
      <w:tblPr>
        <w:tblpPr w:leftFromText="180" w:rightFromText="180" w:vertAnchor="text" w:horzAnchor="margin" w:tblpXSpec="center" w:tblpY="148"/>
        <w:tblW w:w="9747" w:type="dxa"/>
        <w:tblCellMar>
          <w:left w:w="0" w:type="dxa"/>
          <w:right w:w="0" w:type="dxa"/>
        </w:tblCellMar>
        <w:tblLook w:val="04A0" w:firstRow="1" w:lastRow="0" w:firstColumn="1" w:lastColumn="0" w:noHBand="0" w:noVBand="1"/>
      </w:tblPr>
      <w:tblGrid>
        <w:gridCol w:w="1969"/>
        <w:gridCol w:w="2013"/>
        <w:gridCol w:w="2817"/>
        <w:gridCol w:w="1416"/>
        <w:gridCol w:w="1532"/>
      </w:tblGrid>
      <w:tr w:rsidR="00A23C51" w:rsidRPr="00E00F28" w14:paraId="09591795" w14:textId="77777777" w:rsidTr="00DF27E2">
        <w:trPr>
          <w:trHeight w:val="239"/>
        </w:trPr>
        <w:tc>
          <w:tcPr>
            <w:tcW w:w="196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69DB39D2" w14:textId="77777777" w:rsidR="00A23C51" w:rsidRPr="00E00F28" w:rsidRDefault="00A23C51" w:rsidP="00DF27E2">
            <w:pPr>
              <w:spacing w:after="120"/>
              <w:rPr>
                <w:sz w:val="20"/>
                <w:szCs w:val="20"/>
              </w:rPr>
            </w:pPr>
            <w:r w:rsidRPr="00E00F28">
              <w:rPr>
                <w:b/>
                <w:bCs/>
                <w:sz w:val="20"/>
                <w:szCs w:val="20"/>
                <w:lang w:val="en-US"/>
              </w:rPr>
              <w:lastRenderedPageBreak/>
              <w:t>Therapy</w:t>
            </w:r>
          </w:p>
        </w:tc>
        <w:tc>
          <w:tcPr>
            <w:tcW w:w="201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1A462C12" w14:textId="77777777" w:rsidR="00A23C51" w:rsidRPr="00E00F28" w:rsidRDefault="00A23C51" w:rsidP="00DF27E2">
            <w:pPr>
              <w:spacing w:after="120"/>
              <w:rPr>
                <w:sz w:val="20"/>
                <w:szCs w:val="20"/>
              </w:rPr>
            </w:pPr>
            <w:r w:rsidRPr="00E00F28">
              <w:rPr>
                <w:b/>
                <w:bCs/>
                <w:sz w:val="20"/>
                <w:szCs w:val="20"/>
                <w:lang w:val="en-US"/>
              </w:rPr>
              <w:t>Tumor type</w:t>
            </w:r>
          </w:p>
        </w:tc>
        <w:tc>
          <w:tcPr>
            <w:tcW w:w="281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11157A5F" w14:textId="77777777" w:rsidR="00A23C51" w:rsidRPr="00E00F28" w:rsidRDefault="00A23C51" w:rsidP="00DF27E2">
            <w:pPr>
              <w:spacing w:after="120"/>
              <w:rPr>
                <w:sz w:val="20"/>
                <w:szCs w:val="20"/>
              </w:rPr>
            </w:pPr>
            <w:r>
              <w:rPr>
                <w:b/>
                <w:bCs/>
                <w:sz w:val="20"/>
                <w:szCs w:val="20"/>
                <w:lang w:val="en-US"/>
              </w:rPr>
              <w:t xml:space="preserve">Previously reported </w:t>
            </w:r>
            <w:r w:rsidRPr="00E00F28">
              <w:rPr>
                <w:b/>
                <w:bCs/>
                <w:sz w:val="20"/>
                <w:szCs w:val="20"/>
                <w:lang w:val="en-US"/>
              </w:rPr>
              <w:t>ORR</w:t>
            </w:r>
          </w:p>
        </w:tc>
        <w:tc>
          <w:tcPr>
            <w:tcW w:w="141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00043B19" w14:textId="77777777" w:rsidR="00A23C51" w:rsidRPr="00E00F28" w:rsidRDefault="00A23C51" w:rsidP="00DF27E2">
            <w:pPr>
              <w:spacing w:after="120"/>
              <w:rPr>
                <w:sz w:val="20"/>
                <w:szCs w:val="20"/>
              </w:rPr>
            </w:pPr>
            <w:r w:rsidRPr="00E00F28">
              <w:rPr>
                <w:b/>
                <w:bCs/>
                <w:sz w:val="20"/>
                <w:szCs w:val="20"/>
                <w:lang w:val="en-US"/>
              </w:rPr>
              <w:t>MAPPYACTS</w:t>
            </w:r>
          </w:p>
        </w:tc>
        <w:tc>
          <w:tcPr>
            <w:tcW w:w="153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3D5BE47B" w14:textId="77777777" w:rsidR="00A23C51" w:rsidRPr="00E00F28" w:rsidRDefault="00A23C51" w:rsidP="00DF27E2">
            <w:pPr>
              <w:spacing w:after="120"/>
              <w:rPr>
                <w:sz w:val="20"/>
                <w:szCs w:val="20"/>
              </w:rPr>
            </w:pPr>
            <w:r>
              <w:rPr>
                <w:b/>
                <w:bCs/>
                <w:sz w:val="20"/>
                <w:szCs w:val="20"/>
                <w:lang w:val="en-US"/>
              </w:rPr>
              <w:t>K</w:t>
            </w:r>
            <w:r w:rsidRPr="00E00F28">
              <w:rPr>
                <w:b/>
                <w:bCs/>
                <w:sz w:val="20"/>
                <w:szCs w:val="20"/>
                <w:lang w:val="en-US"/>
              </w:rPr>
              <w:t>nown</w:t>
            </w:r>
            <w:r>
              <w:rPr>
                <w:b/>
                <w:bCs/>
                <w:sz w:val="20"/>
                <w:szCs w:val="20"/>
                <w:lang w:val="en-US"/>
              </w:rPr>
              <w:t xml:space="preserve"> prior to MAPPYACTS</w:t>
            </w:r>
          </w:p>
        </w:tc>
      </w:tr>
      <w:tr w:rsidR="00A23C51" w:rsidRPr="00DC29C3" w14:paraId="724D7653" w14:textId="77777777" w:rsidTr="00DF27E2">
        <w:trPr>
          <w:trHeight w:val="383"/>
        </w:trPr>
        <w:tc>
          <w:tcPr>
            <w:tcW w:w="1969" w:type="dxa"/>
            <w:vMerge w:val="restart"/>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9EA68C0" w14:textId="77777777" w:rsidR="00A23C51" w:rsidRPr="00E00F28" w:rsidRDefault="00A23C51" w:rsidP="00DF27E2">
            <w:pPr>
              <w:spacing w:after="120"/>
              <w:rPr>
                <w:sz w:val="20"/>
                <w:szCs w:val="20"/>
              </w:rPr>
            </w:pPr>
            <w:r w:rsidRPr="00E00F28">
              <w:rPr>
                <w:b/>
                <w:bCs/>
                <w:sz w:val="20"/>
                <w:szCs w:val="20"/>
                <w:lang w:val="en-US"/>
              </w:rPr>
              <w:t>ALK inhibitors in ALK gene-fusion positive tumors</w:t>
            </w:r>
          </w:p>
        </w:tc>
        <w:tc>
          <w:tcPr>
            <w:tcW w:w="201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0C15B60" w14:textId="77777777" w:rsidR="00A23C51" w:rsidRPr="00E00F28" w:rsidRDefault="00A23C51" w:rsidP="00DF27E2">
            <w:pPr>
              <w:spacing w:after="120"/>
              <w:rPr>
                <w:sz w:val="20"/>
                <w:szCs w:val="20"/>
              </w:rPr>
            </w:pPr>
            <w:r w:rsidRPr="00E00F28">
              <w:rPr>
                <w:sz w:val="20"/>
                <w:szCs w:val="20"/>
                <w:lang w:val="en-US"/>
              </w:rPr>
              <w:t>ALCL</w:t>
            </w:r>
          </w:p>
        </w:tc>
        <w:tc>
          <w:tcPr>
            <w:tcW w:w="281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4DB529C" w14:textId="3AEE698D" w:rsidR="00A23C51" w:rsidRPr="00E00F28" w:rsidRDefault="00A23C51" w:rsidP="00DF27E2">
            <w:pPr>
              <w:spacing w:after="120"/>
              <w:rPr>
                <w:sz w:val="20"/>
                <w:szCs w:val="20"/>
              </w:rPr>
            </w:pPr>
            <w:proofErr w:type="spellStart"/>
            <w:r w:rsidRPr="00E00F28">
              <w:rPr>
                <w:sz w:val="20"/>
                <w:szCs w:val="20"/>
                <w:lang w:val="fr-FR"/>
              </w:rPr>
              <w:t>Crizotinib</w:t>
            </w:r>
            <w:proofErr w:type="spellEnd"/>
            <w:r w:rsidRPr="00E00F28">
              <w:rPr>
                <w:sz w:val="20"/>
                <w:szCs w:val="20"/>
                <w:lang w:val="fr-FR"/>
              </w:rPr>
              <w:t>: 88</w:t>
            </w:r>
            <w:r w:rsidR="00DC29C3">
              <w:rPr>
                <w:sz w:val="20"/>
                <w:szCs w:val="20"/>
                <w:lang w:val="fr-FR"/>
              </w:rPr>
              <w:t xml:space="preserve">% </w:t>
            </w:r>
            <w:r w:rsidR="00DC29C3">
              <w:rPr>
                <w:sz w:val="20"/>
                <w:szCs w:val="20"/>
                <w:lang w:val="fr-FR"/>
              </w:rPr>
              <w:fldChar w:fldCharType="begin"/>
            </w:r>
            <w:r w:rsidR="00DC29C3">
              <w:rPr>
                <w:sz w:val="20"/>
                <w:szCs w:val="20"/>
                <w:lang w:val="fr-FR"/>
              </w:rPr>
              <w:instrText xml:space="preserve"> ADDIN ZOTERO_ITEM CSL_CITATION {"citationID":"wDi6FK5f","properties":{"formattedCitation":"(1)","plainCitation":"(1)","noteIndex":0},"citationItems":[{"id":456,"uris":["http://zotero.org/users/5068140/items/GH3CFNN4"],"uri":["http://zotero.org/users/5068140/items/GH3CFNN4"],"itemData":{"id":456,"type":"article-journal","abstract":"Purpose Fusions involving the ALK gene are the predominant genetic lesion underlying pediatric anaplastic large cell lymphomas (ALCL) and inﬂammatory myoﬁbroblastic tumors (IMTs). We assessed the activity of the ALK inhibitor crizotinib in patients who had no known curative treatment options at diagnosis or with relapsed/recurrent disease.\nMethods In this study, 26 patients with relapsed/refractory ALK-positive ALCL and 14 patients with metastatic or inoperable ALK-positive IMT received crizotinib orally twice daily. Study objectives were measurement of efﬁcacy and safety. Correlative studies evaluated the serial detection of NPM-ALK fusion transcripts in patients with ALCL.\nResults The overall response rates for patients with ALCL treated at doses of 165 (ALCL165) and 280 (ALCL280) mg/m2 were 83% and 90%, respectively. The overall response rate for patients with IMT (treated at 100, 165, and 280 mg/m2/dose) was 86%. A complete response was observed in 83% (ﬁve of six) of ALCL165, 80% (16 of 20) of ALCL280, and 36% (ﬁve of 14) of patients with IMT. Partial response rates were 0% (none of six), 10% (two of 20), and 50% (seven of 14), respectively. The median duration of therapy was 2.79, 0.4, and 1.63 years, respectively, with 12 patients ceasing protocol therapy to proceed to transplantation. The most common drug-related adverse event was decrease in neutrophil count in 33% and 70% of the ALCL165 and ALCL280 groups, respectively, and in 43% of patients with IMT. Levels of NPM-ALK decreased during therapy in most patients with ALCL.\nConclusion The robust and sustained clinical responses to crizotinib therapy in patients with relapsed ALCL and metastatic or unresectable IMT highlight the importance of the ALK pathway in these diseases.","container-title":"Journal of Clinical Oncology","DOI":"10.1200/JCO.2017.73.4830","ISSN":"0732-183X, 1527-7755","issue":"28","language":"en","page":"3215-3221","source":"Crossref","title":"Targeting ALK With Crizotinib in Pediatric Anaplastic Large Cell Lymphoma and Inflammatory Myofibroblastic Tumor: A Children’s Oncology Group Study","title-short":"Targeting ALK With Crizotinib in Pediatric Anaplastic Large Cell Lymphoma and Inflammatory Myofibroblastic Tumor","volume":"35","author":[{"family":"Mossé","given":"Yael P."},{"family":"Voss","given":"Stephan D."},{"family":"Lim","given":"Megan S."},{"family":"Rolland","given":"Delphine"},{"family":"Minard","given":"Charles G."},{"family":"Fox","given":"Elizabeth"},{"family":"Adamson","given":"Peter"},{"family":"Wilner","given":"Keith"},{"family":"Blaney","given":"Susan M."},{"family":"Weigel","given":"Brenda J."}],"issued":{"date-parts":[["2017",10]]}}}],"schema":"https://github.com/citation-style-language/schema/raw/master/csl-citation.json"} </w:instrText>
            </w:r>
            <w:r w:rsidR="00DC29C3">
              <w:rPr>
                <w:sz w:val="20"/>
                <w:szCs w:val="20"/>
                <w:lang w:val="fr-FR"/>
              </w:rPr>
              <w:fldChar w:fldCharType="separate"/>
            </w:r>
            <w:r w:rsidR="00DC29C3" w:rsidRPr="00DC29C3">
              <w:rPr>
                <w:rFonts w:ascii="Calibri" w:hAnsi="Calibri" w:cs="Calibri"/>
                <w:sz w:val="20"/>
              </w:rPr>
              <w:t>(1)</w:t>
            </w:r>
            <w:r w:rsidR="00DC29C3">
              <w:rPr>
                <w:sz w:val="20"/>
                <w:szCs w:val="20"/>
                <w:lang w:val="fr-FR"/>
              </w:rPr>
              <w:fldChar w:fldCharType="end"/>
            </w:r>
          </w:p>
          <w:p w14:paraId="2CFCF155" w14:textId="5185F167" w:rsidR="00A23C51" w:rsidRPr="00DC29C3" w:rsidRDefault="00DC29C3" w:rsidP="00DF27E2">
            <w:pPr>
              <w:spacing w:after="120"/>
              <w:rPr>
                <w:sz w:val="20"/>
                <w:szCs w:val="20"/>
                <w:lang w:val="fr-FR"/>
              </w:rPr>
            </w:pPr>
            <w:proofErr w:type="spellStart"/>
            <w:r>
              <w:rPr>
                <w:sz w:val="20"/>
                <w:szCs w:val="20"/>
                <w:lang w:val="fr-FR"/>
              </w:rPr>
              <w:t>Ceritinib</w:t>
            </w:r>
            <w:proofErr w:type="spellEnd"/>
            <w:r>
              <w:rPr>
                <w:sz w:val="20"/>
                <w:szCs w:val="20"/>
                <w:lang w:val="fr-FR"/>
              </w:rPr>
              <w:t>: 75</w:t>
            </w:r>
            <w:r w:rsidR="00A23C51" w:rsidRPr="00E00F28">
              <w:rPr>
                <w:sz w:val="20"/>
                <w:szCs w:val="20"/>
                <w:lang w:val="fr-FR"/>
              </w:rPr>
              <w:t xml:space="preserve">% ORR </w:t>
            </w:r>
            <w:r>
              <w:rPr>
                <w:sz w:val="20"/>
                <w:szCs w:val="20"/>
                <w:lang w:val="fr-FR"/>
              </w:rPr>
              <w:fldChar w:fldCharType="begin"/>
            </w:r>
            <w:r>
              <w:rPr>
                <w:sz w:val="20"/>
                <w:szCs w:val="20"/>
                <w:lang w:val="fr-FR"/>
              </w:rPr>
              <w:instrText xml:space="preserve"> ADDIN ZOTERO_ITEM CSL_CITATION {"citationID":"P7eM3EoB","properties":{"formattedCitation":"(2)","plainCitation":"(2)","noteIndex":0},"citationItems":[{"id":797,"uris":["http://zotero.org/users/5068140/items/LQRNMGTY"],"uri":["http://zotero.org/users/5068140/items/LQRNMGTY"],"itemData":{"id":797,"type":"article-journal","abstract":"10505Background: Activation of anaplastic lymphoma kinase has been detected in several pediatric malignancies, including anaplastic large-cell lymphoma (ALCL), inflammatory myofibroblastic tumor (IMT), neuroblastoma and others. Preliminary findings from this phase 1, multicenter, dose-escalation study (NCT01742286) indicated a Maximum Tolerated Dose (MTD)/Recommended Dose for Expansion (RDE) of the potent oral ALK inhibitor ceritinib to be 510 mg/m2 (fasted) and 500 mg/m2 (fed) in pediatric patients (pts). Here, we report final safety, pharmacokinetics (PK) and efficacy results. Methods: Children aged ≥1 to &lt;18 years with advanced, mostly pretreated, ALK-aberrant malignancies were enrolled in this study. Dose escalation was conducted to determine the MTD/RDE of ceritinib (primary objective), in both fasted and fed states, following which pts entered an expansion phase to evaluate safety, tolerability, and efficacy at the MTD/RDE. Secondary objectives were evaluation of safety, PK, and efficacy (overall response rate [ORR], duration of response [DOR] and progression-free survival [PFS]). Results: A total of 83 pts (median age, 8 years) with ALK-aberrant malignancies were enrolled into dose-escalation (n = 40) and expansion (n = 43) study periods. Of these, 55 pts (neuroblastoma, n = 30; IMT, n = 10; ALCL, n = 8; others, n = 7) were treated with ceritinib at MTD/RDE (510 mg/m2 [fasted], n = 13; 500 mg/m2 [fed], n = 42). Systemic exposure of ceritinib between the two doses was comparable, so data were pooled for efficacy assessment. The ORRs (95% CI) were 75% (34.9-96.8) for pts with ALCL, 70% (34.8-93.3) for IMT and 20% (7.7-38.6) for neuroblastoma. The median DOR was 15 months (95% CI: 5.8, 22.2) for the 6/30 pts with neuroblastoma who had confirmed CR or PR treated at fasted/fed MTD/RDE. Median DOR was not reached for those with ALCL and IMT. Most common adverse events (AEs) (N = 83; all-grades, all-causality, ≥50% of pts): vomiting (86.7%), diarrhea (78.3%), increased ALT (65.1%), increased AST (59.0%), nausea (56.6%), and abdominal pain (50.6%). Grade 3/4 AEs were observed in 80.7% of pts (mostly transaminase elevations) and were manageable. Six pts (7.2%) were discontinued from ceritinib due to a grade 3/4 AE (mostly transaminase elevation). Conclusions: Substantial activity was observed with ceritinib at the RDE in pts with IMT, ALCL and heavily pretreated neuroblastoma. The toxicity profile of ceritinib in children was manageable and similar to that previously reported in adults. Clinical trial information: NCT01742286.","container-title":"Journal of Clinical Oncology","DOI":"10.1200/JCO.2020.38.15_suppl.10505","ISSN":"0732-183X","issue":"15_suppl","journalAbbreviation":"JCO","note":"publisher: Wolters Kluwer","page":"10505-10505","title":"Final analysis of phase I study of ceritinib in pediatric patients with malignancies harboring activated anaplastic lymphoma kinase (ALK).","volume":"38","author":[{"family":"Schulte","given":"Johannes H"},{"family":"Moreno","given":"Lucas"},{"family":"Ziegler","given":"David Simon"},{"family":"Marshall","given":"Lynley V."},{"family":"Zwaan","given":"C. Michel"},{"family":"Irwin","given":"Meredith"},{"family":"Casanova","given":"Michela"},{"family":"Sabado","given":"Constantino"},{"family":"Wulff","given":"Beate"},{"family":"Stegert","given":"Mario"},{"family":"Wang","given":"Luojun"},{"family":"Hurtado","given":"Felipe K."},{"family":"Branle","given":"Fabrice"},{"family":"Fischer","given":"Matthias"},{"family":"Geoerger","given":"Birgit"}],"issued":{"date-parts":[["2020",5,20]]}}}],"schema":"https://github.com/citation-style-language/schema/raw/master/csl-citation.json"} </w:instrText>
            </w:r>
            <w:r>
              <w:rPr>
                <w:sz w:val="20"/>
                <w:szCs w:val="20"/>
                <w:lang w:val="fr-FR"/>
              </w:rPr>
              <w:fldChar w:fldCharType="separate"/>
            </w:r>
            <w:r w:rsidRPr="00DC29C3">
              <w:rPr>
                <w:rFonts w:ascii="Calibri" w:hAnsi="Calibri" w:cs="Calibri"/>
                <w:sz w:val="20"/>
                <w:lang w:val="fr-FR"/>
              </w:rPr>
              <w:t>(2)</w:t>
            </w:r>
            <w:r>
              <w:rPr>
                <w:sz w:val="20"/>
                <w:szCs w:val="20"/>
                <w:lang w:val="fr-FR"/>
              </w:rPr>
              <w:fldChar w:fldCharType="end"/>
            </w:r>
          </w:p>
        </w:tc>
        <w:tc>
          <w:tcPr>
            <w:tcW w:w="141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EC3085E" w14:textId="00880FDE" w:rsidR="00A23C51" w:rsidRPr="00DC29C3" w:rsidRDefault="00301A38" w:rsidP="00DF27E2">
            <w:pPr>
              <w:spacing w:after="120"/>
              <w:rPr>
                <w:sz w:val="20"/>
                <w:szCs w:val="20"/>
                <w:lang w:val="fr-FR"/>
              </w:rPr>
            </w:pPr>
            <w:r>
              <w:rPr>
                <w:sz w:val="20"/>
                <w:szCs w:val="20"/>
                <w:lang w:val="fr-FR"/>
              </w:rPr>
              <w:t>9</w:t>
            </w:r>
            <w:r w:rsidR="00A23C51" w:rsidRPr="00E00F28">
              <w:rPr>
                <w:sz w:val="20"/>
                <w:szCs w:val="20"/>
                <w:lang w:val="fr-FR"/>
              </w:rPr>
              <w:t xml:space="preserve"> patients</w:t>
            </w:r>
          </w:p>
        </w:tc>
        <w:tc>
          <w:tcPr>
            <w:tcW w:w="153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B24EAB9" w14:textId="5A8FF269" w:rsidR="00A23C51" w:rsidRPr="00DC29C3" w:rsidRDefault="00301A38" w:rsidP="00DF27E2">
            <w:pPr>
              <w:spacing w:after="120"/>
              <w:rPr>
                <w:sz w:val="20"/>
                <w:szCs w:val="20"/>
                <w:lang w:val="fr-FR"/>
              </w:rPr>
            </w:pPr>
            <w:r>
              <w:rPr>
                <w:sz w:val="20"/>
                <w:szCs w:val="20"/>
                <w:lang w:val="fr-FR"/>
              </w:rPr>
              <w:t>9</w:t>
            </w:r>
            <w:r w:rsidR="00F37DC6">
              <w:rPr>
                <w:sz w:val="20"/>
                <w:szCs w:val="20"/>
                <w:lang w:val="fr-FR"/>
              </w:rPr>
              <w:t>/</w:t>
            </w:r>
            <w:r>
              <w:rPr>
                <w:sz w:val="20"/>
                <w:szCs w:val="20"/>
                <w:lang w:val="fr-FR"/>
              </w:rPr>
              <w:t>9</w:t>
            </w:r>
            <w:r w:rsidR="00A23C51">
              <w:rPr>
                <w:sz w:val="20"/>
                <w:szCs w:val="20"/>
                <w:lang w:val="fr-FR"/>
              </w:rPr>
              <w:t xml:space="preserve"> patients</w:t>
            </w:r>
          </w:p>
        </w:tc>
      </w:tr>
      <w:tr w:rsidR="00A23C51" w:rsidRPr="00DC29C3" w14:paraId="663128EA" w14:textId="77777777" w:rsidTr="00DF27E2">
        <w:trPr>
          <w:trHeight w:val="401"/>
        </w:trPr>
        <w:tc>
          <w:tcPr>
            <w:tcW w:w="1969" w:type="dxa"/>
            <w:vMerge/>
            <w:tcBorders>
              <w:top w:val="single" w:sz="24" w:space="0" w:color="FFFFFF"/>
              <w:left w:val="single" w:sz="8" w:space="0" w:color="FFFFFF"/>
              <w:bottom w:val="single" w:sz="8" w:space="0" w:color="FFFFFF"/>
              <w:right w:val="single" w:sz="8" w:space="0" w:color="FFFFFF"/>
            </w:tcBorders>
            <w:vAlign w:val="center"/>
            <w:hideMark/>
          </w:tcPr>
          <w:p w14:paraId="20C1340F" w14:textId="77777777" w:rsidR="00A23C51" w:rsidRPr="00DC29C3" w:rsidRDefault="00A23C51" w:rsidP="00DF27E2">
            <w:pPr>
              <w:spacing w:after="120"/>
              <w:rPr>
                <w:sz w:val="20"/>
                <w:szCs w:val="20"/>
                <w:lang w:val="fr-FR"/>
              </w:rPr>
            </w:pPr>
          </w:p>
        </w:tc>
        <w:tc>
          <w:tcPr>
            <w:tcW w:w="201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EF6D820" w14:textId="77777777" w:rsidR="00A23C51" w:rsidRPr="00DC29C3" w:rsidRDefault="00A23C51" w:rsidP="00DF27E2">
            <w:pPr>
              <w:spacing w:after="120"/>
              <w:rPr>
                <w:sz w:val="20"/>
                <w:szCs w:val="20"/>
                <w:lang w:val="fr-FR"/>
              </w:rPr>
            </w:pPr>
            <w:r w:rsidRPr="00DC29C3">
              <w:rPr>
                <w:sz w:val="20"/>
                <w:szCs w:val="20"/>
                <w:lang w:val="fr-FR"/>
              </w:rPr>
              <w:t>IMT</w:t>
            </w:r>
          </w:p>
        </w:tc>
        <w:tc>
          <w:tcPr>
            <w:tcW w:w="28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ECE11B3" w14:textId="07525DD9" w:rsidR="00A23C51" w:rsidRPr="00DC29C3" w:rsidRDefault="00DC29C3" w:rsidP="00DF27E2">
            <w:pPr>
              <w:spacing w:after="120"/>
              <w:rPr>
                <w:sz w:val="20"/>
                <w:szCs w:val="20"/>
                <w:lang w:val="fr-FR"/>
              </w:rPr>
            </w:pPr>
            <w:proofErr w:type="spellStart"/>
            <w:r>
              <w:rPr>
                <w:sz w:val="20"/>
                <w:szCs w:val="20"/>
                <w:lang w:val="fr-FR"/>
              </w:rPr>
              <w:t>Crizotinib</w:t>
            </w:r>
            <w:proofErr w:type="spellEnd"/>
            <w:r>
              <w:rPr>
                <w:sz w:val="20"/>
                <w:szCs w:val="20"/>
                <w:lang w:val="fr-FR"/>
              </w:rPr>
              <w:t>: 86%</w:t>
            </w:r>
            <w:r w:rsidR="0085189B">
              <w:rPr>
                <w:sz w:val="20"/>
                <w:szCs w:val="20"/>
                <w:lang w:val="fr-FR"/>
              </w:rPr>
              <w:t xml:space="preserve"> </w:t>
            </w:r>
            <w:r>
              <w:rPr>
                <w:sz w:val="20"/>
                <w:szCs w:val="20"/>
                <w:lang w:val="fr-FR"/>
              </w:rPr>
              <w:fldChar w:fldCharType="begin"/>
            </w:r>
            <w:r>
              <w:rPr>
                <w:sz w:val="20"/>
                <w:szCs w:val="20"/>
                <w:lang w:val="fr-FR"/>
              </w:rPr>
              <w:instrText xml:space="preserve"> ADDIN ZOTERO_ITEM CSL_CITATION {"citationID":"PGSb1xeE","properties":{"formattedCitation":"(1)","plainCitation":"(1)","noteIndex":0},"citationItems":[{"id":456,"uris":["http://zotero.org/users/5068140/items/GH3CFNN4"],"uri":["http://zotero.org/users/5068140/items/GH3CFNN4"],"itemData":{"id":456,"type":"article-journal","abstract":"Purpose Fusions involving the ALK gene are the predominant genetic lesion underlying pediatric anaplastic large cell lymphomas (ALCL) and inﬂammatory myoﬁbroblastic tumors (IMTs). We assessed the activity of the ALK inhibitor crizotinib in patients who had no known curative treatment options at diagnosis or with relapsed/recurrent disease.\nMethods In this study, 26 patients with relapsed/refractory ALK-positive ALCL and 14 patients with metastatic or inoperable ALK-positive IMT received crizotinib orally twice daily. Study objectives were measurement of efﬁcacy and safety. Correlative studies evaluated the serial detection of NPM-ALK fusion transcripts in patients with ALCL.\nResults The overall response rates for patients with ALCL treated at doses of 165 (ALCL165) and 280 (ALCL280) mg/m2 were 83% and 90%, respectively. The overall response rate for patients with IMT (treated at 100, 165, and 280 mg/m2/dose) was 86%. A complete response was observed in 83% (ﬁve of six) of ALCL165, 80% (16 of 20) of ALCL280, and 36% (ﬁve of 14) of patients with IMT. Partial response rates were 0% (none of six), 10% (two of 20), and 50% (seven of 14), respectively. The median duration of therapy was 2.79, 0.4, and 1.63 years, respectively, with 12 patients ceasing protocol therapy to proceed to transplantation. The most common drug-related adverse event was decrease in neutrophil count in 33% and 70% of the ALCL165 and ALCL280 groups, respectively, and in 43% of patients with IMT. Levels of NPM-ALK decreased during therapy in most patients with ALCL.\nConclusion The robust and sustained clinical responses to crizotinib therapy in patients with relapsed ALCL and metastatic or unresectable IMT highlight the importance of the ALK pathway in these diseases.","container-title":"Journal of Clinical Oncology","DOI":"10.1200/JCO.2017.73.4830","ISSN":"0732-183X, 1527-7755","issue":"28","language":"en","page":"3215-3221","source":"Crossref","title":"Targeting ALK With Crizotinib in Pediatric Anaplastic Large Cell Lymphoma and Inflammatory Myofibroblastic Tumor: A Children’s Oncology Group Study","title-short":"Targeting ALK With Crizotinib in Pediatric Anaplastic Large Cell Lymphoma and Inflammatory Myofibroblastic Tumor","volume":"35","author":[{"family":"Mossé","given":"Yael P."},{"family":"Voss","given":"Stephan D."},{"family":"Lim","given":"Megan S."},{"family":"Rolland","given":"Delphine"},{"family":"Minard","given":"Charles G."},{"family":"Fox","given":"Elizabeth"},{"family":"Adamson","given":"Peter"},{"family":"Wilner","given":"Keith"},{"family":"Blaney","given":"Susan M."},{"family":"Weigel","given":"Brenda J."}],"issued":{"date-parts":[["2017",10]]}}}],"schema":"https://github.com/citation-style-language/schema/raw/master/csl-citation.json"} </w:instrText>
            </w:r>
            <w:r>
              <w:rPr>
                <w:sz w:val="20"/>
                <w:szCs w:val="20"/>
                <w:lang w:val="fr-FR"/>
              </w:rPr>
              <w:fldChar w:fldCharType="separate"/>
            </w:r>
            <w:r w:rsidRPr="00DC29C3">
              <w:rPr>
                <w:rFonts w:ascii="Calibri" w:hAnsi="Calibri" w:cs="Calibri"/>
                <w:sz w:val="20"/>
              </w:rPr>
              <w:t>(1)</w:t>
            </w:r>
            <w:r>
              <w:rPr>
                <w:sz w:val="20"/>
                <w:szCs w:val="20"/>
                <w:lang w:val="fr-FR"/>
              </w:rPr>
              <w:fldChar w:fldCharType="end"/>
            </w:r>
          </w:p>
          <w:p w14:paraId="5289E435" w14:textId="2A8B3EA1" w:rsidR="00A23C51" w:rsidRPr="0085189B" w:rsidRDefault="00DC29C3" w:rsidP="00DF27E2">
            <w:pPr>
              <w:spacing w:after="120"/>
              <w:rPr>
                <w:sz w:val="20"/>
                <w:szCs w:val="20"/>
              </w:rPr>
            </w:pPr>
            <w:proofErr w:type="spellStart"/>
            <w:r>
              <w:rPr>
                <w:sz w:val="20"/>
                <w:szCs w:val="20"/>
                <w:lang w:val="fr-FR"/>
              </w:rPr>
              <w:t>Ceritinib</w:t>
            </w:r>
            <w:proofErr w:type="spellEnd"/>
            <w:r>
              <w:rPr>
                <w:sz w:val="20"/>
                <w:szCs w:val="20"/>
                <w:lang w:val="fr-FR"/>
              </w:rPr>
              <w:t xml:space="preserve">: 70% ORR </w:t>
            </w:r>
            <w:r>
              <w:rPr>
                <w:sz w:val="20"/>
                <w:szCs w:val="20"/>
                <w:lang w:val="fr-FR"/>
              </w:rPr>
              <w:fldChar w:fldCharType="begin"/>
            </w:r>
            <w:r>
              <w:rPr>
                <w:sz w:val="20"/>
                <w:szCs w:val="20"/>
                <w:lang w:val="fr-FR"/>
              </w:rPr>
              <w:instrText xml:space="preserve"> ADDIN ZOTERO_ITEM CSL_CITATION {"citationID":"83E0vBL3","properties":{"formattedCitation":"(2)","plainCitation":"(2)","noteIndex":0},"citationItems":[{"id":797,"uris":["http://zotero.org/users/5068140/items/LQRNMGTY"],"uri":["http://zotero.org/users/5068140/items/LQRNMGTY"],"itemData":{"id":797,"type":"article-journal","abstract":"10505Background: Activation of anaplastic lymphoma kinase has been detected in several pediatric malignancies, including anaplastic large-cell lymphoma (ALCL), inflammatory myofibroblastic tumor (IMT), neuroblastoma and others. Preliminary findings from this phase 1, multicenter, dose-escalation study (NCT01742286) indicated a Maximum Tolerated Dose (MTD)/Recommended Dose for Expansion (RDE) of the potent oral ALK inhibitor ceritinib to be 510 mg/m2 (fasted) and 500 mg/m2 (fed) in pediatric patients (pts). Here, we report final safety, pharmacokinetics (PK) and efficacy results. Methods: Children aged ≥1 to &lt;18 years with advanced, mostly pretreated, ALK-aberrant malignancies were enrolled in this study. Dose escalation was conducted to determine the MTD/RDE of ceritinib (primary objective), in both fasted and fed states, following which pts entered an expansion phase to evaluate safety, tolerability, and efficacy at the MTD/RDE. Secondary objectives were evaluation of safety, PK, and efficacy (overall response rate [ORR], duration of response [DOR] and progression-free survival [PFS]). Results: A total of 83 pts (median age, 8 years) with ALK-aberrant malignancies were enrolled into dose-escalation (n = 40) and expansion (n = 43) study periods. Of these, 55 pts (neuroblastoma, n = 30; IMT, n = 10; ALCL, n = 8; others, n = 7) were treated with ceritinib at MTD/RDE (510 mg/m2 [fasted], n = 13; 500 mg/m2 [fed], n = 42). Systemic exposure of ceritinib between the two doses was comparable, so data were pooled for efficacy assessment. The ORRs (95% CI) were 75% (34.9-96.8) for pts with ALCL, 70% (34.8-93.3) for IMT and 20% (7.7-38.6) for neuroblastoma. The median DOR was 15 months (95% CI: 5.8, 22.2) for the 6/30 pts with neuroblastoma who had confirmed CR or PR treated at fasted/fed MTD/RDE. Median DOR was not reached for those with ALCL and IMT. Most common adverse events (AEs) (N = 83; all-grades, all-causality, ≥50% of pts): vomiting (86.7%), diarrhea (78.3%), increased ALT (65.1%), increased AST (59.0%), nausea (56.6%), and abdominal pain (50.6%). Grade 3/4 AEs were observed in 80.7% of pts (mostly transaminase elevations) and were manageable. </w:instrText>
            </w:r>
            <w:r w:rsidRPr="0085189B">
              <w:rPr>
                <w:sz w:val="20"/>
                <w:szCs w:val="20"/>
              </w:rPr>
              <w:instrText xml:space="preserve">Six pts (7.2%) were discontinued from ceritinib due to a grade 3/4 AE (mostly transaminase elevation). Conclusions: Substantial activity was observed with ceritinib at the RDE in pts with IMT, ALCL and heavily pretreated neuroblastoma. The toxicity profile of ceritinib in children was manageable and similar to that previously reported in adults. Clinical trial information: NCT01742286.","container-title":"Journal of Clinical Oncology","DOI":"10.1200/JCO.2020.38.15_suppl.10505","ISSN":"0732-183X","issue":"15_suppl","journalAbbreviation":"JCO","note":"publisher: Wolters Kluwer","page":"10505-10505","title":"Final analysis of phase I study of ceritinib in pediatric patients with malignancies harboring activated anaplastic lymphoma kinase (ALK).","volume":"38","author":[{"family":"Schulte","given":"Johannes H"},{"family":"Moreno","given":"Lucas"},{"family":"Ziegler","given":"David Simon"},{"family":"Marshall","given":"Lynley V."},{"family":"Zwaan","given":"C. Michel"},{"family":"Irwin","given":"Meredith"},{"family":"Casanova","given":"Michela"},{"family":"Sabado","given":"Constantino"},{"family":"Wulff","given":"Beate"},{"family":"Stegert","given":"Mario"},{"family":"Wang","given":"Luojun"},{"family":"Hurtado","given":"Felipe K."},{"family":"Branle","given":"Fabrice"},{"family":"Fischer","given":"Matthias"},{"family":"Geoerger","given":"Birgit"}],"issued":{"date-parts":[["2020",5,20]]}}}],"schema":"https://github.com/citation-style-language/schema/raw/master/csl-citation.json"} </w:instrText>
            </w:r>
            <w:r>
              <w:rPr>
                <w:sz w:val="20"/>
                <w:szCs w:val="20"/>
                <w:lang w:val="fr-FR"/>
              </w:rPr>
              <w:fldChar w:fldCharType="separate"/>
            </w:r>
            <w:r w:rsidRPr="00DC29C3">
              <w:rPr>
                <w:rFonts w:ascii="Calibri" w:hAnsi="Calibri" w:cs="Calibri"/>
                <w:sz w:val="20"/>
              </w:rPr>
              <w:t>(2)</w:t>
            </w:r>
            <w:r>
              <w:rPr>
                <w:sz w:val="20"/>
                <w:szCs w:val="20"/>
                <w:lang w:val="fr-FR"/>
              </w:rPr>
              <w:fldChar w:fldCharType="end"/>
            </w:r>
          </w:p>
        </w:tc>
        <w:tc>
          <w:tcPr>
            <w:tcW w:w="14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F04997A" w14:textId="77777777" w:rsidR="00A23C51" w:rsidRPr="0085189B" w:rsidRDefault="00A23C51" w:rsidP="00DF27E2">
            <w:pPr>
              <w:spacing w:after="120"/>
              <w:rPr>
                <w:sz w:val="20"/>
                <w:szCs w:val="20"/>
              </w:rPr>
            </w:pPr>
            <w:r w:rsidRPr="0085189B">
              <w:rPr>
                <w:sz w:val="20"/>
                <w:szCs w:val="20"/>
              </w:rPr>
              <w:t>1 patient</w:t>
            </w:r>
          </w:p>
        </w:tc>
        <w:tc>
          <w:tcPr>
            <w:tcW w:w="153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E809717" w14:textId="5F539928" w:rsidR="00A23C51" w:rsidRPr="0085189B" w:rsidRDefault="00A23C51" w:rsidP="00DF27E2">
            <w:pPr>
              <w:spacing w:after="120"/>
              <w:rPr>
                <w:sz w:val="20"/>
                <w:szCs w:val="20"/>
              </w:rPr>
            </w:pPr>
            <w:r w:rsidRPr="0085189B">
              <w:rPr>
                <w:sz w:val="20"/>
                <w:szCs w:val="20"/>
              </w:rPr>
              <w:t>1/1 patient</w:t>
            </w:r>
          </w:p>
        </w:tc>
      </w:tr>
      <w:tr w:rsidR="00A23C51" w:rsidRPr="00DC29C3" w14:paraId="48962992" w14:textId="77777777" w:rsidTr="00DF27E2">
        <w:trPr>
          <w:trHeight w:val="239"/>
        </w:trPr>
        <w:tc>
          <w:tcPr>
            <w:tcW w:w="1969" w:type="dxa"/>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6FB97DD" w14:textId="7D5B0BC2" w:rsidR="00A23C51" w:rsidRPr="0061447C" w:rsidRDefault="00A23C51" w:rsidP="00DF27E2">
            <w:pPr>
              <w:spacing w:after="120"/>
              <w:rPr>
                <w:sz w:val="20"/>
                <w:szCs w:val="20"/>
              </w:rPr>
            </w:pPr>
            <w:r w:rsidRPr="0061447C">
              <w:rPr>
                <w:b/>
                <w:bCs/>
                <w:sz w:val="20"/>
                <w:szCs w:val="20"/>
              </w:rPr>
              <w:t xml:space="preserve">BRAF inhibitors in BRAF V600E mutated </w:t>
            </w:r>
            <w:proofErr w:type="spellStart"/>
            <w:r w:rsidRPr="0061447C">
              <w:rPr>
                <w:b/>
                <w:bCs/>
                <w:sz w:val="20"/>
                <w:szCs w:val="20"/>
              </w:rPr>
              <w:t>tumors</w:t>
            </w:r>
            <w:proofErr w:type="spellEnd"/>
          </w:p>
        </w:tc>
        <w:tc>
          <w:tcPr>
            <w:tcW w:w="201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CFDC09D" w14:textId="77777777" w:rsidR="00A23C51" w:rsidRPr="0085189B" w:rsidRDefault="00A23C51" w:rsidP="00DF27E2">
            <w:pPr>
              <w:spacing w:after="120"/>
              <w:rPr>
                <w:sz w:val="20"/>
                <w:szCs w:val="20"/>
              </w:rPr>
            </w:pPr>
            <w:r w:rsidRPr="0085189B">
              <w:rPr>
                <w:sz w:val="20"/>
                <w:szCs w:val="20"/>
              </w:rPr>
              <w:t>LGG</w:t>
            </w:r>
          </w:p>
        </w:tc>
        <w:tc>
          <w:tcPr>
            <w:tcW w:w="28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DD3443E" w14:textId="753C6F6A" w:rsidR="00A23C51" w:rsidRPr="00DC29C3" w:rsidRDefault="00DC29C3" w:rsidP="00DF27E2">
            <w:pPr>
              <w:spacing w:after="120"/>
              <w:rPr>
                <w:sz w:val="20"/>
                <w:szCs w:val="20"/>
                <w:lang w:val="fr-FR"/>
              </w:rPr>
            </w:pPr>
            <w:proofErr w:type="spellStart"/>
            <w:r w:rsidRPr="0085189B">
              <w:rPr>
                <w:sz w:val="20"/>
                <w:szCs w:val="20"/>
              </w:rPr>
              <w:t>Dabrafenib</w:t>
            </w:r>
            <w:proofErr w:type="spellEnd"/>
            <w:r w:rsidRPr="0085189B">
              <w:rPr>
                <w:sz w:val="20"/>
                <w:szCs w:val="20"/>
              </w:rPr>
              <w:t xml:space="preserve">: 44% ORR </w:t>
            </w:r>
            <w:r>
              <w:rPr>
                <w:sz w:val="20"/>
                <w:szCs w:val="20"/>
                <w:lang w:val="fr-FR"/>
              </w:rPr>
              <w:fldChar w:fldCharType="begin"/>
            </w:r>
            <w:r w:rsidRPr="0085189B">
              <w:rPr>
                <w:sz w:val="20"/>
                <w:szCs w:val="20"/>
              </w:rPr>
              <w:instrText xml:space="preserve"> ADDIN ZOTERO_ITEM CSL_CITATION {"citationID":"FhNF2VsJ","properties":{"formattedCitation":"(3)","plainCitation":"(3)","noteIndex":0},"citationItems":[{"id":801,"uris":["http://zotero.org/users/5068140/items/4FMBTJ9N"],"uri":["http://zotero.org/users/5068140/items/4FMBTJ9N"],"itemData":{"id":801,"type":"article-journal","abstract":"Purpose: Pediatric low-grade glioma (pLGG) is the most prevalent childhood brain tumor. Patients with BRAF V600 mutation–positive pLGG may bene</w:instrText>
            </w:r>
            <w:r>
              <w:rPr>
                <w:sz w:val="20"/>
                <w:szCs w:val="20"/>
                <w:lang w:val="fr-FR"/>
              </w:rPr>
              <w:instrText>ﬁ</w:instrText>
            </w:r>
            <w:r w:rsidRPr="0085189B">
              <w:rPr>
                <w:sz w:val="20"/>
                <w:szCs w:val="20"/>
              </w:rPr>
              <w:instrText>t from treatment with dabrafenib. Part 2 of a phase I/IIa study, open-label study (NCT01677741) explores the activity and safety of dabrafenib treatment in these patients.","container-title":"Clinical Cancer Research","DOI":"10.1158/1078-0432.CCR-19-2177","ISSN":"1078-0432, 1557-3265","issue":"24","journalAbbreviation":"Clin Cancer Res","language":"en","page":"7303-7311","source":"DOI.org (Crossref)","title":"Efficacy and Safety of Dabrafenib in Pediatric Patients with &lt;i&gt;BRAF&lt;/i&gt; V600 Mutation–Positive Relapsed or Refractory Low-Grade Glioma: Results from a Phase I/IIa Study","title-short":"Efficacy and Safety of Dabrafenib in Pediatric Patients with &lt;i&gt;BRAF&lt;/i&gt; V600 Mutation–Positive Relapsed or Refractory Low-Grade Glioma","volume":"25","author":[{"family":"Hargrave","given":"Darren R."},{"family":"Bouffet","given":"Eric"},{"family":"Tabori","given":"Uri"},{"family":"Broniscer","given":"Alberto"},{"family":</w:instrText>
            </w:r>
            <w:r w:rsidRPr="00947A57">
              <w:rPr>
                <w:sz w:val="20"/>
                <w:szCs w:val="20"/>
              </w:rPr>
              <w:instrText>"</w:instrText>
            </w:r>
            <w:r>
              <w:rPr>
                <w:sz w:val="20"/>
                <w:szCs w:val="20"/>
                <w:lang w:val="fr-FR"/>
              </w:rPr>
              <w:instrText xml:space="preserve">Cohen","given":"Kenneth J."},{"family":"Hansford","given":"Jordan R."},{"family":"Geoerger","given":"Birgit"},{"family":"Hingorani","given":"Pooja"},{"family":"Dunkel","given":"Ira J."},{"family":"Russo","given":"Mark W."},{"family":"Tseng","given":"Lillian"},{"family":"Dasgupta","given":"Kohinoor"},{"family":"Gasal","given":"Eduard"},{"family":"Whitlock","given":"James A."},{"family":"Kieran","given":"Mark W."}],"issued":{"date-parts":[["2019",12,15]]}}}],"schema":"https://github.com/citation-style-language/schema/raw/master/csl-citation.json"} </w:instrText>
            </w:r>
            <w:r>
              <w:rPr>
                <w:sz w:val="20"/>
                <w:szCs w:val="20"/>
                <w:lang w:val="fr-FR"/>
              </w:rPr>
              <w:fldChar w:fldCharType="separate"/>
            </w:r>
            <w:r w:rsidRPr="00DC29C3">
              <w:rPr>
                <w:rFonts w:ascii="Calibri" w:hAnsi="Calibri" w:cs="Calibri"/>
                <w:sz w:val="20"/>
              </w:rPr>
              <w:t>(3)</w:t>
            </w:r>
            <w:r>
              <w:rPr>
                <w:sz w:val="20"/>
                <w:szCs w:val="20"/>
                <w:lang w:val="fr-FR"/>
              </w:rPr>
              <w:fldChar w:fldCharType="end"/>
            </w:r>
          </w:p>
        </w:tc>
        <w:tc>
          <w:tcPr>
            <w:tcW w:w="141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CEDC615" w14:textId="550EC6ED" w:rsidR="00A23C51" w:rsidRPr="00DC29C3" w:rsidRDefault="00947A57" w:rsidP="00DF27E2">
            <w:pPr>
              <w:spacing w:after="120"/>
              <w:rPr>
                <w:sz w:val="20"/>
                <w:szCs w:val="20"/>
                <w:lang w:val="fr-FR"/>
              </w:rPr>
            </w:pPr>
            <w:r w:rsidRPr="00947A57">
              <w:rPr>
                <w:sz w:val="20"/>
                <w:szCs w:val="20"/>
                <w:lang w:val="fr-FR"/>
              </w:rPr>
              <w:t>0</w:t>
            </w:r>
            <w:r w:rsidR="00A23C51" w:rsidRPr="00947A57">
              <w:rPr>
                <w:sz w:val="20"/>
                <w:szCs w:val="20"/>
                <w:lang w:val="fr-FR"/>
              </w:rPr>
              <w:t xml:space="preserve"> patient</w:t>
            </w:r>
            <w:r w:rsidRPr="00947A57">
              <w:rPr>
                <w:sz w:val="20"/>
                <w:szCs w:val="20"/>
                <w:lang w:val="fr-FR"/>
              </w:rPr>
              <w:t>s</w:t>
            </w:r>
          </w:p>
        </w:tc>
        <w:tc>
          <w:tcPr>
            <w:tcW w:w="15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8D4D903" w14:textId="149A24E3" w:rsidR="00A23C51" w:rsidRPr="00DC29C3" w:rsidRDefault="00947A57" w:rsidP="00DF27E2">
            <w:pPr>
              <w:spacing w:after="120"/>
              <w:rPr>
                <w:sz w:val="20"/>
                <w:szCs w:val="20"/>
                <w:lang w:val="fr-FR"/>
              </w:rPr>
            </w:pPr>
            <w:r>
              <w:rPr>
                <w:sz w:val="20"/>
                <w:szCs w:val="20"/>
                <w:lang w:val="fr-FR"/>
              </w:rPr>
              <w:t>NA</w:t>
            </w:r>
          </w:p>
        </w:tc>
      </w:tr>
      <w:tr w:rsidR="00A23C51" w:rsidRPr="00DC29C3" w14:paraId="10FB2831" w14:textId="77777777" w:rsidTr="00DF27E2">
        <w:trPr>
          <w:trHeight w:val="239"/>
        </w:trPr>
        <w:tc>
          <w:tcPr>
            <w:tcW w:w="1969" w:type="dxa"/>
            <w:vMerge/>
            <w:tcBorders>
              <w:top w:val="single" w:sz="8" w:space="0" w:color="FFFFFF"/>
              <w:left w:val="single" w:sz="8" w:space="0" w:color="FFFFFF"/>
              <w:bottom w:val="single" w:sz="8" w:space="0" w:color="FFFFFF"/>
              <w:right w:val="single" w:sz="8" w:space="0" w:color="FFFFFF"/>
            </w:tcBorders>
            <w:vAlign w:val="center"/>
            <w:hideMark/>
          </w:tcPr>
          <w:p w14:paraId="43C5ABF1" w14:textId="77777777" w:rsidR="00A23C51" w:rsidRPr="00DC29C3" w:rsidRDefault="00A23C51" w:rsidP="00DF27E2">
            <w:pPr>
              <w:spacing w:after="120"/>
              <w:rPr>
                <w:sz w:val="20"/>
                <w:szCs w:val="20"/>
                <w:lang w:val="fr-FR"/>
              </w:rPr>
            </w:pPr>
          </w:p>
        </w:tc>
        <w:tc>
          <w:tcPr>
            <w:tcW w:w="201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1621798" w14:textId="77777777" w:rsidR="00A23C51" w:rsidRPr="00DC29C3" w:rsidRDefault="00A23C51" w:rsidP="00DF27E2">
            <w:pPr>
              <w:spacing w:after="120"/>
              <w:rPr>
                <w:sz w:val="20"/>
                <w:szCs w:val="20"/>
                <w:lang w:val="fr-FR"/>
              </w:rPr>
            </w:pPr>
            <w:r w:rsidRPr="00DC29C3">
              <w:rPr>
                <w:sz w:val="20"/>
                <w:szCs w:val="20"/>
                <w:lang w:val="fr-FR"/>
              </w:rPr>
              <w:t>HGG</w:t>
            </w:r>
          </w:p>
        </w:tc>
        <w:tc>
          <w:tcPr>
            <w:tcW w:w="28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B2FC9ED" w14:textId="337CEA14" w:rsidR="0061447C" w:rsidRPr="0061447C" w:rsidRDefault="0061447C" w:rsidP="00DF27E2">
            <w:pPr>
              <w:spacing w:after="120"/>
              <w:rPr>
                <w:sz w:val="20"/>
                <w:szCs w:val="20"/>
                <w:vertAlign w:val="superscript"/>
                <w:lang w:val="fr-FR"/>
              </w:rPr>
            </w:pPr>
            <w:proofErr w:type="spellStart"/>
            <w:r>
              <w:rPr>
                <w:sz w:val="20"/>
                <w:szCs w:val="20"/>
                <w:lang w:val="fr-FR"/>
              </w:rPr>
              <w:t>Dabrafenib</w:t>
            </w:r>
            <w:proofErr w:type="spellEnd"/>
            <w:r>
              <w:rPr>
                <w:sz w:val="20"/>
                <w:szCs w:val="20"/>
                <w:lang w:val="fr-FR"/>
              </w:rPr>
              <w:t xml:space="preserve">: 39% ORR </w:t>
            </w:r>
            <w:r>
              <w:rPr>
                <w:sz w:val="20"/>
                <w:szCs w:val="20"/>
                <w:lang w:val="fr-FR"/>
              </w:rPr>
              <w:fldChar w:fldCharType="begin"/>
            </w:r>
            <w:r>
              <w:rPr>
                <w:sz w:val="20"/>
                <w:szCs w:val="20"/>
                <w:lang w:val="fr-FR"/>
              </w:rPr>
              <w:instrText xml:space="preserve"> ADDIN ZOTERO_ITEM CSL_CITATION {"citationID":"wdWSYyW9","properties":{"formattedCitation":"(4)","plainCitation":"(4)","noteIndex":0},"citationItems":[{"id":465,"uris":["http://zotero.org/users/5068140/items/653YRITP"],"uri":["http://zotero.org/users/5068140/items/653YRITP"],"itemData":{"id":465,"type":"article-journal","abstract":"10505Background: The BRAF V600 mutation constitutively activates the MAPK/ERK pathway and is an oncogenic driver in many tumor types, including pediatric brain cancers. There are limited effective therapies for patients (pts) with HGG, ≈ 5% of whom have BRAF V600 alterations. The kinase inhibitor dabrafenib (which targets BRAF V600) demonstrated tolerability in pediatric pts across tumor types in a dose-escalation (ESC) cohort of a phase I/IIa study (Kieran et al, ASCO 2015; NCT01677741). Here we report preliminary analyses in this study of safety and clinical benefit with dabrafenib in pts with HGG across the ESC and disease-expansion (EXP) cohorts. Methods: Pts aged 1 to &lt; 18 y with BRAF V600–positive HGG who had refractory or progressive disease after receiving ≥ 1 standard therapy were treated with dabrafenib (2 equal daily doses) either in the ESC cohort or with the recommended dose of 5.25 mg/kg/d (pts &lt; 12 y) or 4.5 mg/kg/d (pts ≥ 12 y) in the EXP cohort. Measurable disease was not required. Primary objectives were safety and tolerability, and secondary objectives included tumor response and pharmacokinetics. Tumor response was reported by independent review (IR) and investigator assessment (INV) using RANO criteria. Exploratory analyses included independent histopathological review and tumor biology analysis (eg, mutation, methylation status). Results: Pts (n = 31) were treated with dabrafenib across the ESC (n = 8) and EXP (n = 23) cohorts. Median age was 14 y (range, 3 - &lt; 18 y). Across both cohorts (n = 31), the most frequent AEs (any causality) were fatigue (48%), vomiting (42%), and headache (39%). Grade 3/4 AEs occurred in 12/31 pts (39%). No on-treatment deaths occurred. Median duration of exposure was 22 wk (range, 4-225 wk), and 10/31 pts (32%) had treatment ongoing. ORR by IR was 45% (14/31, with 3 CRs), and ORR by INV was 32% (10/31, with 4 CRs). By IR, median duration of response was 7.7 mo (95% CI, 3.0 mo-not estimable) and 13/19 pts with measurable lesions (68%) achieved a maximum tumor reduction of ≥ 50%. Tumor mutational and methylation analyses are ongoing. Conclusions: Dabrafenib was well tolerated in pediatric pts with BRAF V600–positive HGG, and a number of durable objective responses demonstrate the potential for clinical benefit. Clinical trial information: NCT01677741.","container-title":"Journal of Clinical Oncology","DOI":"10.1200/JCO.2018.36.15_suppl.10505","issue":"15_suppl","page":"10505-10505","title":"Dabrafenib in pediatric patients with BRAF V600–positive high-grade glioma (HGG).","volume":"36","author":[{"family":"Hargrave","given":"Darren R"},{"family":"Moreno","given":"Lucas"},{"family":"Broniscer","given":"Alberto"},{"family":"Bouffet","given":"Eric"},{"family":"Aerts","given":"Isabelle"},{"family":"Andre","given":"Nicolas"},{"family":"Shen","given":"Wei-Ping Violet"},{"family":"Bertozzi-Salamon","given":"Anne-Isabelle"},{"family":"Cohen","given":"Kenneth J."},{"family":"Dunkel","given":"Ira J."},{"family":"Kieran","given":"Mark W."},{"family":"Lissat","given":"Andrej"},{"family":"Russo","given":"Mark W."},{"family":"Dasgupta","given":"Kohinoor"},{"family":"Tseng","given":"Lillian"},{"family":"Mookerjee","given":"Bijoyesh"},{"family":"Geoerger","given":"Birgit"}],"issued":{"date-parts":[["2018"]]}}}],"schema":"https://github.com/citation-style-language/schema/raw/master/csl-citation.json"} </w:instrText>
            </w:r>
            <w:r>
              <w:rPr>
                <w:sz w:val="20"/>
                <w:szCs w:val="20"/>
                <w:lang w:val="fr-FR"/>
              </w:rPr>
              <w:fldChar w:fldCharType="separate"/>
            </w:r>
            <w:r w:rsidRPr="0061447C">
              <w:rPr>
                <w:rFonts w:ascii="Calibri" w:hAnsi="Calibri" w:cs="Calibri"/>
                <w:sz w:val="20"/>
              </w:rPr>
              <w:t>(4)</w:t>
            </w:r>
            <w:r>
              <w:rPr>
                <w:sz w:val="20"/>
                <w:szCs w:val="20"/>
                <w:lang w:val="fr-FR"/>
              </w:rPr>
              <w:fldChar w:fldCharType="end"/>
            </w:r>
          </w:p>
        </w:tc>
        <w:tc>
          <w:tcPr>
            <w:tcW w:w="14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36293A3" w14:textId="0FA8DFA8" w:rsidR="00A23C51" w:rsidRPr="00DC29C3" w:rsidRDefault="00301A38" w:rsidP="00DF27E2">
            <w:pPr>
              <w:spacing w:after="120"/>
              <w:rPr>
                <w:sz w:val="20"/>
                <w:szCs w:val="20"/>
                <w:lang w:val="fr-FR"/>
              </w:rPr>
            </w:pPr>
            <w:r>
              <w:rPr>
                <w:sz w:val="20"/>
                <w:szCs w:val="20"/>
                <w:lang w:val="fr-FR"/>
              </w:rPr>
              <w:t>4</w:t>
            </w:r>
            <w:r w:rsidR="00A23C51" w:rsidRPr="00DC29C3">
              <w:rPr>
                <w:sz w:val="20"/>
                <w:szCs w:val="20"/>
                <w:lang w:val="fr-FR"/>
              </w:rPr>
              <w:t xml:space="preserve"> patients</w:t>
            </w:r>
          </w:p>
        </w:tc>
        <w:tc>
          <w:tcPr>
            <w:tcW w:w="153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7C6CEE0" w14:textId="06357D5B" w:rsidR="00A23C51" w:rsidRPr="00DC29C3" w:rsidRDefault="005C0A8A" w:rsidP="00DF27E2">
            <w:pPr>
              <w:spacing w:after="120"/>
              <w:rPr>
                <w:sz w:val="20"/>
                <w:szCs w:val="20"/>
                <w:lang w:val="fr-FR"/>
              </w:rPr>
            </w:pPr>
            <w:r w:rsidRPr="00DC29C3">
              <w:rPr>
                <w:sz w:val="20"/>
                <w:szCs w:val="20"/>
                <w:lang w:val="fr-FR"/>
              </w:rPr>
              <w:t>3/4</w:t>
            </w:r>
            <w:r w:rsidR="00A23C51" w:rsidRPr="00DC29C3">
              <w:rPr>
                <w:sz w:val="20"/>
                <w:szCs w:val="20"/>
                <w:lang w:val="fr-FR"/>
              </w:rPr>
              <w:t xml:space="preserve"> patients</w:t>
            </w:r>
          </w:p>
        </w:tc>
      </w:tr>
      <w:tr w:rsidR="00A23C51" w:rsidRPr="00DC29C3" w14:paraId="19DC42E7" w14:textId="77777777" w:rsidTr="00DF27E2">
        <w:trPr>
          <w:trHeight w:val="239"/>
        </w:trPr>
        <w:tc>
          <w:tcPr>
            <w:tcW w:w="1969"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E4197DA" w14:textId="26D27EC1" w:rsidR="00A23C51" w:rsidRPr="009E65AA" w:rsidRDefault="00A23C51" w:rsidP="00DF27E2">
            <w:pPr>
              <w:spacing w:after="120"/>
              <w:rPr>
                <w:sz w:val="20"/>
                <w:szCs w:val="20"/>
                <w:lang w:val="en-US"/>
              </w:rPr>
            </w:pPr>
            <w:r w:rsidRPr="009E65AA">
              <w:rPr>
                <w:b/>
                <w:bCs/>
                <w:sz w:val="20"/>
                <w:szCs w:val="20"/>
                <w:lang w:val="en-US"/>
              </w:rPr>
              <w:t xml:space="preserve">MEK inhibitors in </w:t>
            </w:r>
            <w:r w:rsidR="00B175F5" w:rsidRPr="009E65AA">
              <w:rPr>
                <w:b/>
                <w:bCs/>
                <w:sz w:val="20"/>
                <w:szCs w:val="20"/>
                <w:lang w:val="en-US"/>
              </w:rPr>
              <w:t xml:space="preserve"> BRAF-KIAA1549</w:t>
            </w:r>
            <w:r w:rsidRPr="009E65AA">
              <w:rPr>
                <w:b/>
                <w:bCs/>
                <w:sz w:val="20"/>
                <w:szCs w:val="20"/>
                <w:lang w:val="en-US"/>
              </w:rPr>
              <w:t xml:space="preserve"> fusion positive tumors</w:t>
            </w:r>
          </w:p>
        </w:tc>
        <w:tc>
          <w:tcPr>
            <w:tcW w:w="201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56B3494" w14:textId="77777777" w:rsidR="00A23C51" w:rsidRPr="00DC29C3" w:rsidRDefault="00A23C51" w:rsidP="00DF27E2">
            <w:pPr>
              <w:spacing w:after="120"/>
              <w:rPr>
                <w:sz w:val="20"/>
                <w:szCs w:val="20"/>
                <w:lang w:val="fr-FR"/>
              </w:rPr>
            </w:pPr>
            <w:r w:rsidRPr="00DC29C3">
              <w:rPr>
                <w:sz w:val="20"/>
                <w:szCs w:val="20"/>
                <w:lang w:val="fr-FR"/>
              </w:rPr>
              <w:t>LGG (BRAF fusion)</w:t>
            </w:r>
          </w:p>
        </w:tc>
        <w:tc>
          <w:tcPr>
            <w:tcW w:w="28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CCCD5F2" w14:textId="5B2F8FF9" w:rsidR="00A23C51" w:rsidRPr="00DC29C3" w:rsidRDefault="0061447C" w:rsidP="00DF27E2">
            <w:pPr>
              <w:spacing w:after="120"/>
              <w:rPr>
                <w:sz w:val="20"/>
                <w:szCs w:val="20"/>
                <w:lang w:val="fr-FR"/>
              </w:rPr>
            </w:pPr>
            <w:proofErr w:type="spellStart"/>
            <w:r>
              <w:rPr>
                <w:sz w:val="20"/>
                <w:szCs w:val="20"/>
                <w:lang w:val="fr-FR"/>
              </w:rPr>
              <w:t>Selumetinib</w:t>
            </w:r>
            <w:proofErr w:type="spellEnd"/>
            <w:r>
              <w:rPr>
                <w:sz w:val="20"/>
                <w:szCs w:val="20"/>
                <w:lang w:val="fr-FR"/>
              </w:rPr>
              <w:t xml:space="preserve">: 39% ORR </w:t>
            </w:r>
            <w:r>
              <w:rPr>
                <w:sz w:val="20"/>
                <w:szCs w:val="20"/>
                <w:lang w:val="fr-FR"/>
              </w:rPr>
              <w:fldChar w:fldCharType="begin"/>
            </w:r>
            <w:r>
              <w:rPr>
                <w:sz w:val="20"/>
                <w:szCs w:val="20"/>
                <w:lang w:val="fr-FR"/>
              </w:rPr>
              <w:instrText xml:space="preserve"> ADDIN ZOTERO_ITEM CSL_CITATION {"citationID":"jWsmOmLR","properties":{"formattedCitation":"(5)","plainCitation":"(5)","noteIndex":0},"citationItems":[{"id":459,"uris":["http://zotero.org/users/5068140/items/7NMDSJPT"],"uri":["http://zotero.org/users/5068140/items/7NMDSJPT"],"itemData":{"id":459,"type":"article-journal","abstract":"Background Paediatric low-grade glioma is the most common CNS tumour of childhood. Although overall survival is good, disease often recurs. No single universally accepted treatment exists for these patients; however, standard cytotoxic chemotherapies are generally used. We aimed to assess the activity of selumetinib, a MEK1/2 inhibitor, in these patients.","container-title":"The Lancet Oncology","DOI":"10.1016/S1470-2045(19)30277-3","ISSN":"14702045","issue":"7","language":"en","page":"1011-1022","source":"Crossref","title":"Selumetinib in paediatric patients with BRAF-aberrant or neurofibromatosis type 1-associated recurrent, refractory, or progressive low-grade glioma: a multicentre, phase 2 trial","title-short":"Selumetinib in paediatric patients with BRAF-aberrant or neurofibromatosis type 1-associated recurrent, refractory, or progressive low-grade glioma","volume":"20","author":[{"family":"Fangusaro","given":"Jason"},{"family":"Onar-Thomas","given":"Arzu"},{"family":"Young Poussaint","given":"Tina"},{"family":"Wu","given":"Shengjie"},{"family":"Ligon","given":"Azra H"},{"family":"Lindeman","given":"Neal"},{"family":"Banerjee","given":"Anuradha"},{"family":"Packer","given":"Roger J"},{"family":"Kilburn","given":"Lindsay B"},{"family":"Goldman","given":"Stewart"},{"family":"Pollack","given":"Ian F"},{"family":"Qaddoumi","given":"Ibrahim"},{"family":"Jakacki","given":"Regina I"},{"family":"Fisher","given":"Paul G"},{"family":"Dhall","given":"Girish"},{"family":"Baxter","given":"Patricia"},{"family":"Kreissman","given":"Susan G"},{"family":"Stewart","given":"Clinton F"},{"family":"Jones","given":"David T W"},{"family":"Pfister","given":"Stefan M"},{"family":"Vezina","given":"Gilbert"},{"family":"Stern","given":"Jessica S"},{"family":"Panigrahy","given":"Ashok"},{"family":"Patay","given":"Zoltan"},{"family":"Tamrazi","given":"Benita"},{"family":"Jones","given":"Jeremy Y"},{"family":"Haque","given":"Sofia S"},{"family":"Enterline","given":"David S"},{"family":"Cha","given":"Soonmee"},{"family":"Fisher","given":"Michael J"},{"family":"Doyle","given":"Laurence Austin"},{"family":"Smith","given":"Malcolm"},{"family":"Dunkel","given":"Ira J"},{"family":"Fouladi","given":"Maryam"}],"issued":{"date-parts":[["2019",7]]}}}],"schema":"https://github.com/citation-style-language/schema/raw/master/csl-citation.json"} </w:instrText>
            </w:r>
            <w:r>
              <w:rPr>
                <w:sz w:val="20"/>
                <w:szCs w:val="20"/>
                <w:lang w:val="fr-FR"/>
              </w:rPr>
              <w:fldChar w:fldCharType="separate"/>
            </w:r>
            <w:r w:rsidRPr="0061447C">
              <w:rPr>
                <w:rFonts w:ascii="Calibri" w:hAnsi="Calibri" w:cs="Calibri"/>
                <w:sz w:val="20"/>
              </w:rPr>
              <w:t>(5)</w:t>
            </w:r>
            <w:r>
              <w:rPr>
                <w:sz w:val="20"/>
                <w:szCs w:val="20"/>
                <w:lang w:val="fr-FR"/>
              </w:rPr>
              <w:fldChar w:fldCharType="end"/>
            </w:r>
          </w:p>
        </w:tc>
        <w:tc>
          <w:tcPr>
            <w:tcW w:w="141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938B05B" w14:textId="0FECDB04" w:rsidR="00A23C51" w:rsidRPr="00DC29C3" w:rsidRDefault="00F37DC6" w:rsidP="00DF27E2">
            <w:pPr>
              <w:spacing w:after="120"/>
              <w:rPr>
                <w:sz w:val="20"/>
                <w:szCs w:val="20"/>
                <w:lang w:val="fr-FR"/>
              </w:rPr>
            </w:pPr>
            <w:r w:rsidRPr="00DC29C3">
              <w:rPr>
                <w:sz w:val="20"/>
                <w:szCs w:val="20"/>
                <w:lang w:val="fr-FR"/>
              </w:rPr>
              <w:t>10</w:t>
            </w:r>
            <w:r w:rsidR="00A23C51" w:rsidRPr="00DC29C3">
              <w:rPr>
                <w:sz w:val="20"/>
                <w:szCs w:val="20"/>
                <w:lang w:val="fr-FR"/>
              </w:rPr>
              <w:t xml:space="preserve"> patients</w:t>
            </w:r>
          </w:p>
        </w:tc>
        <w:tc>
          <w:tcPr>
            <w:tcW w:w="15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ED26E3E" w14:textId="6018DA55" w:rsidR="00A23C51" w:rsidRPr="00DC29C3" w:rsidRDefault="00F37DC6" w:rsidP="00DF27E2">
            <w:pPr>
              <w:spacing w:after="120"/>
              <w:rPr>
                <w:sz w:val="20"/>
                <w:szCs w:val="20"/>
                <w:lang w:val="fr-FR"/>
              </w:rPr>
            </w:pPr>
            <w:r w:rsidRPr="00DC29C3">
              <w:rPr>
                <w:sz w:val="20"/>
                <w:szCs w:val="20"/>
                <w:lang w:val="fr-FR"/>
              </w:rPr>
              <w:t>5/10</w:t>
            </w:r>
            <w:r w:rsidR="00A23C51" w:rsidRPr="00DC29C3">
              <w:rPr>
                <w:sz w:val="20"/>
                <w:szCs w:val="20"/>
                <w:lang w:val="fr-FR"/>
              </w:rPr>
              <w:t xml:space="preserve"> patients</w:t>
            </w:r>
          </w:p>
        </w:tc>
      </w:tr>
      <w:tr w:rsidR="00A23C51" w:rsidRPr="00DC29C3" w14:paraId="70E83EF6" w14:textId="77777777" w:rsidTr="00DF27E2">
        <w:trPr>
          <w:trHeight w:val="239"/>
        </w:trPr>
        <w:tc>
          <w:tcPr>
            <w:tcW w:w="1969" w:type="dxa"/>
            <w:tcBorders>
              <w:top w:val="single" w:sz="8" w:space="0" w:color="FFFFFF"/>
              <w:left w:val="single" w:sz="8" w:space="0" w:color="FFFFFF"/>
              <w:bottom w:val="single" w:sz="8" w:space="0" w:color="FFFFFF"/>
              <w:right w:val="single" w:sz="8" w:space="0" w:color="FFFFFF"/>
            </w:tcBorders>
            <w:shd w:val="clear" w:color="auto" w:fill="5B9BD5"/>
            <w:vAlign w:val="center"/>
            <w:hideMark/>
          </w:tcPr>
          <w:p w14:paraId="31FF4D7E" w14:textId="54C98839" w:rsidR="00A23C51" w:rsidRPr="0061447C" w:rsidRDefault="00B175F5" w:rsidP="00DF27E2">
            <w:pPr>
              <w:spacing w:after="120"/>
              <w:rPr>
                <w:sz w:val="20"/>
                <w:szCs w:val="20"/>
              </w:rPr>
            </w:pPr>
            <w:r w:rsidRPr="0061447C">
              <w:rPr>
                <w:b/>
                <w:bCs/>
                <w:sz w:val="20"/>
                <w:szCs w:val="20"/>
              </w:rPr>
              <w:t xml:space="preserve">MEK inhibitors in NF1 related </w:t>
            </w:r>
            <w:proofErr w:type="spellStart"/>
            <w:r w:rsidRPr="0061447C">
              <w:rPr>
                <w:b/>
                <w:bCs/>
                <w:sz w:val="20"/>
                <w:szCs w:val="20"/>
              </w:rPr>
              <w:t>tumors</w:t>
            </w:r>
            <w:proofErr w:type="spellEnd"/>
          </w:p>
        </w:tc>
        <w:tc>
          <w:tcPr>
            <w:tcW w:w="201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A4CAFBE" w14:textId="77777777" w:rsidR="00A23C51" w:rsidRPr="00DC29C3" w:rsidRDefault="00A23C51" w:rsidP="00DF27E2">
            <w:pPr>
              <w:spacing w:after="120"/>
              <w:rPr>
                <w:sz w:val="20"/>
                <w:szCs w:val="20"/>
                <w:lang w:val="fr-FR"/>
              </w:rPr>
            </w:pPr>
            <w:r w:rsidRPr="00DC29C3">
              <w:rPr>
                <w:sz w:val="20"/>
                <w:szCs w:val="20"/>
                <w:lang w:val="fr-FR"/>
              </w:rPr>
              <w:t xml:space="preserve">LGG (NF1 </w:t>
            </w:r>
            <w:proofErr w:type="spellStart"/>
            <w:r w:rsidRPr="00DC29C3">
              <w:rPr>
                <w:sz w:val="20"/>
                <w:szCs w:val="20"/>
                <w:lang w:val="fr-FR"/>
              </w:rPr>
              <w:t>related</w:t>
            </w:r>
            <w:proofErr w:type="spellEnd"/>
            <w:r w:rsidRPr="00DC29C3">
              <w:rPr>
                <w:sz w:val="20"/>
                <w:szCs w:val="20"/>
                <w:lang w:val="fr-FR"/>
              </w:rPr>
              <w:t xml:space="preserve"> </w:t>
            </w:r>
            <w:proofErr w:type="spellStart"/>
            <w:r w:rsidRPr="00DC29C3">
              <w:rPr>
                <w:sz w:val="20"/>
                <w:szCs w:val="20"/>
                <w:lang w:val="fr-FR"/>
              </w:rPr>
              <w:t>tumors</w:t>
            </w:r>
            <w:proofErr w:type="spellEnd"/>
            <w:r w:rsidRPr="00DC29C3">
              <w:rPr>
                <w:sz w:val="20"/>
                <w:szCs w:val="20"/>
                <w:lang w:val="fr-FR"/>
              </w:rPr>
              <w:t>)</w:t>
            </w:r>
          </w:p>
        </w:tc>
        <w:tc>
          <w:tcPr>
            <w:tcW w:w="28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AFEE51D" w14:textId="6DFFEB47" w:rsidR="00A23C51" w:rsidRPr="00DC29C3" w:rsidRDefault="0061447C" w:rsidP="00DF27E2">
            <w:pPr>
              <w:spacing w:after="120"/>
              <w:rPr>
                <w:sz w:val="20"/>
                <w:szCs w:val="20"/>
                <w:lang w:val="fr-FR"/>
              </w:rPr>
            </w:pPr>
            <w:proofErr w:type="spellStart"/>
            <w:r>
              <w:rPr>
                <w:sz w:val="20"/>
                <w:szCs w:val="20"/>
                <w:lang w:val="fr-FR"/>
              </w:rPr>
              <w:t>Selumetinib</w:t>
            </w:r>
            <w:proofErr w:type="spellEnd"/>
            <w:r>
              <w:rPr>
                <w:sz w:val="20"/>
                <w:szCs w:val="20"/>
                <w:lang w:val="fr-FR"/>
              </w:rPr>
              <w:t xml:space="preserve">: 40% ORR </w:t>
            </w:r>
            <w:r>
              <w:rPr>
                <w:sz w:val="20"/>
                <w:szCs w:val="20"/>
                <w:lang w:val="fr-FR"/>
              </w:rPr>
              <w:fldChar w:fldCharType="begin"/>
            </w:r>
            <w:r>
              <w:rPr>
                <w:sz w:val="20"/>
                <w:szCs w:val="20"/>
                <w:lang w:val="fr-FR"/>
              </w:rPr>
              <w:instrText xml:space="preserve"> ADDIN ZOTERO_ITEM CSL_CITATION {"citationID":"rAuD7rJC","properties":{"formattedCitation":"(5)","plainCitation":"(5)","noteIndex":0},"citationItems":[{"id":459,"uris":["http://zotero.org/users/5068140/items/7NMDSJPT"],"uri":["http://zotero.org/users/5068140/items/7NMDSJPT"],"itemData":{"id":459,"type":"article-journal","abstract":"Background Paediatric low-grade glioma is the most common CNS tumour of childhood. Although overall survival is good, disease often recurs. No single universally accepted treatment exists for these patients; however, standard cytotoxic chemotherapies are generally used. We aimed to assess the activity of selumetinib, a MEK1/2 inhibitor, in these patients.","container-title":"The Lancet Oncology","DOI":"10.1016/S1470-2045(19)30277-3","ISSN":"14702045","issue":"7","language":"en","page":"1011-1022","source":"Crossref","title":"Selumetinib in paediatric patients with BRAF-aberrant or neurofibromatosis type 1-associated recurrent, refractory, or progressive low-grade glioma: a multicentre, phase 2 trial","title-short":"Selumetinib in paediatric patients with BRAF-aberrant or neurofibromatosis type 1-associated recurrent, refractory, or progressive low-grade glioma","volume":"20","author":[{"family":"Fangusaro","given":"Jason"},{"family":"Onar-Thomas","given":"Arzu"},{"family":"Young Poussaint","given":"Tina"},{"family":"Wu","given":"Shengjie"},{"family":"Ligon","given":"Azra H"},{"family":"Lindeman","given":"Neal"},{"family":"Banerjee","given":"Anuradha"},{"family":"Packer","given":"Roger J"},{"family":"Kilburn","given":"Lindsay B"},{"family":"Goldman","given":"Stewart"},{"family":"Pollack","given":"Ian F"},{"family":"Qaddoumi","given":"Ibrahim"},{"family":"Jakacki","given":"Regina I"},{"family":"Fisher","given":"Paul G"},{"family":"Dhall","given":"Girish"},{"family":"Baxter","given":"Patricia"},{"family":"Kreissman","given":"Susan G"},{"family":"Stewart","given":"Clinton F"},{"family":"Jones","given":"David T W"},{"family":"Pfister","given":"Stefan M"},{"family":"Vezina","given":"Gilbert"},{"family":"Stern","given":"Jessica S"},{"family":"Panigrahy","given":"Ashok"},{"family":"Patay","given":"Zoltan"},{"family":"Tamrazi","given":"Benita"},{"family":"Jones","given":"Jeremy Y"},{"family":"Haque","given":"Sofia S"},{"family":"Enterline","given":"David S"},{"family":"Cha","given":"Soonmee"},{"family":"Fisher","given":"Michael J"},{"family":"Doyle","given":"Laurence Austin"},{"family":"Smith","given":"Malcolm"},{"family":"Dunkel","given":"Ira J"},{"family":"Fouladi","given":"Maryam"}],"issued":{"date-parts":[["2019",7]]}}}],"schema":"https://github.com/citation-style-language/schema/raw/master/csl-citation.json"} </w:instrText>
            </w:r>
            <w:r>
              <w:rPr>
                <w:sz w:val="20"/>
                <w:szCs w:val="20"/>
                <w:lang w:val="fr-FR"/>
              </w:rPr>
              <w:fldChar w:fldCharType="separate"/>
            </w:r>
            <w:r w:rsidRPr="0061447C">
              <w:rPr>
                <w:rFonts w:ascii="Calibri" w:hAnsi="Calibri" w:cs="Calibri"/>
                <w:sz w:val="20"/>
              </w:rPr>
              <w:t>(5)</w:t>
            </w:r>
            <w:r>
              <w:rPr>
                <w:sz w:val="20"/>
                <w:szCs w:val="20"/>
                <w:lang w:val="fr-FR"/>
              </w:rPr>
              <w:fldChar w:fldCharType="end"/>
            </w:r>
          </w:p>
        </w:tc>
        <w:tc>
          <w:tcPr>
            <w:tcW w:w="14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FA8623F" w14:textId="77777777" w:rsidR="00A23C51" w:rsidRPr="00DC29C3" w:rsidRDefault="00A23C51" w:rsidP="00DF27E2">
            <w:pPr>
              <w:spacing w:after="120"/>
              <w:rPr>
                <w:sz w:val="20"/>
                <w:szCs w:val="20"/>
                <w:lang w:val="fr-FR"/>
              </w:rPr>
            </w:pPr>
            <w:r w:rsidRPr="00DC29C3">
              <w:rPr>
                <w:sz w:val="20"/>
                <w:szCs w:val="20"/>
                <w:lang w:val="fr-FR"/>
              </w:rPr>
              <w:t>2 patients</w:t>
            </w:r>
          </w:p>
        </w:tc>
        <w:tc>
          <w:tcPr>
            <w:tcW w:w="153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9CE0D7C" w14:textId="77777777" w:rsidR="00A23C51" w:rsidRPr="00DC29C3" w:rsidRDefault="00A23C51" w:rsidP="00DF27E2">
            <w:pPr>
              <w:spacing w:after="120"/>
              <w:rPr>
                <w:sz w:val="20"/>
                <w:szCs w:val="20"/>
                <w:lang w:val="fr-FR"/>
              </w:rPr>
            </w:pPr>
            <w:r w:rsidRPr="00DC29C3">
              <w:rPr>
                <w:sz w:val="20"/>
                <w:szCs w:val="20"/>
                <w:lang w:val="fr-FR"/>
              </w:rPr>
              <w:t>2/2 patients</w:t>
            </w:r>
          </w:p>
        </w:tc>
      </w:tr>
      <w:tr w:rsidR="00A23C51" w:rsidRPr="00E00F28" w14:paraId="20218F68" w14:textId="77777777" w:rsidTr="00DF27E2">
        <w:trPr>
          <w:trHeight w:val="575"/>
        </w:trPr>
        <w:tc>
          <w:tcPr>
            <w:tcW w:w="1969" w:type="dxa"/>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8C45962" w14:textId="77777777" w:rsidR="00A23C51" w:rsidRPr="0061447C" w:rsidRDefault="00A23C51" w:rsidP="00DF27E2">
            <w:pPr>
              <w:spacing w:after="120"/>
              <w:rPr>
                <w:sz w:val="20"/>
                <w:szCs w:val="20"/>
              </w:rPr>
            </w:pPr>
            <w:r w:rsidRPr="0061447C">
              <w:rPr>
                <w:b/>
                <w:bCs/>
                <w:sz w:val="20"/>
                <w:szCs w:val="20"/>
              </w:rPr>
              <w:t xml:space="preserve">NTRK inhibitors in NTRK fusion positive </w:t>
            </w:r>
            <w:proofErr w:type="spellStart"/>
            <w:r w:rsidRPr="0061447C">
              <w:rPr>
                <w:b/>
                <w:bCs/>
                <w:sz w:val="20"/>
                <w:szCs w:val="20"/>
              </w:rPr>
              <w:t>tumors</w:t>
            </w:r>
            <w:proofErr w:type="spellEnd"/>
          </w:p>
        </w:tc>
        <w:tc>
          <w:tcPr>
            <w:tcW w:w="201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FA5BB60" w14:textId="77777777" w:rsidR="00A23C51" w:rsidRPr="00DC29C3" w:rsidRDefault="00A23C51" w:rsidP="00DF27E2">
            <w:pPr>
              <w:spacing w:after="120"/>
              <w:rPr>
                <w:sz w:val="20"/>
                <w:szCs w:val="20"/>
                <w:lang w:val="fr-FR"/>
              </w:rPr>
            </w:pPr>
            <w:proofErr w:type="spellStart"/>
            <w:r w:rsidRPr="00DC29C3">
              <w:rPr>
                <w:sz w:val="20"/>
                <w:szCs w:val="20"/>
                <w:lang w:val="fr-FR"/>
              </w:rPr>
              <w:t>Extracranial</w:t>
            </w:r>
            <w:proofErr w:type="spellEnd"/>
            <w:r w:rsidRPr="00DC29C3">
              <w:rPr>
                <w:sz w:val="20"/>
                <w:szCs w:val="20"/>
                <w:lang w:val="fr-FR"/>
              </w:rPr>
              <w:t xml:space="preserve"> </w:t>
            </w:r>
            <w:proofErr w:type="spellStart"/>
            <w:r w:rsidRPr="00DC29C3">
              <w:rPr>
                <w:sz w:val="20"/>
                <w:szCs w:val="20"/>
                <w:lang w:val="fr-FR"/>
              </w:rPr>
              <w:t>tumors</w:t>
            </w:r>
            <w:proofErr w:type="spellEnd"/>
          </w:p>
        </w:tc>
        <w:tc>
          <w:tcPr>
            <w:tcW w:w="28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412233F" w14:textId="410C136F" w:rsidR="00A23C51" w:rsidRPr="00E00F28" w:rsidRDefault="00A23C51" w:rsidP="00DF27E2">
            <w:pPr>
              <w:spacing w:after="120"/>
              <w:rPr>
                <w:sz w:val="20"/>
                <w:szCs w:val="20"/>
              </w:rPr>
            </w:pPr>
            <w:proofErr w:type="spellStart"/>
            <w:r>
              <w:rPr>
                <w:sz w:val="20"/>
                <w:szCs w:val="20"/>
                <w:lang w:val="fr-FR"/>
              </w:rPr>
              <w:t>Larotrectinib</w:t>
            </w:r>
            <w:proofErr w:type="spellEnd"/>
            <w:r>
              <w:rPr>
                <w:sz w:val="20"/>
                <w:szCs w:val="20"/>
                <w:lang w:val="fr-FR"/>
              </w:rPr>
              <w:t>: 92</w:t>
            </w:r>
            <w:r w:rsidRPr="00E00F28">
              <w:rPr>
                <w:sz w:val="20"/>
                <w:szCs w:val="20"/>
                <w:lang w:val="fr-FR"/>
              </w:rPr>
              <w:t xml:space="preserve">% ORR </w:t>
            </w:r>
            <w:r>
              <w:rPr>
                <w:sz w:val="20"/>
                <w:szCs w:val="20"/>
                <w:lang w:val="fr-FR"/>
              </w:rPr>
              <w:fldChar w:fldCharType="begin"/>
            </w:r>
            <w:r w:rsidR="0061447C">
              <w:rPr>
                <w:sz w:val="20"/>
                <w:szCs w:val="20"/>
                <w:lang w:val="fr-FR"/>
              </w:rPr>
              <w:instrText xml:space="preserve"> ADDIN ZOTERO_ITEM CSL_CITATION {"citationID":"r4vH0b9s","properties":{"formattedCitation":"(6)","plainCitation":"(6)","noteIndex":0},"citationItems":[{"id":510,"uris":["http://zotero.org/users/5068140/items/V7KD7YNP"],"uri":["http://zotero.org/users/5068140/items/V7KD7YNP"],"itemData":{"id":510,"type":"article-journal","abstract":"Background The selective TRK inhibitor larotrectinib was approved for paediatric and adult patients with advanced TRK fusion-positive solid tumours based on a primary analysis set of 55 patients. The aim of our analysis was to explore the efficacy and long-term safety of larotrectinib in a larger population of patients with TRK fusion-positive solid tumours.","container-title":"The Lancet Oncology","DOI":"10.1016/S1470-2045(19)30856-3","ISSN":"14702045","issue":"4","language":"en","page":"531-540","source":"Crossref","title":"Larotrectinib in patients with TRK fusion-positive solid tumours: a pooled analysis of three phase 1/2 clinical trials","title-short":"Larotrectinib in patients with TRK fusion-positive solid tumours","volume":"21","author":[{"family":"Hong","given":"David S"},{"family":"DuBois","given":"Steven G"},{"family":"Kummar","given":"Shivaani"},{"family":"Farago","given":"Anna F"},{"family":"Albert","given":"Catherine M"},{"family":"Rohrberg","given":"Kristoffer S"},{"family":"Tilburg","given":"Cornelis M","non-dropping-particle":"van"},{"family":"Nagasubramanian","given":"Ramamoorthy"},{"family":"Berlin","given":"Jordan D"},{"family":"Federman","given":"Noah"},{"family":"Mascarenhas","given":"Leo"},{"family":"Geoerger","given":"Birgit"},{"family":"Dowlati","given":"Afshin"},{"family":"Pappo","given":"Alberto S"},{"family":"Bielack","given":"Stefan"},{"family":"Doz","given":"François"},{"family":"McDermott","given":"Ray"},{"family":"Patel","given":"Jyoti D"},{"family":"Schilder","given":"Russell J"},{"family":"Tahara","given":"Makoto"},{"family":"Pfister","given":"Stefan M"},{"family":"Witt","given":"Olaf"},{"family":"Ladanyi","given":"Marc"},{"family":"Rudzinski","given":"Erin R"},{"family":"Nanda","given":"Shivani"},{"family":"Childs","given":"Barrett H"},{"family":"Laetsch","given":"Theodore W"},{"family":"Hyman","given":"David M"},{"family":"Drilon","given":"Alexander"}],"issued":{"date-parts":[["2020",4]]}}}],"schema":"https://github.com/citation-style-language/schema/raw/master/csl-citation.json"} </w:instrText>
            </w:r>
            <w:r>
              <w:rPr>
                <w:sz w:val="20"/>
                <w:szCs w:val="20"/>
                <w:lang w:val="fr-FR"/>
              </w:rPr>
              <w:fldChar w:fldCharType="separate"/>
            </w:r>
            <w:r w:rsidR="0061447C" w:rsidRPr="0061447C">
              <w:rPr>
                <w:rFonts w:ascii="Calibri" w:hAnsi="Calibri" w:cs="Calibri"/>
                <w:sz w:val="20"/>
              </w:rPr>
              <w:t>(6)</w:t>
            </w:r>
            <w:r>
              <w:rPr>
                <w:sz w:val="20"/>
                <w:szCs w:val="20"/>
                <w:lang w:val="fr-FR"/>
              </w:rPr>
              <w:fldChar w:fldCharType="end"/>
            </w:r>
          </w:p>
          <w:p w14:paraId="56DF0BC4" w14:textId="09D7CC3F" w:rsidR="00A23C51" w:rsidRPr="00E00F28" w:rsidRDefault="00A23C51" w:rsidP="00DF27E2">
            <w:pPr>
              <w:spacing w:after="120"/>
              <w:rPr>
                <w:sz w:val="20"/>
                <w:szCs w:val="20"/>
              </w:rPr>
            </w:pPr>
            <w:proofErr w:type="spellStart"/>
            <w:r w:rsidRPr="00E00F28">
              <w:rPr>
                <w:sz w:val="20"/>
                <w:szCs w:val="20"/>
                <w:lang w:val="fr-FR"/>
              </w:rPr>
              <w:t>Entrectinib</w:t>
            </w:r>
            <w:proofErr w:type="spellEnd"/>
            <w:r w:rsidRPr="00E00F28">
              <w:rPr>
                <w:sz w:val="20"/>
                <w:szCs w:val="20"/>
                <w:lang w:val="fr-FR"/>
              </w:rPr>
              <w:t>: 100%</w:t>
            </w:r>
            <w:r w:rsidR="0085189B">
              <w:rPr>
                <w:sz w:val="20"/>
                <w:szCs w:val="20"/>
                <w:lang w:val="fr-FR"/>
              </w:rPr>
              <w:t xml:space="preserve"> </w:t>
            </w:r>
            <w:r w:rsidR="0085189B">
              <w:rPr>
                <w:sz w:val="20"/>
                <w:szCs w:val="20"/>
                <w:lang w:val="fr-FR"/>
              </w:rPr>
              <w:fldChar w:fldCharType="begin"/>
            </w:r>
            <w:r w:rsidR="0085189B">
              <w:rPr>
                <w:sz w:val="20"/>
                <w:szCs w:val="20"/>
                <w:lang w:val="fr-FR"/>
              </w:rPr>
              <w:instrText xml:space="preserve"> ADDIN ZOTERO_ITEM CSL_CITATION {"citationID":"Kf9v0nqT","properties":{"formattedCitation":"(7)","plainCitation":"(7)","noteIndex":0},"citationItems":[{"id":469,"uris":["http://zotero.org/users/5068140/items/PLGPB7PN"],"uri":["http://zotero.org/users/5068140/items/PLGPB7PN"],"itemData":{"id":469,"type":"article-journal","abstract":"10009Background: Entrectinib is a CNS-penetrant oral inhibitor of TrkA/B/C, ROS1 and ALK tyrosine kinases. We report the efficacy of entrectinib in children with recurrent/refractory solid or CNS tumors. Methods: Patients ≤ 20y old with recurrent/refractory solid tumors were eligible. After determination of the recommended dose in all-comers, disease-specific expansion cohorts of CNS and solid tumors harboring target aberrations in NTRK1/2/3, ROS1 or ALK, and neuroblastoma (NBL), regardless of mutation spectrum, were enrolled. Response, assessed by Investigator, was classified as complete response (CR), partial response (PR), stable disease (SD) or progressive disease (PD) using RANO for CNS tumors, RECIST for solid tumors, and Curie score for NBL. Results: Between May 2016 and October 2018, 29 patients aged 4.9m–20y (median 7y) were enrolled and 28 were evaluated for response. Entrectinib was well tolerated. Dose limiting toxicities were elevated creatinine, dysgeusia, fatigue and pulmonary edema. The recommended dose was 550 mg/m2 daily. All responses occurred at doses ≥ 400 mg/m2. In CNS tumors (n = 6), all high-grade with gene fusions: 1 achieved a CR (ETV6-NTRK3); 3 achieved a PR (TPR-NTRK1, EEF1G-ROS1, EML1-NTRK2); 1 achieved an unconfirmed PR (GOPC-ROS1); and 1 has yet to be evaluated (KANK1-NTRK2). In extracranial solid tumors (n = 8), 6 had a fusion of whom 1 achieved a CR (DCTN1-ALK) and 5 achieved a PR (TFG1-ROS1, EML4-NTRK3, ETV6-NTRK3, KIF5B-ALK, ETV6-NTRK3). In NBL (n = 15): 1 achieved a CR (ALK F1174L). Median duration of therapy was 85d (6–592d) for all patients; 56d (6–338d) for non-responders; and 281d (56–592d) for responders. Median time to response was 57d (30–58d). Conclusions: Entrectinib produced striking, rapid and durable responses in all children with refractory CNS and solid tumors harboring NTRK1/2/3, ROS1 or ALK fusions (11 out of 11) as well as in an ALK-mutated NBL. No responses were seen in tumors lacking aberrations in target kinases. These results support the continued evaluation of entrectinib as a targeted therapeutic in solid tumors with NTRK1/2/3, ROS1 and ALK fusions, especially in high-grade CNS neoplasms. Clinical trial information: NCT02650401.","container-title":"Journal of Clinical Oncology","DOI":"10.1200/JCO.2019.37.15_suppl.10009","issue":"15_suppl","page":"10009-10009","title":"Phase 1/1B trial to assess the activity of entrectinib in children and adolescents with recurrent or refractory solid tumors including central nervous system (CNS) tumors.","volume":"37","author":[{"family":"Robinson","given":"Giles W."},{"family":"Gajjar","given":"Amar J."},{"family":"Gauvain","given":"Karen Marie"},{"family":"Basu","given":"Ellen M."},{"family":"Macy","given":"Margaret E"},{"family":"Maese","given":"Luke Devon"},{"family":"Sabnis","given":"Amit J."},{"family":"Foster","given":"Jennifer Haunani"},{"family":"Shusterman","given":"Suzanne"},{"family":"Yoon","given":"Janet"},{"family":"Weiss","given":"Brian D."},{"family":"Abdelbaki","given":"Mohamed"},{"family":"Farid-Kapadia","given":"Mufiza"},{"family":"Meneses-Lorente","given":"Georgina"},{"family":"Cardenas","given":"Alison"},{"family":"Hutchinson","given":"Katherine"},{"family":"Bergthold","given":"Guillaume"},{"family":"Chow Maneval","given":"Edna"},{"family":"Fox","given":"Elizabeth"},{"family":"Desai","given":"Ami Vijay"}],"issued":{"date-parts":[["2019"]]}}}],"schema":"https://github.com/citation-style-language/schema/raw/master/csl-citation.json"} </w:instrText>
            </w:r>
            <w:r w:rsidR="0085189B">
              <w:rPr>
                <w:sz w:val="20"/>
                <w:szCs w:val="20"/>
                <w:lang w:val="fr-FR"/>
              </w:rPr>
              <w:fldChar w:fldCharType="separate"/>
            </w:r>
            <w:r w:rsidR="0085189B" w:rsidRPr="0085189B">
              <w:rPr>
                <w:rFonts w:ascii="Calibri" w:hAnsi="Calibri" w:cs="Calibri"/>
                <w:sz w:val="20"/>
              </w:rPr>
              <w:t>(7)</w:t>
            </w:r>
            <w:r w:rsidR="0085189B">
              <w:rPr>
                <w:sz w:val="20"/>
                <w:szCs w:val="20"/>
                <w:lang w:val="fr-FR"/>
              </w:rPr>
              <w:fldChar w:fldCharType="end"/>
            </w:r>
            <w:r w:rsidR="0085189B">
              <w:rPr>
                <w:sz w:val="20"/>
                <w:szCs w:val="20"/>
                <w:lang w:val="fr-FR"/>
              </w:rPr>
              <w:t xml:space="preserve"> </w:t>
            </w:r>
          </w:p>
        </w:tc>
        <w:tc>
          <w:tcPr>
            <w:tcW w:w="141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5D33CEA" w14:textId="77777777" w:rsidR="00A23C51" w:rsidRPr="00E00F28" w:rsidRDefault="00A23C51" w:rsidP="00DF27E2">
            <w:pPr>
              <w:spacing w:after="120"/>
              <w:rPr>
                <w:sz w:val="20"/>
                <w:szCs w:val="20"/>
              </w:rPr>
            </w:pPr>
            <w:r w:rsidRPr="00E00F28">
              <w:rPr>
                <w:sz w:val="20"/>
                <w:szCs w:val="20"/>
                <w:lang w:val="fr-FR"/>
              </w:rPr>
              <w:t>2 patients</w:t>
            </w:r>
          </w:p>
        </w:tc>
        <w:tc>
          <w:tcPr>
            <w:tcW w:w="15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3D4A743" w14:textId="77777777" w:rsidR="00A23C51" w:rsidRPr="00E00F28" w:rsidRDefault="00A23C51" w:rsidP="00DF27E2">
            <w:pPr>
              <w:spacing w:after="120"/>
              <w:rPr>
                <w:sz w:val="20"/>
                <w:szCs w:val="20"/>
              </w:rPr>
            </w:pPr>
            <w:r w:rsidRPr="00E00F28">
              <w:rPr>
                <w:sz w:val="20"/>
                <w:szCs w:val="20"/>
                <w:lang w:val="fr-FR"/>
              </w:rPr>
              <w:t>1/2</w:t>
            </w:r>
            <w:r>
              <w:rPr>
                <w:sz w:val="20"/>
                <w:szCs w:val="20"/>
                <w:lang w:val="fr-FR"/>
              </w:rPr>
              <w:t xml:space="preserve"> patients</w:t>
            </w:r>
          </w:p>
        </w:tc>
      </w:tr>
      <w:tr w:rsidR="00A23C51" w:rsidRPr="00E00F28" w14:paraId="2E0F24F3" w14:textId="77777777" w:rsidTr="00DF27E2">
        <w:trPr>
          <w:trHeight w:val="383"/>
        </w:trPr>
        <w:tc>
          <w:tcPr>
            <w:tcW w:w="1969" w:type="dxa"/>
            <w:vMerge/>
            <w:tcBorders>
              <w:top w:val="single" w:sz="8" w:space="0" w:color="FFFFFF"/>
              <w:left w:val="single" w:sz="8" w:space="0" w:color="FFFFFF"/>
              <w:bottom w:val="single" w:sz="8" w:space="0" w:color="FFFFFF"/>
              <w:right w:val="single" w:sz="8" w:space="0" w:color="FFFFFF"/>
            </w:tcBorders>
            <w:vAlign w:val="center"/>
            <w:hideMark/>
          </w:tcPr>
          <w:p w14:paraId="428748FF" w14:textId="77777777" w:rsidR="00A23C51" w:rsidRPr="00E00F28" w:rsidRDefault="00A23C51" w:rsidP="00DF27E2">
            <w:pPr>
              <w:spacing w:after="120"/>
              <w:rPr>
                <w:sz w:val="20"/>
                <w:szCs w:val="20"/>
              </w:rPr>
            </w:pPr>
          </w:p>
        </w:tc>
        <w:tc>
          <w:tcPr>
            <w:tcW w:w="201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B082BA9" w14:textId="77777777" w:rsidR="00A23C51" w:rsidRPr="00E00F28" w:rsidRDefault="00A23C51" w:rsidP="00DF27E2">
            <w:pPr>
              <w:spacing w:after="120"/>
              <w:rPr>
                <w:sz w:val="20"/>
                <w:szCs w:val="20"/>
              </w:rPr>
            </w:pPr>
            <w:r w:rsidRPr="00E00F28">
              <w:rPr>
                <w:sz w:val="20"/>
                <w:szCs w:val="20"/>
                <w:lang w:val="en-US"/>
              </w:rPr>
              <w:t>CNS tumors</w:t>
            </w:r>
          </w:p>
        </w:tc>
        <w:tc>
          <w:tcPr>
            <w:tcW w:w="28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37FE81B" w14:textId="02DAB4FA" w:rsidR="00A23C51" w:rsidRPr="0085189B" w:rsidRDefault="0061447C" w:rsidP="00DF27E2">
            <w:pPr>
              <w:spacing w:after="120"/>
              <w:rPr>
                <w:sz w:val="20"/>
                <w:szCs w:val="20"/>
                <w:lang w:val="fr-FR"/>
              </w:rPr>
            </w:pPr>
            <w:proofErr w:type="spellStart"/>
            <w:r>
              <w:rPr>
                <w:sz w:val="20"/>
                <w:szCs w:val="20"/>
                <w:lang w:val="fr-FR"/>
              </w:rPr>
              <w:t>Larotrectinib</w:t>
            </w:r>
            <w:proofErr w:type="spellEnd"/>
            <w:r>
              <w:rPr>
                <w:sz w:val="20"/>
                <w:szCs w:val="20"/>
                <w:lang w:val="fr-FR"/>
              </w:rPr>
              <w:t xml:space="preserve">: 45% ORR </w:t>
            </w:r>
            <w:r w:rsidR="0085189B">
              <w:rPr>
                <w:sz w:val="20"/>
                <w:szCs w:val="20"/>
                <w:lang w:val="fr-FR"/>
              </w:rPr>
              <w:fldChar w:fldCharType="begin"/>
            </w:r>
            <w:r w:rsidR="0085189B">
              <w:rPr>
                <w:sz w:val="20"/>
                <w:szCs w:val="20"/>
                <w:lang w:val="fr-FR"/>
              </w:rPr>
              <w:instrText xml:space="preserve"> ADDIN ZOTERO_ITEM CSL_CITATION {"citationID":"msWUyMz8","properties":{"formattedCitation":"(8)","plainCitation":"(8)","noteIndex":0},"citationItems":[{"id":461,"uris":["http://zotero.org/users/5068140/items/Y7NJ37YR"],"uri":["http://zotero.org/users/5068140/items/Y7NJ37YR"],"itemData":{"id":461,"type":"article-journal","abstract":"2006Background: TRK fusions are oncogenic drivers of a variety of cancers, many of which can involve the central nervous system (CNS). Larotrectinib is an FDA-approved selective TRK inhibitor for the treatment of TRK fusion cancer (Drilon et al, NEJM 2018). While larotrectinib has been shown to cross the blood–brain barrier (Ziegler et al, Br J Cancer 2018), its clinical activity in a series of TRK fusion cancers with primary or metastatic intracranial disease has not been described. Methods: Patients (pts) with non-primary CNS solid tumors with brain metastases, or primary CNS tumors harboring a TRK fusion treated with larotrectinib in 2 clinical trials (NCT02637687, NCT02576431) were identified. Larotrectinib was administered until disease progression (PD), withdrawal, or unacceptable toxicity. Disease status was investigator-assessed (RANO and RECIST). Data cutoff: July 30, 2018. Results: 14 pts were identified: 5 non-primary CNS solid tumors (3 lung cancer, 2 thyroid cancer; fusion type: 2 ETV6-NTRK3, 2 SQSTM1-NTRK3, 1 EPS15-NTRK1; age range 25–79 y) and 9 primary CNS tumors (3 glioma, 2 glioblastoma, 1 astrocytoma, 3 NOS; fusion type: 3 BCR-NTRK2, 2 KANK-NTRK2, 1 each of AFAP1-NTRK1, AGTPBP1-NTRK2, ETV6-NTRK3, SPECC1L-NTRK2; age range 2–79 y). In the 5 pts with non-primary CNS tumors, the best objective response to therapy was PR in 3 (60%, 1 pending confirmation), SD in 1 (20%), and not evaluable (NE) in 1 (20%). Duration of response ranged from 9+ to 13 mo. In the 9 pts with primary CNS tumors, disease control was achieved in all evaluable pts (primary PD not observed; 1 pt required dose increase). The best objective response to therapy was PR in 1 (11%; pending confirmation, −55% tumor shrinkage, ongoing at 3.7 mo), SD in 7 (78%; tumor shrinkage range −1% to −24% for pts with measurable disease, 5 had SD &gt; 4 mo), and NE in 1 (11%). Duration of treatment ranged from 2.8–9.2+ mo. Conclusions: Larotrectinib is active in pts with TRK fusion cancers with intracranial disease. Confirmed responses and durable disease control were seen in metastatic disease and primary CNS tumors of various histologies. These results further support expanded testing for TRK fusions across all cancers, including primary CNS tumors. Clinical trial information: NCT02637687 and NCT02576431.","container-title":"Journal of Clinical Oncology","DOI":"10.1200/JCO.2019.37.15_suppl.2006","issue":"15_suppl","page":"2006-2006","title":"Activity of larotrectinib in TRK fusion cancer patients with brain metastases or primary central nervous system tumors.","volume":"37","author":[{"family":"Drilon","given":"Alexander E."},{"family":"DuBois","given":"Steven G."},{"family":"Farago","given":"Anna F."},{"family":"Geoerger","given":"Birgit"},{"family":"Grilley-Olson","given":"Juneko E."},{"family":"Hong","given":"David S."},{"family":"Sohal","given":"Davendra"},{"family":"Tilburg","given":"Cornelis Martinus","non-dropping-particle":"van"},{"family":"Ziegler","given":"David Simon"},{"family":"Ku","given":"Nora"},{"family":"Cox","given":"Michael Craig"},{"family":"Nanda","given":"Shivani"},{"family":"Childs","given":"Barrett H."},{"family":"Doz","given":"Francois P."}],"issued":{"date-parts":[["2019"]]}}}],"schema":"https://github.com/citation-style-language/schema/raw/master/csl-citation.json"} </w:instrText>
            </w:r>
            <w:r w:rsidR="0085189B">
              <w:rPr>
                <w:sz w:val="20"/>
                <w:szCs w:val="20"/>
                <w:lang w:val="fr-FR"/>
              </w:rPr>
              <w:fldChar w:fldCharType="separate"/>
            </w:r>
            <w:r w:rsidR="0085189B" w:rsidRPr="0085189B">
              <w:rPr>
                <w:rFonts w:ascii="Calibri" w:hAnsi="Calibri" w:cs="Calibri"/>
                <w:sz w:val="20"/>
              </w:rPr>
              <w:t>(8)</w:t>
            </w:r>
            <w:r w:rsidR="0085189B">
              <w:rPr>
                <w:sz w:val="20"/>
                <w:szCs w:val="20"/>
                <w:lang w:val="fr-FR"/>
              </w:rPr>
              <w:fldChar w:fldCharType="end"/>
            </w:r>
          </w:p>
          <w:p w14:paraId="3CF83B5C" w14:textId="47BB85F6" w:rsidR="00A23C51" w:rsidRPr="0085189B" w:rsidRDefault="0085189B" w:rsidP="00DF27E2">
            <w:pPr>
              <w:spacing w:after="120"/>
              <w:rPr>
                <w:sz w:val="20"/>
                <w:szCs w:val="20"/>
              </w:rPr>
            </w:pPr>
            <w:proofErr w:type="spellStart"/>
            <w:r>
              <w:rPr>
                <w:sz w:val="20"/>
                <w:szCs w:val="20"/>
                <w:lang w:val="fr-FR"/>
              </w:rPr>
              <w:t>Entrectinib</w:t>
            </w:r>
            <w:proofErr w:type="spellEnd"/>
            <w:r>
              <w:rPr>
                <w:sz w:val="20"/>
                <w:szCs w:val="20"/>
                <w:lang w:val="fr-FR"/>
              </w:rPr>
              <w:t xml:space="preserve">: 75% ORR </w:t>
            </w:r>
            <w:r>
              <w:rPr>
                <w:sz w:val="20"/>
                <w:szCs w:val="20"/>
                <w:lang w:val="fr-FR"/>
              </w:rPr>
              <w:fldChar w:fldCharType="begin"/>
            </w:r>
            <w:r>
              <w:rPr>
                <w:sz w:val="20"/>
                <w:szCs w:val="20"/>
                <w:lang w:val="fr-FR"/>
              </w:rPr>
              <w:instrText xml:space="preserve"> ADDIN ZOTERO_ITEM CSL_CITATION {"citationID":"vYcZlnYK","properties":{"formattedCitation":"(7)","plainCitation":"(7)","noteIndex":0},"citationItems":[{"id":469,"uris":["http://zotero.org/users/5068140/items/PLGPB7PN"],"uri":["http://zotero.org/users/5068140/items/PLGPB7PN"],"itemData":{"id":469,"type":"article-journal","abstract":"10009Background: Entrectinib is a CNS-penetrant oral inhibitor of TrkA/B/C, ROS1 and ALK tyrosine kinases. We report the efficacy of entrectinib in children with recurrent/refractory solid or CNS tumors. Methods: Patients ≤ 20y old with recurrent/refractory solid tumors were eligible. After determination of the recommended dose in all-comers, disease-specific expansion cohorts of CNS and solid tumors harboring target aberrations in NTRK1/2/3, ROS1 or ALK, and neuroblastoma (NBL), regardless of mutation spectrum, were enrolled. Response, assessed by Investigator, was classified as complete response (CR), partial response (PR), stable disease (SD) or progressive disease (PD) using RANO for CNS tumors, RECIST for solid tumors, and Curie score for NBL. Results: Between May 2016 and October 2018, 29 patients aged 4.9m–20y (median 7y) were enrolled and 28 were evaluated for response. Entrectinib was well tolerated. Dose limiting toxicities were elevated creatinine, dysgeusia, fatigue and pulmonary edema. The recommended dose was 550 mg/m2 daily. All responses occurred at doses ≥ 400 mg/m2. In CNS tumors (n = 6), all high-grade with gene fusions: 1 achieved a CR (ETV6-NTRK3); 3 achieved a PR (TPR-NTRK1, EEF1G-ROS1, EML1-NTRK2); 1 achieved an unconfirmed PR (GOPC-ROS1); and 1 has yet to be evaluated (KANK1-NTRK2). In extracranial solid tumors (n = 8), 6 had a fusion of whom 1 achieved a CR (DCTN1-ALK) and 5 achieved a PR (TFG1-ROS1, EML4-NTRK3, ETV6-NTRK3, KIF5B-ALK, ETV6-NTRK3). In NBL (n = 15): 1 achieved a CR (ALK F1174L). Median duration of therapy was 85d (6–592d) for all patients; 56d (6–338d) for non-responders; and 281d (56–592d) for responders. Median time to response was 57d (30–58d). Conclusions: Entrectinib produced striking, rapid and durable responses in all children with refractory CNS and solid tumors harboring NTRK1/2/3, ROS1 or ALK fusions (11 out of 11) as well as in an ALK-mutated NBL. No responses were seen in tumors lacking aberrations in target kinases. These </w:instrText>
            </w:r>
            <w:r w:rsidRPr="0085189B">
              <w:rPr>
                <w:sz w:val="20"/>
                <w:szCs w:val="20"/>
              </w:rPr>
              <w:instrText xml:space="preserve">results support the continued evaluation of entrectinib as a targeted therapeutic in solid tumors with NTRK1/2/3, ROS1 and ALK fusions, especially in high-grade CNS neoplasms. Clinical trial information: NCT02650401.","container-title":"Journal of Clinical Oncology","DOI":"10.1200/JCO.2019.37.15_suppl.10009","issue":"15_suppl","page":"10009-10009","title":"Phase 1/1B trial to assess the activity of entrectinib in children and adolescents with recurrent or refractory solid tumors including central nervous system (CNS) tumors.","volume":"37","author":[{"family":"Robinson","given":"Giles W."},{"family":"Gajjar","given":"Amar J."},{"family":"Gauvain","given":"Karen Marie"},{"family":"Basu","given":"Ellen M."},{"family":"Macy","given":"Margaret E"},{"family":"Maese","given":"Luke Devon"},{"family":"Sabnis","given":"Amit J."},{"family":"Foster","given":"Jennifer Haunani"},{"family":"Shusterman","given":"Suzanne"},{"family":"Yoon","given":"Janet"},{"family":"Weiss","given":"Brian D."},{"family":"Abdelbaki","given":"Mohamed"},{"family":"Farid-Kapadia","given":"Mufiza"},{"family":"Meneses-Lorente","given":"Georgina"},{"family":"Cardenas","given":"Alison"},{"family":"Hutchinson","given":"Katherine"},{"family":"Bergthold","given":"Guillaume"},{"family":"Chow Maneval","given":"Edna"},{"family":"Fox","given":"Elizabeth"},{"family":"Desai","given":"Ami Vijay"}],"issued":{"date-parts":[["2019"]]}}}],"schema":"https://github.com/citation-style-language/schema/raw/master/csl-citation.json"} </w:instrText>
            </w:r>
            <w:r>
              <w:rPr>
                <w:sz w:val="20"/>
                <w:szCs w:val="20"/>
                <w:lang w:val="fr-FR"/>
              </w:rPr>
              <w:fldChar w:fldCharType="separate"/>
            </w:r>
            <w:r w:rsidRPr="0085189B">
              <w:rPr>
                <w:rFonts w:ascii="Calibri" w:hAnsi="Calibri" w:cs="Calibri"/>
                <w:sz w:val="20"/>
              </w:rPr>
              <w:t>(7)</w:t>
            </w:r>
            <w:r>
              <w:rPr>
                <w:sz w:val="20"/>
                <w:szCs w:val="20"/>
                <w:lang w:val="fr-FR"/>
              </w:rPr>
              <w:fldChar w:fldCharType="end"/>
            </w:r>
          </w:p>
        </w:tc>
        <w:tc>
          <w:tcPr>
            <w:tcW w:w="14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A0A1350" w14:textId="326689EE" w:rsidR="00A23C51" w:rsidRPr="00E00F28" w:rsidRDefault="00F37DC6" w:rsidP="00DF27E2">
            <w:pPr>
              <w:spacing w:after="120"/>
              <w:rPr>
                <w:sz w:val="20"/>
                <w:szCs w:val="20"/>
              </w:rPr>
            </w:pPr>
            <w:r w:rsidRPr="0085189B">
              <w:rPr>
                <w:sz w:val="20"/>
                <w:szCs w:val="20"/>
              </w:rPr>
              <w:t>7</w:t>
            </w:r>
            <w:r w:rsidR="00A23C51" w:rsidRPr="0085189B">
              <w:rPr>
                <w:sz w:val="20"/>
                <w:szCs w:val="20"/>
              </w:rPr>
              <w:t xml:space="preserve"> patients</w:t>
            </w:r>
          </w:p>
        </w:tc>
        <w:tc>
          <w:tcPr>
            <w:tcW w:w="153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F93A434" w14:textId="6687084B" w:rsidR="00A23C51" w:rsidRPr="00E00F28" w:rsidRDefault="00F37DC6" w:rsidP="00DF27E2">
            <w:pPr>
              <w:spacing w:after="120"/>
              <w:rPr>
                <w:sz w:val="20"/>
                <w:szCs w:val="20"/>
              </w:rPr>
            </w:pPr>
            <w:r w:rsidRPr="0085189B">
              <w:rPr>
                <w:sz w:val="20"/>
                <w:szCs w:val="20"/>
              </w:rPr>
              <w:t>1/7</w:t>
            </w:r>
            <w:r w:rsidR="00A23C51" w:rsidRPr="0085189B">
              <w:rPr>
                <w:sz w:val="20"/>
                <w:szCs w:val="20"/>
              </w:rPr>
              <w:t xml:space="preserve"> patients</w:t>
            </w:r>
          </w:p>
        </w:tc>
      </w:tr>
      <w:tr w:rsidR="00A23C51" w:rsidRPr="00E00F28" w14:paraId="192859BC" w14:textId="77777777" w:rsidTr="00DF27E2">
        <w:trPr>
          <w:trHeight w:val="478"/>
        </w:trPr>
        <w:tc>
          <w:tcPr>
            <w:tcW w:w="1969"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60951C0" w14:textId="77777777" w:rsidR="00A23C51" w:rsidRPr="00E00F28" w:rsidRDefault="00A23C51" w:rsidP="00DF27E2">
            <w:pPr>
              <w:spacing w:after="120"/>
              <w:rPr>
                <w:sz w:val="20"/>
                <w:szCs w:val="20"/>
              </w:rPr>
            </w:pPr>
            <w:r w:rsidRPr="00E00F28">
              <w:rPr>
                <w:b/>
                <w:bCs/>
                <w:sz w:val="20"/>
                <w:szCs w:val="20"/>
                <w:lang w:val="en-US"/>
              </w:rPr>
              <w:t>RET inhibitors in RET fusion positive tumors</w:t>
            </w:r>
          </w:p>
        </w:tc>
        <w:tc>
          <w:tcPr>
            <w:tcW w:w="201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E91F38F" w14:textId="77777777" w:rsidR="00A23C51" w:rsidRPr="00E00F28" w:rsidRDefault="00A23C51" w:rsidP="00DF27E2">
            <w:pPr>
              <w:spacing w:after="120"/>
              <w:rPr>
                <w:sz w:val="20"/>
                <w:szCs w:val="20"/>
              </w:rPr>
            </w:pPr>
            <w:r w:rsidRPr="00E00F28">
              <w:rPr>
                <w:sz w:val="20"/>
                <w:szCs w:val="20"/>
                <w:lang w:val="en-US"/>
              </w:rPr>
              <w:t>Several tumor types</w:t>
            </w:r>
          </w:p>
        </w:tc>
        <w:tc>
          <w:tcPr>
            <w:tcW w:w="28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039B9B9" w14:textId="3C7DD76B" w:rsidR="00A23C51" w:rsidRPr="00E00F28" w:rsidRDefault="00B175F5" w:rsidP="00DF27E2">
            <w:pPr>
              <w:spacing w:after="120"/>
              <w:rPr>
                <w:sz w:val="20"/>
                <w:szCs w:val="20"/>
              </w:rPr>
            </w:pPr>
            <w:proofErr w:type="spellStart"/>
            <w:r w:rsidRPr="0085189B">
              <w:rPr>
                <w:sz w:val="20"/>
                <w:szCs w:val="20"/>
              </w:rPr>
              <w:t>Selpercatinib</w:t>
            </w:r>
            <w:proofErr w:type="spellEnd"/>
            <w:r w:rsidR="00A23C51" w:rsidRPr="0085189B">
              <w:rPr>
                <w:sz w:val="20"/>
                <w:szCs w:val="20"/>
              </w:rPr>
              <w:t>: 100% ORR</w:t>
            </w:r>
            <w:r w:rsidR="0085189B">
              <w:rPr>
                <w:sz w:val="20"/>
                <w:szCs w:val="20"/>
              </w:rPr>
              <w:t xml:space="preserve"> </w:t>
            </w:r>
            <w:r w:rsidR="0085189B">
              <w:rPr>
                <w:sz w:val="20"/>
                <w:szCs w:val="20"/>
              </w:rPr>
              <w:fldChar w:fldCharType="begin"/>
            </w:r>
            <w:r w:rsidR="0085189B">
              <w:rPr>
                <w:sz w:val="20"/>
                <w:szCs w:val="20"/>
              </w:rPr>
              <w:instrText xml:space="preserve"> ADDIN ZOTERO_ITEM CSL_CITATION {"citationID":"XEpyDKgV","properties":{"formattedCitation":"(9)","plainCitation":"(9)","noteIndex":0},"citationItems":[{"id":806,"uris":["http://zotero.org/users/5068140/items/LI2DHQUB"],"uri":["http://zotero.org/users/5068140/items/LI2DHQUB"],"itemData":{"id":806,"type":"article-journal","container-title":"JCO Precision Oncology","DOI":"10.1200/PO.19.00401","ISSN":"2473-4284","issue":"4","journalAbbreviation":"JCO Precision Oncology","language":"en","page":"341-347","source":"DOI.org (Crossref)","title":"Activity of the Highly Specific RET Inhibitor Selpercatinib (LOXO-292) in Pediatric Patients With Tumors Harboring &lt;i&gt;RET&lt;/i&gt; Gene Alterations","author":[{"family":"Ortiz","given":"Michael V."},{"family":"Gerdemann","given":"Ulrike"},{"family":"Raju","given":"Sandya Govinda"},{"family":"Henry","given":"Dahlia"},{"family":"Smith","given":"Steve"},{"family":"Rothenberg","given":"S. Michael"},{"family":"Cox","given":"Michael C."},{"family":"Proust","given":"Stéphanie"},{"family":"Bender","given":"Julia Glade"},{"family":"Frazier","given":"A. Lindsay"},{"family":"Anderson","given":"Peter"},{"family":"Pappo","given":"Alberto S."}],"issued":{"date-parts":[["2020",9]]}}}],"schema":"https://github.com/citation-style-language/schema/raw/master/csl-citation.json"} </w:instrText>
            </w:r>
            <w:r w:rsidR="0085189B">
              <w:rPr>
                <w:sz w:val="20"/>
                <w:szCs w:val="20"/>
              </w:rPr>
              <w:fldChar w:fldCharType="separate"/>
            </w:r>
            <w:r w:rsidR="0085189B" w:rsidRPr="0085189B">
              <w:rPr>
                <w:rFonts w:ascii="Calibri" w:hAnsi="Calibri" w:cs="Calibri"/>
                <w:sz w:val="20"/>
              </w:rPr>
              <w:t>(9)</w:t>
            </w:r>
            <w:r w:rsidR="0085189B">
              <w:rPr>
                <w:sz w:val="20"/>
                <w:szCs w:val="20"/>
              </w:rPr>
              <w:fldChar w:fldCharType="end"/>
            </w:r>
            <w:r w:rsidR="0085189B">
              <w:rPr>
                <w:sz w:val="20"/>
                <w:szCs w:val="20"/>
              </w:rPr>
              <w:t xml:space="preserve"> </w:t>
            </w:r>
          </w:p>
        </w:tc>
        <w:tc>
          <w:tcPr>
            <w:tcW w:w="141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196C2F4" w14:textId="77777777" w:rsidR="00A23C51" w:rsidRPr="00E00F28" w:rsidRDefault="00A23C51" w:rsidP="00DF27E2">
            <w:pPr>
              <w:spacing w:after="120"/>
              <w:rPr>
                <w:sz w:val="20"/>
                <w:szCs w:val="20"/>
              </w:rPr>
            </w:pPr>
            <w:r w:rsidRPr="0085189B">
              <w:rPr>
                <w:sz w:val="20"/>
                <w:szCs w:val="20"/>
              </w:rPr>
              <w:t>1 patient</w:t>
            </w:r>
          </w:p>
        </w:tc>
        <w:tc>
          <w:tcPr>
            <w:tcW w:w="15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FC1CED4" w14:textId="5C98DB6A" w:rsidR="00A23C51" w:rsidRPr="00E00F28" w:rsidRDefault="00A23C51" w:rsidP="00DF27E2">
            <w:pPr>
              <w:spacing w:after="120"/>
              <w:rPr>
                <w:sz w:val="20"/>
                <w:szCs w:val="20"/>
              </w:rPr>
            </w:pPr>
            <w:r w:rsidRPr="0085189B">
              <w:rPr>
                <w:sz w:val="20"/>
                <w:szCs w:val="20"/>
              </w:rPr>
              <w:t>0/1 patient</w:t>
            </w:r>
          </w:p>
        </w:tc>
      </w:tr>
      <w:tr w:rsidR="00A23C51" w:rsidRPr="00E00F28" w14:paraId="5921CFD4" w14:textId="77777777" w:rsidTr="00DF27E2">
        <w:trPr>
          <w:trHeight w:val="719"/>
        </w:trPr>
        <w:tc>
          <w:tcPr>
            <w:tcW w:w="1969"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C07418C" w14:textId="77777777" w:rsidR="00A23C51" w:rsidRPr="00E00F28" w:rsidRDefault="00A23C51" w:rsidP="00DF27E2">
            <w:pPr>
              <w:spacing w:after="120"/>
              <w:rPr>
                <w:sz w:val="20"/>
                <w:szCs w:val="20"/>
              </w:rPr>
            </w:pPr>
            <w:r w:rsidRPr="00E00F28">
              <w:rPr>
                <w:b/>
                <w:bCs/>
                <w:sz w:val="20"/>
                <w:szCs w:val="20"/>
              </w:rPr>
              <w:t xml:space="preserve">SMO inhibitors in PTCH1 </w:t>
            </w:r>
            <w:proofErr w:type="spellStart"/>
            <w:r w:rsidRPr="00E00F28">
              <w:rPr>
                <w:b/>
                <w:bCs/>
                <w:sz w:val="20"/>
                <w:szCs w:val="20"/>
              </w:rPr>
              <w:t>mut</w:t>
            </w:r>
            <w:proofErr w:type="spellEnd"/>
            <w:r w:rsidRPr="00E00F28">
              <w:rPr>
                <w:b/>
                <w:bCs/>
                <w:sz w:val="20"/>
                <w:szCs w:val="20"/>
              </w:rPr>
              <w:t xml:space="preserve">/del (TP53/SMO </w:t>
            </w:r>
            <w:proofErr w:type="spellStart"/>
            <w:r w:rsidRPr="00E00F28">
              <w:rPr>
                <w:b/>
                <w:bCs/>
                <w:sz w:val="20"/>
                <w:szCs w:val="20"/>
              </w:rPr>
              <w:t>wildtype</w:t>
            </w:r>
            <w:proofErr w:type="spellEnd"/>
            <w:r w:rsidRPr="00E00F28">
              <w:rPr>
                <w:b/>
                <w:bCs/>
                <w:sz w:val="20"/>
                <w:szCs w:val="20"/>
              </w:rPr>
              <w:t xml:space="preserve">) </w:t>
            </w:r>
            <w:proofErr w:type="spellStart"/>
            <w:r w:rsidRPr="00E00F28">
              <w:rPr>
                <w:b/>
                <w:bCs/>
                <w:sz w:val="20"/>
                <w:szCs w:val="20"/>
              </w:rPr>
              <w:t>tumors</w:t>
            </w:r>
            <w:proofErr w:type="spellEnd"/>
          </w:p>
        </w:tc>
        <w:tc>
          <w:tcPr>
            <w:tcW w:w="201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D6A7B8C" w14:textId="77777777" w:rsidR="00A23C51" w:rsidRPr="00E00F28" w:rsidRDefault="00A23C51" w:rsidP="00DF27E2">
            <w:pPr>
              <w:spacing w:after="120"/>
              <w:rPr>
                <w:sz w:val="20"/>
                <w:szCs w:val="20"/>
              </w:rPr>
            </w:pPr>
            <w:proofErr w:type="spellStart"/>
            <w:r w:rsidRPr="00E00F28">
              <w:rPr>
                <w:sz w:val="20"/>
                <w:szCs w:val="20"/>
                <w:lang w:val="en-US"/>
              </w:rPr>
              <w:t>Medulloblastoma</w:t>
            </w:r>
            <w:proofErr w:type="spellEnd"/>
          </w:p>
        </w:tc>
        <w:tc>
          <w:tcPr>
            <w:tcW w:w="28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912B0BA" w14:textId="5C16C039" w:rsidR="00A23C51" w:rsidRPr="00E00F28" w:rsidRDefault="00A23C51" w:rsidP="00DF27E2">
            <w:pPr>
              <w:spacing w:after="120"/>
              <w:rPr>
                <w:sz w:val="20"/>
                <w:szCs w:val="20"/>
              </w:rPr>
            </w:pPr>
            <w:proofErr w:type="spellStart"/>
            <w:r w:rsidRPr="0085189B">
              <w:rPr>
                <w:sz w:val="20"/>
                <w:szCs w:val="20"/>
              </w:rPr>
              <w:t>Sonidegib</w:t>
            </w:r>
            <w:proofErr w:type="spellEnd"/>
            <w:r w:rsidRPr="0085189B">
              <w:rPr>
                <w:sz w:val="20"/>
                <w:szCs w:val="20"/>
              </w:rPr>
              <w:t>* : 50% ORR</w:t>
            </w:r>
            <w:r w:rsidR="0085189B">
              <w:rPr>
                <w:sz w:val="20"/>
                <w:szCs w:val="20"/>
              </w:rPr>
              <w:t xml:space="preserve"> </w:t>
            </w:r>
            <w:r w:rsidR="0085189B">
              <w:rPr>
                <w:sz w:val="20"/>
                <w:szCs w:val="20"/>
              </w:rPr>
              <w:fldChar w:fldCharType="begin"/>
            </w:r>
            <w:r w:rsidR="0085189B">
              <w:rPr>
                <w:sz w:val="20"/>
                <w:szCs w:val="20"/>
              </w:rPr>
              <w:instrText xml:space="preserve"> ADDIN ZOTERO_ITEM CSL_CITATION {"citationID":"ou7gHuFa","properties":{"formattedCitation":"(10)","plainCitation":"(10)","noteIndex":0},"citationItems":[{"id":11,"uris":["http://zotero.org/users/5068140/items/933M3EQ5"],"uri":["http://zotero.org/users/5068140/items/933M3EQ5"],"itemData":{"id":11,"type":"article-journal","container-title":"Neuro-Oncology","DOI":"10.1093/neuonc/nox109","ISSN":"1522-8517, 1523-5866","issue":"11","language":"en","page":"1542-1552","source":"Crossref","title":"Phase I study of oral sonidegib (LDE225) in pediatric brain and solid tumors and a phase II study in children and adults with relapsed medulloblastoma","volume":"19","author":[{"family":"Kieran","given":"Mark W"},{"family":"Chisholm","given":"Julia"},{"family":"Casanova","given":"Michela"},{"family":"Brandes","given":"Alba A"},{"family":"Aerts","given":"Isabelle"},{"family":"Bouffet","given":"Eric"},{"family":"Bailey","given":"Simon"},{"family":"Leary","given":"Sarah"},{"family":"MacDonald","given":"Tobey J"},{"family":"Mechinaud","given":"Francoise"},{"family":"Cohen","given":"Kenneth J"},{"family":"Riccardi","given":"Riccardo"},{"family":"Mason","given":"Warren"},{"family":"Hargrave","given":"Darren"},{"family":"Kalambakas","given":"Stacey"},{"family":"Deshpande","given":"Priya"},{"family":"Tai","given":"Feng"},{"family":"Hurh","given":"Eunju"},{"family":"Geoerger","given":"Birgit"}],"issued":{"date-parts":[["2017",10,19]]}}}],"schema":"https://github.com/citation-style-language/schema/raw/master/csl-citation.json"} </w:instrText>
            </w:r>
            <w:r w:rsidR="0085189B">
              <w:rPr>
                <w:sz w:val="20"/>
                <w:szCs w:val="20"/>
              </w:rPr>
              <w:fldChar w:fldCharType="separate"/>
            </w:r>
            <w:r w:rsidR="0085189B" w:rsidRPr="0085189B">
              <w:rPr>
                <w:rFonts w:ascii="Calibri" w:hAnsi="Calibri" w:cs="Calibri"/>
                <w:sz w:val="20"/>
              </w:rPr>
              <w:t>(10)</w:t>
            </w:r>
            <w:r w:rsidR="0085189B">
              <w:rPr>
                <w:sz w:val="20"/>
                <w:szCs w:val="20"/>
              </w:rPr>
              <w:fldChar w:fldCharType="end"/>
            </w:r>
          </w:p>
        </w:tc>
        <w:tc>
          <w:tcPr>
            <w:tcW w:w="141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D12CDF9" w14:textId="77777777" w:rsidR="00A23C51" w:rsidRPr="00E00F28" w:rsidRDefault="00A23C51" w:rsidP="00DF27E2">
            <w:pPr>
              <w:spacing w:after="120"/>
              <w:rPr>
                <w:sz w:val="20"/>
                <w:szCs w:val="20"/>
              </w:rPr>
            </w:pPr>
            <w:r w:rsidRPr="0085189B">
              <w:rPr>
                <w:sz w:val="20"/>
                <w:szCs w:val="20"/>
              </w:rPr>
              <w:t>4 patients</w:t>
            </w:r>
          </w:p>
        </w:tc>
        <w:tc>
          <w:tcPr>
            <w:tcW w:w="153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574B3C8" w14:textId="77777777" w:rsidR="00A23C51" w:rsidRPr="00E00F28" w:rsidRDefault="00A23C51" w:rsidP="00DF27E2">
            <w:pPr>
              <w:spacing w:after="120"/>
              <w:rPr>
                <w:sz w:val="20"/>
                <w:szCs w:val="20"/>
              </w:rPr>
            </w:pPr>
            <w:r w:rsidRPr="0085189B">
              <w:rPr>
                <w:sz w:val="20"/>
                <w:szCs w:val="20"/>
              </w:rPr>
              <w:t>1/4 patients</w:t>
            </w:r>
          </w:p>
        </w:tc>
      </w:tr>
      <w:tr w:rsidR="00A23C51" w:rsidRPr="00E00F28" w14:paraId="46914F92" w14:textId="77777777" w:rsidTr="00DF27E2">
        <w:trPr>
          <w:trHeight w:val="66"/>
        </w:trPr>
        <w:tc>
          <w:tcPr>
            <w:tcW w:w="1969"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12EDF7F" w14:textId="77777777" w:rsidR="00A23C51" w:rsidRPr="00E00F28" w:rsidRDefault="00A23C51" w:rsidP="00DF27E2">
            <w:pPr>
              <w:spacing w:after="120"/>
              <w:rPr>
                <w:sz w:val="20"/>
                <w:szCs w:val="20"/>
              </w:rPr>
            </w:pPr>
            <w:r w:rsidRPr="00E00F28">
              <w:rPr>
                <w:b/>
                <w:bCs/>
                <w:sz w:val="20"/>
                <w:szCs w:val="20"/>
                <w:lang w:val="en-US"/>
              </w:rPr>
              <w:t>ROS1 inhibitors in ROS1 fusion positive tumors</w:t>
            </w:r>
          </w:p>
        </w:tc>
        <w:tc>
          <w:tcPr>
            <w:tcW w:w="201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E40B8B1" w14:textId="77777777" w:rsidR="00A23C51" w:rsidRPr="00E00F28" w:rsidRDefault="00A23C51" w:rsidP="00DF27E2">
            <w:pPr>
              <w:spacing w:after="120"/>
              <w:rPr>
                <w:sz w:val="20"/>
                <w:szCs w:val="20"/>
              </w:rPr>
            </w:pPr>
            <w:r w:rsidRPr="00E00F28">
              <w:rPr>
                <w:sz w:val="20"/>
                <w:szCs w:val="20"/>
                <w:lang w:val="en-US"/>
              </w:rPr>
              <w:t>Several tumor types</w:t>
            </w:r>
          </w:p>
        </w:tc>
        <w:tc>
          <w:tcPr>
            <w:tcW w:w="28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3FA48EE" w14:textId="6A6AB1BA" w:rsidR="00A23C51" w:rsidRDefault="00A23C51" w:rsidP="00DF27E2">
            <w:pPr>
              <w:spacing w:after="120"/>
              <w:rPr>
                <w:sz w:val="20"/>
                <w:szCs w:val="20"/>
              </w:rPr>
            </w:pPr>
            <w:proofErr w:type="spellStart"/>
            <w:r>
              <w:rPr>
                <w:sz w:val="20"/>
                <w:szCs w:val="20"/>
              </w:rPr>
              <w:t>Crizotinib</w:t>
            </w:r>
            <w:proofErr w:type="spellEnd"/>
            <w:r>
              <w:rPr>
                <w:sz w:val="20"/>
                <w:szCs w:val="20"/>
              </w:rPr>
              <w:t>: 100%</w:t>
            </w:r>
            <w:r w:rsidR="0085189B">
              <w:rPr>
                <w:sz w:val="20"/>
                <w:szCs w:val="20"/>
              </w:rPr>
              <w:t xml:space="preserve"> </w:t>
            </w:r>
            <w:r>
              <w:rPr>
                <w:sz w:val="20"/>
                <w:szCs w:val="20"/>
              </w:rPr>
              <w:t xml:space="preserve"> </w:t>
            </w:r>
            <w:r w:rsidR="0085189B">
              <w:rPr>
                <w:sz w:val="20"/>
                <w:szCs w:val="20"/>
              </w:rPr>
              <w:fldChar w:fldCharType="begin"/>
            </w:r>
            <w:r w:rsidR="0085189B">
              <w:rPr>
                <w:sz w:val="20"/>
                <w:szCs w:val="20"/>
              </w:rPr>
              <w:instrText xml:space="preserve"> ADDIN ZOTERO_ITEM CSL_CITATION {"citationID":"qsyx1nb4","properties":{"formattedCitation":"(11)","plainCitation":"(11)","noteIndex":0},"citationItems":[{"id":756,"uris":["http://zotero.org/users/5068140/items/R8482IL9"],"uri":["http://zotero.org/users/5068140/items/R8482IL9"],"itemData":{"id":756,"type":"article-journal","container-title":"Journal of Clinical Oncology 2016 34:15_suppl, 11509-11509","title":"Crizotinib in children and adolescents with advanced ROS1, MET, or ALK-rearranged cancer: Results of the AcSé phase II trial","author":[{"family":". Vassal G, Faivre L, Geoerger B, Plantaz D, Auvrignon A, Coze C, et al","given":""}]}}],"schema":"https://github.com/citation-style-language/schema/raw/master/csl-citation.json"} </w:instrText>
            </w:r>
            <w:r w:rsidR="0085189B">
              <w:rPr>
                <w:sz w:val="20"/>
                <w:szCs w:val="20"/>
              </w:rPr>
              <w:fldChar w:fldCharType="separate"/>
            </w:r>
            <w:r w:rsidR="0085189B" w:rsidRPr="0085189B">
              <w:rPr>
                <w:rFonts w:ascii="Calibri" w:hAnsi="Calibri" w:cs="Calibri"/>
                <w:sz w:val="20"/>
              </w:rPr>
              <w:t>(11)</w:t>
            </w:r>
            <w:r w:rsidR="0085189B">
              <w:rPr>
                <w:sz w:val="20"/>
                <w:szCs w:val="20"/>
              </w:rPr>
              <w:fldChar w:fldCharType="end"/>
            </w:r>
          </w:p>
          <w:p w14:paraId="03CC7D66" w14:textId="25AFC034" w:rsidR="00A23C51" w:rsidRPr="00E00F28" w:rsidRDefault="00A23C51" w:rsidP="00DF27E2">
            <w:pPr>
              <w:spacing w:after="120"/>
              <w:rPr>
                <w:sz w:val="20"/>
                <w:szCs w:val="20"/>
              </w:rPr>
            </w:pPr>
            <w:proofErr w:type="spellStart"/>
            <w:r>
              <w:rPr>
                <w:sz w:val="20"/>
                <w:szCs w:val="20"/>
              </w:rPr>
              <w:t>Entrectinib</w:t>
            </w:r>
            <w:proofErr w:type="spellEnd"/>
            <w:r>
              <w:rPr>
                <w:sz w:val="20"/>
                <w:szCs w:val="20"/>
              </w:rPr>
              <w:t>: 100</w:t>
            </w:r>
            <w:r w:rsidRPr="00E00F28">
              <w:rPr>
                <w:sz w:val="20"/>
                <w:szCs w:val="20"/>
              </w:rPr>
              <w:t>%</w:t>
            </w:r>
            <w:r w:rsidR="0085189B">
              <w:rPr>
                <w:sz w:val="20"/>
                <w:szCs w:val="20"/>
              </w:rPr>
              <w:t xml:space="preserve"> </w:t>
            </w:r>
            <w:r w:rsidR="0085189B">
              <w:rPr>
                <w:sz w:val="20"/>
                <w:szCs w:val="20"/>
              </w:rPr>
              <w:fldChar w:fldCharType="begin"/>
            </w:r>
            <w:r w:rsidR="0085189B">
              <w:rPr>
                <w:sz w:val="20"/>
                <w:szCs w:val="20"/>
              </w:rPr>
              <w:instrText xml:space="preserve"> ADDIN ZOTERO_ITEM CSL_CITATION {"citationID":"1h6ZvbJr","properties":{"formattedCitation":"(7)","plainCitation":"(7)","noteIndex":0},"citationItems":[{"id":469,"uris":["http://zotero.org/users/5068140/items/PLGPB7PN"],"uri":["http://zotero.org/users/5068140/items/PLGPB7PN"],"itemData":{"id":469,"type":"article-journal","abstract":"10009Background: Entrectinib is a CNS-penetrant oral inhibitor of TrkA/B/C, ROS1 and ALK tyrosine kinases. We report the efficacy of entrectinib in children with recurrent/refractory solid or CNS tumors. Methods: Patients ≤ 20y old with recurrent/refractory solid tumors were eligible. After determination of the recommended dose in all-comers, disease-specific expansion cohorts of CNS and solid tumors harboring target aberrations in NTRK1/2/3, ROS1 or ALK, and neuroblastoma (NBL), regardless of mutation spectrum, were enrolled. Response, assessed by Investigator, was classified as complete response (CR), partial response (PR), stable disease (SD) or progressive disease (PD) using RANO for CNS tumors, RECIST for solid tumors, and Curie score for NBL. Results: Between May 2016 and October 2018, 29 patients aged 4.9m–20y (median 7y) were enrolled and 28 were evaluated for response. Entrectinib was well tolerated. Dose limiting toxicities were elevated creatinine, dysgeusia, fatigue and pulmonary edema. The recommended dose was 550 mg/m2 daily. All responses occurred at doses ≥ 400 mg/m2. In CNS tumors (n = 6), all high-grade with gene fusions: 1 achieved a CR (ETV6-NTRK3); 3 achieved a PR (TPR-NTRK1, EEF1G-ROS1, EML1-NTRK2); 1 achieved an unconfirmed PR (GOPC-ROS1); and 1 has yet to be evaluated (KANK1-NTRK2). In extracranial solid tumors (n = 8), 6 had a fusion of whom 1 achieved a CR (DCTN1-ALK) and 5 achieved a PR (TFG1-ROS1, EML4-NTRK3, ETV6-NTRK3, KIF5B-ALK, ETV6-NTRK3). In NBL (n = 15): 1 achieved a CR (ALK F1174L). Median duration of therapy was 85d (6–592d) for all patients; 56d (6–338d) for non-responders; and 281d (56–592d) for responders. Median time to response was 57d (30–58d). Conclusions: Entrectinib produced striking, rapid and durable responses in all children with refractory CNS and solid tumors harboring NTRK1/2/3, ROS1 or ALK fusions (11 out of 11) as well as in an ALK-mutated NBL. No responses were seen in tumors lacking aberrations in target kinases. These results support the continued evaluation of entrectinib as a targeted therapeutic in solid tumors with NTRK1/2/3, ROS1 and ALK fusions, especially in high-grade CNS neoplasms. Clinical trial information: NCT02650401.","container-title":"Journal of Clinical Oncology","DOI":"10.1200/JCO.2019.37.15_suppl.10009","issue":"15_suppl","page":"10009-10009","title":"Phase 1/1B trial to assess the activity of entrectinib in children and adolescents with recurrent or refractory solid tumors including central nervous system (CNS) tumors.","volume":"37","author":[{"family":"Robinson","given":"Giles W."},{"family":"Gajjar","given":"Amar J."},{"family":"Gauvain","given":"Karen Marie"},{"family":"Basu","given":"Ellen M."},{"family":"Macy","given":"Margaret E"},{"family":"Maese","given":"Luke Devon"},{"family":"Sabnis","given":"Amit J."},{"family":"Foster","given":"Jennifer Haunani"},{"family":"Shusterman","given":"Suzanne"},{"family":"Yoon","given":"Janet"},{"family":"Weiss","given":"Brian D."},{"family":"Abdelbaki","given":"Mohamed"},{"family":"Farid-Kapadia","given":"Mufiza"},{"family":"Meneses-Lorente","given":"Georgina"},{"family":"Cardenas","given":"Alison"},{"family":"Hutchinson","given":"Katherine"},{"family":"Bergthold","given":"Guillaume"},{"family":"Chow Maneval","given":"Edna"},{"family":"Fox","given":"Elizabeth"},{"family":"Desai","given":"Ami Vijay"}],"issued":{"date-parts":[["2019"]]}}}],"schema":"https://github.com/citation-style-language/schema/raw/master/csl-citation.json"} </w:instrText>
            </w:r>
            <w:r w:rsidR="0085189B">
              <w:rPr>
                <w:sz w:val="20"/>
                <w:szCs w:val="20"/>
              </w:rPr>
              <w:fldChar w:fldCharType="separate"/>
            </w:r>
            <w:r w:rsidR="0085189B" w:rsidRPr="0085189B">
              <w:rPr>
                <w:rFonts w:ascii="Calibri" w:hAnsi="Calibri" w:cs="Calibri"/>
                <w:sz w:val="20"/>
              </w:rPr>
              <w:t>(7)</w:t>
            </w:r>
            <w:r w:rsidR="0085189B">
              <w:rPr>
                <w:sz w:val="20"/>
                <w:szCs w:val="20"/>
              </w:rPr>
              <w:fldChar w:fldCharType="end"/>
            </w:r>
          </w:p>
          <w:p w14:paraId="56F3689A" w14:textId="77777777" w:rsidR="00A23C51" w:rsidRPr="00E00F28" w:rsidRDefault="00A23C51" w:rsidP="00DF27E2">
            <w:pPr>
              <w:spacing w:after="120"/>
              <w:rPr>
                <w:sz w:val="20"/>
                <w:szCs w:val="20"/>
              </w:rPr>
            </w:pPr>
          </w:p>
        </w:tc>
        <w:tc>
          <w:tcPr>
            <w:tcW w:w="141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300BEC6" w14:textId="3E93BCE5" w:rsidR="00A23C51" w:rsidRPr="00E00F28" w:rsidRDefault="00F37DC6" w:rsidP="00DF27E2">
            <w:pPr>
              <w:spacing w:after="120"/>
              <w:rPr>
                <w:sz w:val="20"/>
                <w:szCs w:val="20"/>
              </w:rPr>
            </w:pPr>
            <w:r>
              <w:rPr>
                <w:sz w:val="20"/>
                <w:szCs w:val="20"/>
              </w:rPr>
              <w:t>2</w:t>
            </w:r>
            <w:r w:rsidR="00A23C51" w:rsidRPr="00E00F28">
              <w:rPr>
                <w:sz w:val="20"/>
                <w:szCs w:val="20"/>
              </w:rPr>
              <w:t xml:space="preserve"> patient</w:t>
            </w:r>
            <w:r w:rsidR="00A36F04">
              <w:rPr>
                <w:sz w:val="20"/>
                <w:szCs w:val="20"/>
              </w:rPr>
              <w:t>s</w:t>
            </w:r>
          </w:p>
        </w:tc>
        <w:tc>
          <w:tcPr>
            <w:tcW w:w="15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EA3A22C" w14:textId="554D9007" w:rsidR="00A23C51" w:rsidRPr="00E00F28" w:rsidRDefault="00F37DC6" w:rsidP="00DF27E2">
            <w:pPr>
              <w:spacing w:after="120"/>
              <w:rPr>
                <w:sz w:val="20"/>
                <w:szCs w:val="20"/>
              </w:rPr>
            </w:pPr>
            <w:r>
              <w:rPr>
                <w:sz w:val="20"/>
                <w:szCs w:val="20"/>
              </w:rPr>
              <w:t>0/2</w:t>
            </w:r>
            <w:r w:rsidR="00A23C51">
              <w:rPr>
                <w:sz w:val="20"/>
                <w:szCs w:val="20"/>
              </w:rPr>
              <w:t xml:space="preserve"> patients</w:t>
            </w:r>
          </w:p>
        </w:tc>
      </w:tr>
      <w:tr w:rsidR="00F01424" w:rsidRPr="00F01424" w14:paraId="385B0E87" w14:textId="77777777" w:rsidTr="00DF27E2">
        <w:trPr>
          <w:trHeight w:val="66"/>
        </w:trPr>
        <w:tc>
          <w:tcPr>
            <w:tcW w:w="1969"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tcPr>
          <w:p w14:paraId="3D707ABE" w14:textId="03A3CC14" w:rsidR="00F01424" w:rsidRPr="009E65AA" w:rsidRDefault="00F01424" w:rsidP="00DF27E2">
            <w:pPr>
              <w:spacing w:after="120"/>
              <w:rPr>
                <w:b/>
                <w:bCs/>
                <w:sz w:val="20"/>
                <w:szCs w:val="20"/>
                <w:lang w:val="it-IT"/>
              </w:rPr>
            </w:pPr>
            <w:r>
              <w:rPr>
                <w:b/>
                <w:bCs/>
                <w:sz w:val="20"/>
                <w:szCs w:val="20"/>
                <w:lang w:val="it-IT"/>
              </w:rPr>
              <w:t xml:space="preserve">PDGFB inhibitors </w:t>
            </w:r>
            <w:r w:rsidRPr="009E65AA">
              <w:rPr>
                <w:b/>
                <w:bCs/>
                <w:sz w:val="20"/>
                <w:szCs w:val="20"/>
                <w:lang w:val="it-IT"/>
              </w:rPr>
              <w:t xml:space="preserve">in COL1A1/PDGFB </w:t>
            </w:r>
            <w:r>
              <w:rPr>
                <w:b/>
                <w:bCs/>
                <w:sz w:val="20"/>
                <w:szCs w:val="20"/>
                <w:lang w:val="it-IT"/>
              </w:rPr>
              <w:t>fusion positive tumors</w:t>
            </w:r>
          </w:p>
        </w:tc>
        <w:tc>
          <w:tcPr>
            <w:tcW w:w="201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1F2198F4" w14:textId="2C7769ED" w:rsidR="00F01424" w:rsidRPr="00425236" w:rsidRDefault="00F01424" w:rsidP="00DF27E2">
            <w:pPr>
              <w:spacing w:after="120"/>
              <w:rPr>
                <w:sz w:val="20"/>
                <w:szCs w:val="20"/>
                <w:lang w:val="it-IT"/>
              </w:rPr>
            </w:pPr>
            <w:r w:rsidRPr="00425236">
              <w:rPr>
                <w:bCs/>
                <w:sz w:val="20"/>
                <w:szCs w:val="20"/>
                <w:lang w:val="it-IT"/>
              </w:rPr>
              <w:t>Dermatofibrosarcoma protuberans</w:t>
            </w:r>
          </w:p>
        </w:tc>
        <w:tc>
          <w:tcPr>
            <w:tcW w:w="28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66F57885" w14:textId="2B9C3E37" w:rsidR="00F01424" w:rsidRPr="009E65AA" w:rsidRDefault="00F01424" w:rsidP="00DF27E2">
            <w:pPr>
              <w:spacing w:after="120"/>
              <w:rPr>
                <w:sz w:val="20"/>
                <w:szCs w:val="20"/>
                <w:lang w:val="it-IT"/>
              </w:rPr>
            </w:pPr>
            <w:r>
              <w:rPr>
                <w:sz w:val="20"/>
                <w:szCs w:val="20"/>
                <w:lang w:val="it-IT"/>
              </w:rPr>
              <w:t>Imatinib: 92/148 (62%)</w:t>
            </w:r>
          </w:p>
        </w:tc>
        <w:tc>
          <w:tcPr>
            <w:tcW w:w="141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721D62C6" w14:textId="1E793768" w:rsidR="00F01424" w:rsidRPr="009E65AA" w:rsidRDefault="00DA4160" w:rsidP="00DF27E2">
            <w:pPr>
              <w:spacing w:after="120"/>
              <w:rPr>
                <w:sz w:val="20"/>
                <w:szCs w:val="20"/>
                <w:lang w:val="it-IT"/>
              </w:rPr>
            </w:pPr>
            <w:r>
              <w:rPr>
                <w:sz w:val="20"/>
                <w:szCs w:val="20"/>
                <w:lang w:val="it-IT"/>
              </w:rPr>
              <w:t>1 patient</w:t>
            </w:r>
          </w:p>
        </w:tc>
        <w:tc>
          <w:tcPr>
            <w:tcW w:w="15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6C634BAD" w14:textId="6F2651DD" w:rsidR="00F01424" w:rsidRPr="009E65AA" w:rsidRDefault="00DA4160" w:rsidP="00DF27E2">
            <w:pPr>
              <w:spacing w:after="120"/>
              <w:rPr>
                <w:sz w:val="20"/>
                <w:szCs w:val="20"/>
                <w:lang w:val="it-IT"/>
              </w:rPr>
            </w:pPr>
            <w:r>
              <w:rPr>
                <w:sz w:val="20"/>
                <w:szCs w:val="20"/>
                <w:lang w:val="it-IT"/>
              </w:rPr>
              <w:t>1/1 patient</w:t>
            </w:r>
          </w:p>
        </w:tc>
      </w:tr>
      <w:tr w:rsidR="00F37DC6" w:rsidRPr="00E00F28" w14:paraId="20F0655E" w14:textId="77777777" w:rsidTr="00DF27E2">
        <w:trPr>
          <w:trHeight w:val="66"/>
        </w:trPr>
        <w:tc>
          <w:tcPr>
            <w:tcW w:w="1969"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tcPr>
          <w:p w14:paraId="062B62AF" w14:textId="45FBB569" w:rsidR="00F37DC6" w:rsidRPr="00E00F28" w:rsidRDefault="00F37DC6" w:rsidP="00DF27E2">
            <w:pPr>
              <w:spacing w:after="120"/>
              <w:rPr>
                <w:b/>
                <w:bCs/>
                <w:sz w:val="20"/>
                <w:szCs w:val="20"/>
                <w:lang w:val="en-US"/>
              </w:rPr>
            </w:pPr>
            <w:r>
              <w:rPr>
                <w:b/>
                <w:bCs/>
                <w:sz w:val="20"/>
                <w:szCs w:val="20"/>
                <w:lang w:val="en-US"/>
              </w:rPr>
              <w:t>IDH1 inhibitors in IDH1mut tumors</w:t>
            </w:r>
          </w:p>
        </w:tc>
        <w:tc>
          <w:tcPr>
            <w:tcW w:w="201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49758028" w14:textId="714D099A" w:rsidR="00F37DC6" w:rsidRPr="00E00F28" w:rsidRDefault="00F37DC6" w:rsidP="00DF27E2">
            <w:pPr>
              <w:spacing w:after="120"/>
              <w:rPr>
                <w:sz w:val="20"/>
                <w:szCs w:val="20"/>
                <w:lang w:val="en-US"/>
              </w:rPr>
            </w:pPr>
            <w:r>
              <w:rPr>
                <w:sz w:val="20"/>
                <w:szCs w:val="20"/>
                <w:lang w:val="en-US"/>
              </w:rPr>
              <w:t>Acute myeloid leukemia</w:t>
            </w:r>
          </w:p>
        </w:tc>
        <w:tc>
          <w:tcPr>
            <w:tcW w:w="28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3BC25B4B" w14:textId="4E6C8E40" w:rsidR="00F37DC6" w:rsidRDefault="00F37DC6" w:rsidP="00DF27E2">
            <w:pPr>
              <w:spacing w:after="120"/>
              <w:rPr>
                <w:sz w:val="20"/>
                <w:szCs w:val="20"/>
              </w:rPr>
            </w:pPr>
            <w:proofErr w:type="spellStart"/>
            <w:r>
              <w:rPr>
                <w:sz w:val="20"/>
                <w:szCs w:val="20"/>
              </w:rPr>
              <w:t>Ivosiden</w:t>
            </w:r>
            <w:r w:rsidR="00A4779C">
              <w:rPr>
                <w:sz w:val="20"/>
                <w:szCs w:val="20"/>
              </w:rPr>
              <w:t>ib</w:t>
            </w:r>
            <w:proofErr w:type="spellEnd"/>
            <w:r w:rsidR="00A4779C">
              <w:rPr>
                <w:sz w:val="20"/>
                <w:szCs w:val="20"/>
              </w:rPr>
              <w:t>: 42</w:t>
            </w:r>
            <w:r w:rsidR="00204357">
              <w:rPr>
                <w:sz w:val="20"/>
                <w:szCs w:val="20"/>
              </w:rPr>
              <w:t>%</w:t>
            </w:r>
            <w:r w:rsidR="0085189B">
              <w:rPr>
                <w:sz w:val="20"/>
                <w:szCs w:val="20"/>
              </w:rPr>
              <w:t xml:space="preserve"> </w:t>
            </w:r>
            <w:r w:rsidR="0085189B">
              <w:rPr>
                <w:sz w:val="20"/>
                <w:szCs w:val="20"/>
              </w:rPr>
              <w:fldChar w:fldCharType="begin"/>
            </w:r>
            <w:r w:rsidR="0085189B">
              <w:rPr>
                <w:sz w:val="20"/>
                <w:szCs w:val="20"/>
              </w:rPr>
              <w:instrText xml:space="preserve"> ADDIN ZOTERO_ITEM CSL_CITATION {"citationID":"Zey2lwaD","properties":{"formattedCitation":"(12)","plainCitation":"(12)","noteIndex":0},"citationItems":[{"id":762,"uris":["http://zotero.org/users/5068140/items/2QEA4ZM6"],"uri":["http://zotero.org/users/5068140/items/2QEA4ZM6"],"itemData":{"id":762,"type":"article-journal","abstract":"BACKGROUND The authors’ full names, academic degrees, Mutations in the gene encoding isocitrate dehydrogenase 1 (IDH1) occur in 6 to and affiliations are listed in the Appen- 10% of patients with acute myeloid leukemia (AML). Ivosidenib (AG-120) is an oral, dix. Address reprint requests to Dr. DiNardo at the University of Texas M.D. targeted, small-molecule inhibitor of mutant IDH1. Anderson Cancer Center, Department of Leukemia, 1515 Holcombe Blvd., Unit\nMETHODS 0428, Houston, TX 77030, or at c­ dinardo@ We conducted a phase 1 dose-escalation and dose-expansion study of ivosidenib mono­mdanderson.­org. therapy in IDH1-mutated AML. Safety and efficacy were assessed in all treated patients. Drs. DiNardo, E.M. Stein, and de Botton The primary efficacy population included patients with relapsed or refractory AML and Drs. Stone and Kantarjian contributed receiving 500 mg of ivosidenib daily with at least 6 months of follow-up. equally to this article. This article was published on June 2, 2018, RESULTS at NEJM.org. Overall, 258 patients received ivosidenib and had safety outcomes assessed. Among N Engl J Med 2018;378:2386-98. DOI: 10.1056/NEJMoa1716984 patients with relapsed or refractory AML (179 patients), treatment-related adverse events of grade 3 or higher that occurred in at least 3 patients were prolongation of Copyright © 2018 Massachusetts Medical Society. the QT interval (in 7.8% of the patients), the IDH differentiation syndrome (in 3.9%), anemia (in 2.2%), thrombocytopenia or a decrease in the platelet count (in 3.4%), and leukocytosis (in 1.7%). In the primary efficacy population (125 patients), the rate of complete remission or complete remission with partial hematologic recovery was 30.4% (95% confidence interval [CI], 22.5 to 39.3), the rate of complete remission was 21.6% (95% CI, 14.7 to 29.8), and the overall response rate was 41.6% (95% CI, 32.9 to 50.8). The median durations of these responses were 8.2 months (95% CI, 5.5 to 12.0), 9.3 months (95% CI, 5.6 to 18.3), and 6.5 months (95% CI, 4.6 to 9.3), respectively. Transfusion independence was attained in 29 of 84 patients (35%), and patients who had a response had fewer infections and febrile neutropenia episodes than those who did not have a response. Among 34 patients who had a complete remission or complete remission with partial hematologic recovery, 7 (21%) had no residual detectable IDH1 mutations on digital polymerase-chain-reaction assay. No preexisting cooccurring single gene mutation predicted clinical response or resistance to treatment.\nCONCLUSIONS In patients with advanced IDH1-mutated relapsed or refractory AML, ivosidenib at a dose of 500 mg daily was associated with a low frequency of grade 3 or higher treatment-related adverse events and with transfusion independence, durable remissions, and molecular remissions in some patients with complete remission. (Funded by Agios Pharmaceuticals; ClinicalTrials.gov number, NCT02074839.)","container-title":"New England Journal of Medicine","DOI":"10.1056/NEJMoa1716984","ISSN":"0028-4793, 1533-4406","issue":"25","language":"en","page":"2386-2398","source":"Crossref","title":"Durable Remissions with Ivosidenib in &lt;i&gt;IDH1&lt;/i&gt; -Mutated Relapsed or Refractory AML","volume":"378","author":[{"family":"DiNardo","given":"Courtney D."},{"family":"Stein","given":"Eytan M."},{"family":"Botton","given":"Stéphane","non-dropping-particle":"de"},{"family":"Roboz","given":"Gail J."},{"family":"Altman","given":"Jessica K."},{"family":"Mims","given":"Alice S."},{"family":"Swords","given":"Ronan"},{"family":"Collins","given":"Robert H."},{"family":"Mannis","given":"Gabriel N."},{"family":"Pollyea","given":"Daniel A."},{"family":"Donnellan","given":"Will"},{"family":"Fathi","given":"Amir T."},{"family":"Pigneux","given":"Arnaud"},{"family":"Erba","given":"Harry P."},{"family":"Prince","given":"Gabrielle T."},{"family":"Stein","given":"Anthony S."},{"family":"Uy","given":"Geoffrey L."},{"family":"Foran","given":"James M."},{"family":"Traer","given":"Elie"},{"family":"Stuart","given":"Robert K."},{"family":"Arellano","given":"Martha L."},{"family":"Slack","given":"James L."},{"family":"Sekeres","given":"Mikkael A."},{"family":"Willekens","given":"Christophe"},{"family":"Choe","given":"Sung"},{"family":"Wang","given":"Hongfang"},{"family":"Zhang","given":"Vickie"},{"family":"Yen","given":"Katharine E."},{"family":"Kapsalis","given":"Stephanie M."},{"family":"Yang","given":"Hua"},{"family":"Dai","given":"David"},{"family":"Fan","given":"Bin"},{"family":"Goldwasser","given":"Meredith"},{"family":"Liu","given":"Hua"},{"family":"Agresta","given":"Sam"},{"family":"Wu","given":"Bin"},{"family":"Attar","given":"Eyal C."},{"family":"Tallman","given":"Martin S."},{"family":"Stone","given":"Richard M."},{"family":"Kantarjian","given":"Hagop M."}],"issued":{"date-parts":[["2018",6,21]]}}}],"schema":"https://github.com/citation-style-language/schema/raw/master/csl-citation.json"} </w:instrText>
            </w:r>
            <w:r w:rsidR="0085189B">
              <w:rPr>
                <w:sz w:val="20"/>
                <w:szCs w:val="20"/>
              </w:rPr>
              <w:fldChar w:fldCharType="separate"/>
            </w:r>
            <w:r w:rsidR="0085189B" w:rsidRPr="0085189B">
              <w:rPr>
                <w:rFonts w:ascii="Calibri" w:hAnsi="Calibri" w:cs="Calibri"/>
                <w:sz w:val="20"/>
              </w:rPr>
              <w:t>(12)</w:t>
            </w:r>
            <w:r w:rsidR="0085189B">
              <w:rPr>
                <w:sz w:val="20"/>
                <w:szCs w:val="20"/>
              </w:rPr>
              <w:fldChar w:fldCharType="end"/>
            </w:r>
          </w:p>
        </w:tc>
        <w:tc>
          <w:tcPr>
            <w:tcW w:w="141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2A352124" w14:textId="0295756F" w:rsidR="00F37DC6" w:rsidRDefault="00F37DC6" w:rsidP="00DF27E2">
            <w:pPr>
              <w:spacing w:after="120"/>
              <w:rPr>
                <w:sz w:val="20"/>
                <w:szCs w:val="20"/>
              </w:rPr>
            </w:pPr>
            <w:r>
              <w:rPr>
                <w:sz w:val="20"/>
                <w:szCs w:val="20"/>
              </w:rPr>
              <w:t xml:space="preserve">1 patient </w:t>
            </w:r>
          </w:p>
        </w:tc>
        <w:tc>
          <w:tcPr>
            <w:tcW w:w="153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53453433" w14:textId="2C1F7BC1" w:rsidR="00F37DC6" w:rsidRDefault="00F37DC6" w:rsidP="00DF27E2">
            <w:pPr>
              <w:spacing w:after="120"/>
              <w:rPr>
                <w:sz w:val="20"/>
                <w:szCs w:val="20"/>
              </w:rPr>
            </w:pPr>
            <w:r>
              <w:rPr>
                <w:sz w:val="20"/>
                <w:szCs w:val="20"/>
              </w:rPr>
              <w:t>1/1 patient</w:t>
            </w:r>
          </w:p>
        </w:tc>
      </w:tr>
    </w:tbl>
    <w:p w14:paraId="4FA668DB" w14:textId="023D7698" w:rsidR="00A23C51" w:rsidRPr="00F0538D" w:rsidRDefault="00DF27E2" w:rsidP="00DF27E2">
      <w:pPr>
        <w:pStyle w:val="Bibliographie"/>
        <w:ind w:left="0" w:firstLine="0"/>
      </w:pPr>
      <w:r w:rsidRPr="00F0538D">
        <w:rPr>
          <w:b/>
        </w:rPr>
        <w:t>Supplementary Table 3:</w:t>
      </w:r>
      <w:r w:rsidRPr="00F0538D">
        <w:t xml:space="preserve"> Patients with genomic alterations considered as “ready for use” (with reported ORR &gt; </w:t>
      </w:r>
      <w:proofErr w:type="gramStart"/>
      <w:r w:rsidRPr="00F0538D">
        <w:t>30%</w:t>
      </w:r>
      <w:proofErr w:type="gramEnd"/>
      <w:r w:rsidRPr="00F0538D">
        <w:t>) in children/adolescents</w:t>
      </w:r>
      <w:r w:rsidRPr="00A23C51">
        <w:t xml:space="preserve"> with relapse/refractory malignancies</w:t>
      </w:r>
      <w:r>
        <w:t>.</w:t>
      </w:r>
      <w:r>
        <w:t xml:space="preserve"> </w:t>
      </w:r>
      <w:r w:rsidR="00B175F5" w:rsidRPr="00F0538D">
        <w:t xml:space="preserve">ALCL: anaplastic large-cell lymphoma, IMT: inflammatory </w:t>
      </w:r>
      <w:proofErr w:type="spellStart"/>
      <w:r w:rsidR="00B175F5" w:rsidRPr="00F0538D">
        <w:t>myofibroblastic</w:t>
      </w:r>
      <w:proofErr w:type="spellEnd"/>
      <w:r w:rsidR="00B175F5" w:rsidRPr="00F0538D">
        <w:t xml:space="preserve"> </w:t>
      </w:r>
      <w:proofErr w:type="spellStart"/>
      <w:r w:rsidR="00B175F5" w:rsidRPr="00F0538D">
        <w:t>tumor</w:t>
      </w:r>
      <w:proofErr w:type="spellEnd"/>
      <w:r w:rsidR="00B175F5" w:rsidRPr="00F0538D">
        <w:t>, LGG: low-grade glioma, HGG: high-grade glioma</w:t>
      </w:r>
      <w:r w:rsidR="009E65AA" w:rsidRPr="00F0538D">
        <w:t>)</w:t>
      </w:r>
      <w:r w:rsidR="00B175F5" w:rsidRPr="00F0538D">
        <w:t xml:space="preserve">. </w:t>
      </w:r>
    </w:p>
    <w:p w14:paraId="5D89B642" w14:textId="77777777" w:rsidR="0085189B" w:rsidRPr="009E65AA" w:rsidRDefault="00DC29C3" w:rsidP="0085189B">
      <w:pPr>
        <w:pStyle w:val="Bibliographie"/>
        <w:rPr>
          <w:rFonts w:ascii="Calibri" w:hAnsi="Calibri" w:cs="Calibri"/>
          <w:sz w:val="20"/>
        </w:rPr>
      </w:pPr>
      <w:r w:rsidRPr="009E65AA">
        <w:rPr>
          <w:sz w:val="20"/>
        </w:rPr>
        <w:lastRenderedPageBreak/>
        <w:fldChar w:fldCharType="begin"/>
      </w:r>
      <w:r w:rsidRPr="009E65AA">
        <w:rPr>
          <w:sz w:val="20"/>
        </w:rPr>
        <w:instrText xml:space="preserve"> ADDIN ZOTERO_BIBL {"uncited":[],"omitted":[],"custom":[]} CSL_BIBLIOGRAPHY </w:instrText>
      </w:r>
      <w:r w:rsidRPr="009E65AA">
        <w:rPr>
          <w:sz w:val="20"/>
        </w:rPr>
        <w:fldChar w:fldCharType="separate"/>
      </w:r>
      <w:r w:rsidR="0085189B" w:rsidRPr="009E65AA">
        <w:rPr>
          <w:rFonts w:ascii="Calibri" w:hAnsi="Calibri" w:cs="Calibri"/>
          <w:sz w:val="20"/>
        </w:rPr>
        <w:t xml:space="preserve">1. </w:t>
      </w:r>
      <w:r w:rsidR="0085189B" w:rsidRPr="009E65AA">
        <w:rPr>
          <w:rFonts w:ascii="Calibri" w:hAnsi="Calibri" w:cs="Calibri"/>
          <w:sz w:val="20"/>
        </w:rPr>
        <w:tab/>
        <w:t xml:space="preserve">Mossé YP, Voss SD, Lim MS, Rolland D, Minard CG, Fox E, et al. Targeting ALK With Crizotinib in Pediatric Anaplastic Large Cell Lymphoma and Inflammatory Myofibroblastic Tumor: A Children’s Oncology Group Study. J Clin Oncol. octubre de 2017;35(28):3215-21. </w:t>
      </w:r>
    </w:p>
    <w:p w14:paraId="0721DDC4" w14:textId="77777777" w:rsidR="0085189B" w:rsidRPr="009E65AA" w:rsidRDefault="0085189B" w:rsidP="0085189B">
      <w:pPr>
        <w:pStyle w:val="Bibliographie"/>
        <w:rPr>
          <w:rFonts w:ascii="Calibri" w:hAnsi="Calibri" w:cs="Calibri"/>
          <w:sz w:val="20"/>
        </w:rPr>
      </w:pPr>
      <w:r w:rsidRPr="009E65AA">
        <w:rPr>
          <w:rFonts w:ascii="Calibri" w:hAnsi="Calibri" w:cs="Calibri"/>
          <w:sz w:val="20"/>
        </w:rPr>
        <w:t xml:space="preserve">2. </w:t>
      </w:r>
      <w:r w:rsidRPr="009E65AA">
        <w:rPr>
          <w:rFonts w:ascii="Calibri" w:hAnsi="Calibri" w:cs="Calibri"/>
          <w:sz w:val="20"/>
        </w:rPr>
        <w:tab/>
        <w:t xml:space="preserve">Schulte JH, Moreno L, Ziegler DS, Marshall LV, Zwaan CM, Irwin M, et al. Final analysis of phase I study of ceritinib in pediatric patients with malignancies harboring activated anaplastic lymphoma kinase (ALK). J Clin Oncol. 20 de mayo de 2020;38(15_suppl):10505-10505. </w:t>
      </w:r>
    </w:p>
    <w:p w14:paraId="39456F3C" w14:textId="77777777" w:rsidR="0085189B" w:rsidRPr="009E65AA" w:rsidRDefault="0085189B" w:rsidP="0085189B">
      <w:pPr>
        <w:pStyle w:val="Bibliographie"/>
        <w:rPr>
          <w:rFonts w:ascii="Calibri" w:hAnsi="Calibri" w:cs="Calibri"/>
          <w:sz w:val="20"/>
        </w:rPr>
      </w:pPr>
      <w:r w:rsidRPr="009E65AA">
        <w:rPr>
          <w:rFonts w:ascii="Calibri" w:hAnsi="Calibri" w:cs="Calibri"/>
          <w:sz w:val="20"/>
        </w:rPr>
        <w:t xml:space="preserve">3. </w:t>
      </w:r>
      <w:r w:rsidRPr="009E65AA">
        <w:rPr>
          <w:rFonts w:ascii="Calibri" w:hAnsi="Calibri" w:cs="Calibri"/>
          <w:sz w:val="20"/>
        </w:rPr>
        <w:tab/>
        <w:t xml:space="preserve">Hargrave DR, Bouffet E, Tabori U, Broniscer A, Cohen KJ, Hansford JR, et al. Efficacy and Safety of Dabrafenib in Pediatric Patients with </w:t>
      </w:r>
      <w:r w:rsidRPr="009E65AA">
        <w:rPr>
          <w:rFonts w:ascii="Calibri" w:hAnsi="Calibri" w:cs="Calibri"/>
          <w:i/>
          <w:iCs/>
          <w:sz w:val="20"/>
        </w:rPr>
        <w:t>BRAF</w:t>
      </w:r>
      <w:r w:rsidRPr="009E65AA">
        <w:rPr>
          <w:rFonts w:ascii="Calibri" w:hAnsi="Calibri" w:cs="Calibri"/>
          <w:sz w:val="20"/>
        </w:rPr>
        <w:t xml:space="preserve"> V600 Mutation–Positive Relapsed or Refractory Low-Grade Glioma: Results from a Phase I/IIa Study. Clin Cancer Res. 15 de diciembre de 2019;25(24):7303-11. </w:t>
      </w:r>
    </w:p>
    <w:p w14:paraId="37C93221" w14:textId="77777777" w:rsidR="0085189B" w:rsidRPr="009E65AA" w:rsidRDefault="0085189B" w:rsidP="0085189B">
      <w:pPr>
        <w:pStyle w:val="Bibliographie"/>
        <w:rPr>
          <w:rFonts w:ascii="Calibri" w:hAnsi="Calibri" w:cs="Calibri"/>
          <w:sz w:val="20"/>
        </w:rPr>
      </w:pPr>
      <w:r w:rsidRPr="009E65AA">
        <w:rPr>
          <w:rFonts w:ascii="Calibri" w:hAnsi="Calibri" w:cs="Calibri"/>
          <w:sz w:val="20"/>
        </w:rPr>
        <w:t xml:space="preserve">4. </w:t>
      </w:r>
      <w:r w:rsidRPr="009E65AA">
        <w:rPr>
          <w:rFonts w:ascii="Calibri" w:hAnsi="Calibri" w:cs="Calibri"/>
          <w:sz w:val="20"/>
        </w:rPr>
        <w:tab/>
        <w:t xml:space="preserve">Hargrave DR, Moreno L, Broniscer A, Bouffet E, Aerts I, Andre N, et al. Dabrafenib in pediatric patients with BRAF V600–positive high-grade glioma (HGG). J Clin Oncol. 2018;36(15_suppl):10505-10505. </w:t>
      </w:r>
    </w:p>
    <w:p w14:paraId="3C94F3F4" w14:textId="77777777" w:rsidR="0085189B" w:rsidRPr="009E65AA" w:rsidRDefault="0085189B" w:rsidP="0085189B">
      <w:pPr>
        <w:pStyle w:val="Bibliographie"/>
        <w:rPr>
          <w:rFonts w:ascii="Calibri" w:hAnsi="Calibri" w:cs="Calibri"/>
          <w:sz w:val="20"/>
        </w:rPr>
      </w:pPr>
      <w:r w:rsidRPr="009E65AA">
        <w:rPr>
          <w:rFonts w:ascii="Calibri" w:hAnsi="Calibri" w:cs="Calibri"/>
          <w:sz w:val="20"/>
        </w:rPr>
        <w:t xml:space="preserve">5. </w:t>
      </w:r>
      <w:r w:rsidRPr="009E65AA">
        <w:rPr>
          <w:rFonts w:ascii="Calibri" w:hAnsi="Calibri" w:cs="Calibri"/>
          <w:sz w:val="20"/>
        </w:rPr>
        <w:tab/>
        <w:t xml:space="preserve">Fangusaro J, Onar-Thomas A, Young Poussaint T, Wu S, Ligon AH, Lindeman N, et al. Selumetinib in paediatric patients with BRAF-aberrant or neurofibromatosis type 1-associated recurrent, refractory, or progressive low-grade glioma: a multicentre, phase 2 trial. Lancet Oncol. julio de 2019;20(7):1011-22. </w:t>
      </w:r>
    </w:p>
    <w:p w14:paraId="395FBAEC" w14:textId="77777777" w:rsidR="0085189B" w:rsidRPr="00657209" w:rsidRDefault="0085189B" w:rsidP="0085189B">
      <w:pPr>
        <w:pStyle w:val="Bibliographie"/>
        <w:rPr>
          <w:rFonts w:ascii="Calibri" w:hAnsi="Calibri" w:cs="Calibri"/>
          <w:sz w:val="20"/>
        </w:rPr>
      </w:pPr>
      <w:r w:rsidRPr="009E65AA">
        <w:rPr>
          <w:rFonts w:ascii="Calibri" w:hAnsi="Calibri" w:cs="Calibri"/>
          <w:sz w:val="20"/>
        </w:rPr>
        <w:t xml:space="preserve">6. </w:t>
      </w:r>
      <w:r w:rsidRPr="009E65AA">
        <w:rPr>
          <w:rFonts w:ascii="Calibri" w:hAnsi="Calibri" w:cs="Calibri"/>
          <w:sz w:val="20"/>
        </w:rPr>
        <w:tab/>
        <w:t xml:space="preserve">Hong DS, DuBois SG, Kummar S, Farago AF, Albert CM, Rohrberg KS, et al. Larotrectinib in patients with TRK fusion-positive solid tumours: a pooled analysis of three phase 1/2 clinical trials. </w:t>
      </w:r>
      <w:r w:rsidRPr="00657209">
        <w:rPr>
          <w:rFonts w:ascii="Calibri" w:hAnsi="Calibri" w:cs="Calibri"/>
          <w:sz w:val="20"/>
        </w:rPr>
        <w:t xml:space="preserve">Lancet Oncol. abril de 2020;21(4):531-40. </w:t>
      </w:r>
    </w:p>
    <w:p w14:paraId="2892BD10" w14:textId="77777777" w:rsidR="0085189B" w:rsidRPr="009E65AA" w:rsidRDefault="0085189B" w:rsidP="0085189B">
      <w:pPr>
        <w:pStyle w:val="Bibliographie"/>
        <w:rPr>
          <w:rFonts w:ascii="Calibri" w:hAnsi="Calibri" w:cs="Calibri"/>
          <w:sz w:val="20"/>
        </w:rPr>
      </w:pPr>
      <w:r w:rsidRPr="00657209">
        <w:rPr>
          <w:rFonts w:ascii="Calibri" w:hAnsi="Calibri" w:cs="Calibri"/>
          <w:sz w:val="20"/>
        </w:rPr>
        <w:t xml:space="preserve">7. </w:t>
      </w:r>
      <w:r w:rsidRPr="00657209">
        <w:rPr>
          <w:rFonts w:ascii="Calibri" w:hAnsi="Calibri" w:cs="Calibri"/>
          <w:sz w:val="20"/>
        </w:rPr>
        <w:tab/>
        <w:t xml:space="preserve">Robinson GW, Gajjar AJ, Gauvain KM, Basu EM, Macy ME, Maese LD, et al. </w:t>
      </w:r>
      <w:r w:rsidRPr="009E65AA">
        <w:rPr>
          <w:rFonts w:ascii="Calibri" w:hAnsi="Calibri" w:cs="Calibri"/>
          <w:sz w:val="20"/>
        </w:rPr>
        <w:t xml:space="preserve">Phase 1/1B trial to assess the activity of entrectinib in children and adolescents with recurrent or refractory solid tumors including central nervous system (CNS) tumors. J Clin Oncol. 2019;37(15_suppl):10009-10009. </w:t>
      </w:r>
    </w:p>
    <w:p w14:paraId="206BD3AD" w14:textId="77777777" w:rsidR="0085189B" w:rsidRPr="009E65AA" w:rsidRDefault="0085189B" w:rsidP="0085189B">
      <w:pPr>
        <w:pStyle w:val="Bibliographie"/>
        <w:rPr>
          <w:rFonts w:ascii="Calibri" w:hAnsi="Calibri" w:cs="Calibri"/>
          <w:sz w:val="20"/>
        </w:rPr>
      </w:pPr>
      <w:r w:rsidRPr="009E65AA">
        <w:rPr>
          <w:rFonts w:ascii="Calibri" w:hAnsi="Calibri" w:cs="Calibri"/>
          <w:sz w:val="20"/>
        </w:rPr>
        <w:t xml:space="preserve">8. </w:t>
      </w:r>
      <w:r w:rsidRPr="009E65AA">
        <w:rPr>
          <w:rFonts w:ascii="Calibri" w:hAnsi="Calibri" w:cs="Calibri"/>
          <w:sz w:val="20"/>
        </w:rPr>
        <w:tab/>
        <w:t xml:space="preserve">Drilon AE, DuBois SG, Farago AF, Geoerger B, Grilley-Olson JE, Hong DS, et al. Activity of larotrectinib in TRK fusion cancer patients with brain metastases or primary central nervous system tumors. J Clin Oncol. 2019;37(15_suppl):2006-2006. </w:t>
      </w:r>
    </w:p>
    <w:p w14:paraId="63A4448D" w14:textId="77777777" w:rsidR="0085189B" w:rsidRPr="00657209" w:rsidRDefault="0085189B" w:rsidP="0085189B">
      <w:pPr>
        <w:pStyle w:val="Bibliographie"/>
        <w:rPr>
          <w:rFonts w:ascii="Calibri" w:hAnsi="Calibri" w:cs="Calibri"/>
          <w:sz w:val="20"/>
        </w:rPr>
      </w:pPr>
      <w:r w:rsidRPr="009E65AA">
        <w:rPr>
          <w:rFonts w:ascii="Calibri" w:hAnsi="Calibri" w:cs="Calibri"/>
          <w:sz w:val="20"/>
        </w:rPr>
        <w:t xml:space="preserve">9. </w:t>
      </w:r>
      <w:r w:rsidRPr="009E65AA">
        <w:rPr>
          <w:rFonts w:ascii="Calibri" w:hAnsi="Calibri" w:cs="Calibri"/>
          <w:sz w:val="20"/>
        </w:rPr>
        <w:tab/>
        <w:t xml:space="preserve">Ortiz MV, Gerdemann U, Raju SG, Henry D, Smith S, Rothenberg SM, et al. Activity of the Highly Specific RET Inhibitor Selpercatinib (LOXO-292) in Pediatric Patients With Tumors Harboring </w:t>
      </w:r>
      <w:r w:rsidRPr="009E65AA">
        <w:rPr>
          <w:rFonts w:ascii="Calibri" w:hAnsi="Calibri" w:cs="Calibri"/>
          <w:i/>
          <w:iCs/>
          <w:sz w:val="20"/>
        </w:rPr>
        <w:t>RET</w:t>
      </w:r>
      <w:r w:rsidRPr="009E65AA">
        <w:rPr>
          <w:rFonts w:ascii="Calibri" w:hAnsi="Calibri" w:cs="Calibri"/>
          <w:sz w:val="20"/>
        </w:rPr>
        <w:t xml:space="preserve"> Gene Alterations. </w:t>
      </w:r>
      <w:r w:rsidRPr="00657209">
        <w:rPr>
          <w:rFonts w:ascii="Calibri" w:hAnsi="Calibri" w:cs="Calibri"/>
          <w:sz w:val="20"/>
        </w:rPr>
        <w:t xml:space="preserve">JCO Precis Oncol. septiembre de 2020;(4):341-7. </w:t>
      </w:r>
    </w:p>
    <w:p w14:paraId="2FE6B19C" w14:textId="77777777" w:rsidR="0085189B" w:rsidRPr="009E65AA" w:rsidRDefault="0085189B" w:rsidP="0085189B">
      <w:pPr>
        <w:pStyle w:val="Bibliographie"/>
        <w:rPr>
          <w:rFonts w:ascii="Calibri" w:hAnsi="Calibri" w:cs="Calibri"/>
          <w:sz w:val="20"/>
          <w:lang w:val="fr-FR"/>
        </w:rPr>
      </w:pPr>
      <w:r w:rsidRPr="00657209">
        <w:rPr>
          <w:rFonts w:ascii="Calibri" w:hAnsi="Calibri" w:cs="Calibri"/>
          <w:sz w:val="20"/>
        </w:rPr>
        <w:t xml:space="preserve">10. </w:t>
      </w:r>
      <w:r w:rsidRPr="00657209">
        <w:rPr>
          <w:rFonts w:ascii="Calibri" w:hAnsi="Calibri" w:cs="Calibri"/>
          <w:sz w:val="20"/>
        </w:rPr>
        <w:tab/>
        <w:t xml:space="preserve">Kieran MW, Chisholm J, Casanova M, Brandes AA, Aerts I, Bouffet E, et al. </w:t>
      </w:r>
      <w:r w:rsidRPr="009E65AA">
        <w:rPr>
          <w:rFonts w:ascii="Calibri" w:hAnsi="Calibri" w:cs="Calibri"/>
          <w:sz w:val="20"/>
        </w:rPr>
        <w:t xml:space="preserve">Phase I study of oral sonidegib (LDE225) in pediatric brain and solid tumors and a phase II study in children and adults with relapsed medulloblastoma. </w:t>
      </w:r>
      <w:r w:rsidRPr="009E65AA">
        <w:rPr>
          <w:rFonts w:ascii="Calibri" w:hAnsi="Calibri" w:cs="Calibri"/>
          <w:sz w:val="20"/>
          <w:lang w:val="fr-FR"/>
        </w:rPr>
        <w:t xml:space="preserve">Neuro-Oncol. 19 de octubre de 2017;19(11):1542-52. </w:t>
      </w:r>
    </w:p>
    <w:p w14:paraId="40388616" w14:textId="77777777" w:rsidR="0085189B" w:rsidRPr="009E65AA" w:rsidRDefault="0085189B" w:rsidP="0085189B">
      <w:pPr>
        <w:pStyle w:val="Bibliographie"/>
        <w:rPr>
          <w:rFonts w:ascii="Calibri" w:hAnsi="Calibri" w:cs="Calibri"/>
          <w:sz w:val="20"/>
        </w:rPr>
      </w:pPr>
      <w:r w:rsidRPr="009E65AA">
        <w:rPr>
          <w:rFonts w:ascii="Calibri" w:hAnsi="Calibri" w:cs="Calibri"/>
          <w:sz w:val="20"/>
          <w:lang w:val="fr-FR"/>
        </w:rPr>
        <w:t>11. .</w:t>
      </w:r>
      <w:r w:rsidRPr="009E65AA">
        <w:rPr>
          <w:rFonts w:ascii="Calibri" w:hAnsi="Calibri" w:cs="Calibri"/>
          <w:sz w:val="20"/>
          <w:lang w:val="fr-FR"/>
        </w:rPr>
        <w:tab/>
        <w:t xml:space="preserve"> Vassal G, Faivre L, Geoerger B, Plantaz D, Auvrignon A, Coze C, et al. </w:t>
      </w:r>
      <w:r w:rsidRPr="009E65AA">
        <w:rPr>
          <w:rFonts w:ascii="Calibri" w:hAnsi="Calibri" w:cs="Calibri"/>
          <w:sz w:val="20"/>
        </w:rPr>
        <w:t xml:space="preserve">Crizotinib in children and adolescents with advanced ROS1, MET, or ALK-rearranged cancer: Results of the AcSé phase II trial. J Clin Oncol 2016 3415suppl 11509-11509. </w:t>
      </w:r>
    </w:p>
    <w:p w14:paraId="018ED9ED" w14:textId="77777777" w:rsidR="009E65AA" w:rsidRPr="00657209" w:rsidRDefault="0085189B" w:rsidP="009E65AA">
      <w:pPr>
        <w:pStyle w:val="Bibliographie"/>
        <w:rPr>
          <w:rFonts w:ascii="Calibri" w:hAnsi="Calibri" w:cs="Calibri"/>
          <w:sz w:val="20"/>
          <w:lang w:val="fr-FR"/>
        </w:rPr>
      </w:pPr>
      <w:r w:rsidRPr="009E65AA">
        <w:rPr>
          <w:rFonts w:ascii="Calibri" w:hAnsi="Calibri" w:cs="Calibri"/>
          <w:sz w:val="20"/>
        </w:rPr>
        <w:t xml:space="preserve">12. </w:t>
      </w:r>
      <w:r w:rsidRPr="009E65AA">
        <w:rPr>
          <w:rFonts w:ascii="Calibri" w:hAnsi="Calibri" w:cs="Calibri"/>
          <w:sz w:val="20"/>
        </w:rPr>
        <w:tab/>
        <w:t xml:space="preserve">DiNardo CD, Stein EM, de Botton S, Roboz GJ, Altman JK, Mims AS, et al. Durable Remissions with Ivosidenib in </w:t>
      </w:r>
      <w:r w:rsidRPr="009E65AA">
        <w:rPr>
          <w:rFonts w:ascii="Calibri" w:hAnsi="Calibri" w:cs="Calibri"/>
          <w:i/>
          <w:iCs/>
          <w:sz w:val="20"/>
        </w:rPr>
        <w:t>IDH1</w:t>
      </w:r>
      <w:r w:rsidRPr="009E65AA">
        <w:rPr>
          <w:rFonts w:ascii="Calibri" w:hAnsi="Calibri" w:cs="Calibri"/>
          <w:sz w:val="20"/>
        </w:rPr>
        <w:t xml:space="preserve"> -Mutated Relapsed or Refractory AML. </w:t>
      </w:r>
      <w:r w:rsidRPr="00657209">
        <w:rPr>
          <w:rFonts w:ascii="Calibri" w:hAnsi="Calibri" w:cs="Calibri"/>
          <w:sz w:val="20"/>
          <w:lang w:val="fr-FR"/>
        </w:rPr>
        <w:t xml:space="preserve">N Engl J Med. 21 de junio de 2018;378(25):2386-98. </w:t>
      </w:r>
    </w:p>
    <w:p w14:paraId="67008D33" w14:textId="604B17F6" w:rsidR="00DC29C3" w:rsidRPr="009E65AA" w:rsidRDefault="00DA4160" w:rsidP="009E65AA">
      <w:pPr>
        <w:pStyle w:val="Bibliographie"/>
        <w:rPr>
          <w:rFonts w:ascii="Calibri" w:hAnsi="Calibri" w:cs="Calibri"/>
          <w:sz w:val="20"/>
          <w:lang w:val="fr-FR"/>
        </w:rPr>
      </w:pPr>
      <w:r w:rsidRPr="00F0538D">
        <w:rPr>
          <w:sz w:val="20"/>
          <w:lang w:val="fr-FR"/>
        </w:rPr>
        <w:t xml:space="preserve">13. Navarrete-Dechent C, Mori S, Christopher A Barker C, et al. </w:t>
      </w:r>
      <w:r w:rsidRPr="009E65AA">
        <w:rPr>
          <w:sz w:val="20"/>
          <w:lang w:val="en-US"/>
        </w:rPr>
        <w:t xml:space="preserve">Imatinib Treatment for Locally Advanced or Metastatic Dermatofibrosarcoma Protuberans: A Systematic Review. </w:t>
      </w:r>
      <w:r w:rsidRPr="009E65AA">
        <w:rPr>
          <w:sz w:val="20"/>
          <w:lang w:val="es-ES_tradnl"/>
        </w:rPr>
        <w:t xml:space="preserve">JAMA Dermatol . 2019 Mar 1;155(3):361-369. </w:t>
      </w:r>
      <w:r w:rsidR="00DC29C3" w:rsidRPr="009E65AA">
        <w:rPr>
          <w:sz w:val="20"/>
        </w:rPr>
        <w:fldChar w:fldCharType="end"/>
      </w:r>
    </w:p>
    <w:p w14:paraId="795B4C4B" w14:textId="77777777" w:rsidR="00DF27E2" w:rsidRDefault="00DF27E2" w:rsidP="00747D16">
      <w:pPr>
        <w:rPr>
          <w:b/>
        </w:rPr>
      </w:pPr>
    </w:p>
    <w:p w14:paraId="555CDBFB" w14:textId="5FE899A6" w:rsidR="00DB1BBF" w:rsidRDefault="00DB1BBF" w:rsidP="00747D16">
      <w:pPr>
        <w:rPr>
          <w:b/>
        </w:rPr>
      </w:pPr>
      <w:r w:rsidRPr="00DB1BBF">
        <w:rPr>
          <w:b/>
        </w:rPr>
        <w:lastRenderedPageBreak/>
        <w:t>Supplementary Figures</w:t>
      </w:r>
    </w:p>
    <w:p w14:paraId="6FA5345B" w14:textId="77777777" w:rsidR="000672A2" w:rsidRDefault="000672A2" w:rsidP="000672A2">
      <w:pPr>
        <w:rPr>
          <w:b/>
        </w:rPr>
      </w:pPr>
      <w:r>
        <w:rPr>
          <w:b/>
          <w:noProof/>
          <w:lang w:val="fr-FR" w:eastAsia="fr-FR"/>
        </w:rPr>
        <w:drawing>
          <wp:inline distT="0" distB="0" distL="0" distR="0" wp14:anchorId="5277B973" wp14:editId="56125AE0">
            <wp:extent cx="5400040" cy="4050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I_score-violin.JPG_page-0001.jpg"/>
                    <pic:cNvPicPr/>
                  </pic:nvPicPr>
                  <pic:blipFill>
                    <a:blip r:embed="rId6">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2FD67C9F" w14:textId="3E8AD507" w:rsidR="000672A2" w:rsidRDefault="000672A2" w:rsidP="000672A2">
      <w:r>
        <w:rPr>
          <w:b/>
        </w:rPr>
        <w:t xml:space="preserve">Supplementary Figure 1: </w:t>
      </w:r>
      <w:r w:rsidRPr="00DF27E2">
        <w:t>Microsatellite instability (MSI) score violin.</w:t>
      </w:r>
    </w:p>
    <w:p w14:paraId="6F1B4A14" w14:textId="04F5C79F" w:rsidR="00DF27E2" w:rsidRDefault="00DF27E2" w:rsidP="000672A2"/>
    <w:p w14:paraId="63F7D708" w14:textId="3601378E" w:rsidR="00DF27E2" w:rsidRDefault="00DF27E2" w:rsidP="000672A2"/>
    <w:p w14:paraId="67BD20C5" w14:textId="5D9F0BC4" w:rsidR="00DF27E2" w:rsidRDefault="00DF27E2" w:rsidP="000672A2"/>
    <w:p w14:paraId="3993551D" w14:textId="64351D7D" w:rsidR="00DF27E2" w:rsidRDefault="00DF27E2" w:rsidP="000672A2"/>
    <w:p w14:paraId="64B92A16" w14:textId="2E907A7D" w:rsidR="00DF27E2" w:rsidRDefault="00DF27E2" w:rsidP="000672A2"/>
    <w:p w14:paraId="77B7E7D8" w14:textId="77777777" w:rsidR="00DF27E2" w:rsidRDefault="00DF27E2" w:rsidP="000672A2">
      <w:pPr>
        <w:rPr>
          <w:b/>
        </w:rPr>
      </w:pPr>
    </w:p>
    <w:p w14:paraId="31ABA89D" w14:textId="77777777" w:rsidR="000672A2" w:rsidRDefault="000672A2" w:rsidP="00747D16">
      <w:pPr>
        <w:rPr>
          <w:b/>
        </w:rPr>
      </w:pPr>
    </w:p>
    <w:p w14:paraId="3F863523" w14:textId="78196439" w:rsidR="007F36B1" w:rsidRDefault="000E0206" w:rsidP="00747D16">
      <w:pPr>
        <w:rPr>
          <w:b/>
        </w:rPr>
      </w:pPr>
      <w:r>
        <w:rPr>
          <w:b/>
          <w:noProof/>
          <w:lang w:val="fr-FR" w:eastAsia="fr-FR"/>
        </w:rPr>
        <w:lastRenderedPageBreak/>
        <w:drawing>
          <wp:inline distT="0" distB="0" distL="0" distR="0" wp14:anchorId="659066BA" wp14:editId="5A07CB91">
            <wp:extent cx="5395595" cy="2435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5595" cy="2435225"/>
                    </a:xfrm>
                    <a:prstGeom prst="rect">
                      <a:avLst/>
                    </a:prstGeom>
                    <a:noFill/>
                    <a:ln>
                      <a:noFill/>
                    </a:ln>
                  </pic:spPr>
                </pic:pic>
              </a:graphicData>
            </a:graphic>
          </wp:inline>
        </w:drawing>
      </w:r>
    </w:p>
    <w:p w14:paraId="4EADFF2D" w14:textId="26D98B34" w:rsidR="003F0EB5" w:rsidRDefault="000672A2" w:rsidP="003F0EB5">
      <w:pPr>
        <w:rPr>
          <w:b/>
        </w:rPr>
      </w:pPr>
      <w:r>
        <w:rPr>
          <w:b/>
        </w:rPr>
        <w:t>Supplementary Figure 2</w:t>
      </w:r>
      <w:r w:rsidR="003F0EB5">
        <w:rPr>
          <w:b/>
        </w:rPr>
        <w:t xml:space="preserve">: </w:t>
      </w:r>
      <w:proofErr w:type="spellStart"/>
      <w:r w:rsidR="003F0EB5">
        <w:t>cfDNA</w:t>
      </w:r>
      <w:proofErr w:type="spellEnd"/>
      <w:r w:rsidR="003F0EB5">
        <w:t xml:space="preserve"> (circulating free DNA)</w:t>
      </w:r>
      <w:r w:rsidR="003F0EB5" w:rsidRPr="007F36B1">
        <w:t xml:space="preserve"> ancillary study</w:t>
      </w:r>
      <w:r w:rsidR="003F0EB5">
        <w:t xml:space="preserve"> work</w:t>
      </w:r>
      <w:r w:rsidR="003F0EB5" w:rsidRPr="007F36B1">
        <w:t>flow</w:t>
      </w:r>
      <w:r w:rsidR="003F0EB5">
        <w:t>. WES: whole exome sequencing.</w:t>
      </w:r>
    </w:p>
    <w:p w14:paraId="50281EEF" w14:textId="77777777" w:rsidR="00FD1F6E" w:rsidRDefault="00FD1F6E" w:rsidP="00747D16">
      <w:pPr>
        <w:rPr>
          <w:b/>
        </w:rPr>
      </w:pPr>
    </w:p>
    <w:p w14:paraId="2E37A50C" w14:textId="77777777" w:rsidR="00FD1F6E" w:rsidRDefault="00FD1F6E" w:rsidP="00747D16">
      <w:pPr>
        <w:rPr>
          <w:b/>
        </w:rPr>
      </w:pPr>
    </w:p>
    <w:p w14:paraId="36B9B1B6" w14:textId="22EC3A1F" w:rsidR="00C634FB" w:rsidRDefault="00FD74C6" w:rsidP="00747D16">
      <w:r>
        <w:rPr>
          <w:noProof/>
          <w:lang w:val="fr-FR" w:eastAsia="fr-FR"/>
        </w:rPr>
        <w:drawing>
          <wp:inline distT="0" distB="0" distL="0" distR="0" wp14:anchorId="3EBCD6E3" wp14:editId="6A10D5F0">
            <wp:extent cx="5391150" cy="40576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4057650"/>
                    </a:xfrm>
                    <a:prstGeom prst="rect">
                      <a:avLst/>
                    </a:prstGeom>
                    <a:noFill/>
                    <a:ln>
                      <a:noFill/>
                    </a:ln>
                  </pic:spPr>
                </pic:pic>
              </a:graphicData>
            </a:graphic>
          </wp:inline>
        </w:drawing>
      </w:r>
    </w:p>
    <w:p w14:paraId="36B86545" w14:textId="525F5AC3" w:rsidR="00FD74C6" w:rsidRPr="00DB1BBF" w:rsidRDefault="000672A2" w:rsidP="00FD74C6">
      <w:pPr>
        <w:rPr>
          <w:b/>
        </w:rPr>
      </w:pPr>
      <w:r>
        <w:rPr>
          <w:b/>
        </w:rPr>
        <w:t>Supplementary Figure 3</w:t>
      </w:r>
      <w:r w:rsidR="00FD74C6">
        <w:rPr>
          <w:b/>
        </w:rPr>
        <w:t xml:space="preserve">: </w:t>
      </w:r>
      <w:r w:rsidR="00FD74C6">
        <w:rPr>
          <w:sz w:val="24"/>
          <w:szCs w:val="24"/>
          <w:lang w:val="en-US"/>
        </w:rPr>
        <w:t>V</w:t>
      </w:r>
      <w:r w:rsidR="00FD74C6" w:rsidRPr="00EF4961">
        <w:rPr>
          <w:sz w:val="24"/>
          <w:szCs w:val="24"/>
          <w:lang w:val="en-US"/>
        </w:rPr>
        <w:t>enn-Diagram of SNVs detected in each type of samples.</w:t>
      </w:r>
    </w:p>
    <w:p w14:paraId="0C6A5E15" w14:textId="77777777" w:rsidR="00C634FB" w:rsidRDefault="00C634FB" w:rsidP="00747D16"/>
    <w:p w14:paraId="10BEDF82" w14:textId="0ADC49D5" w:rsidR="005237BD" w:rsidRDefault="005237BD" w:rsidP="00747D16">
      <w:pPr>
        <w:rPr>
          <w:b/>
        </w:rPr>
      </w:pPr>
      <w:bookmarkStart w:id="0" w:name="_GoBack"/>
      <w:bookmarkEnd w:id="0"/>
    </w:p>
    <w:sectPr w:rsidR="005237BD">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FF2A3" w16cex:dateUtc="2021-10-24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918906" w16cid:durableId="251FF2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0E2"/>
    <w:multiLevelType w:val="hybridMultilevel"/>
    <w:tmpl w:val="0C5EC84E"/>
    <w:lvl w:ilvl="0" w:tplc="F4AE77B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75F94"/>
    <w:multiLevelType w:val="hybridMultilevel"/>
    <w:tmpl w:val="C1FA2134"/>
    <w:lvl w:ilvl="0" w:tplc="4D74B1C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022E20"/>
    <w:multiLevelType w:val="hybridMultilevel"/>
    <w:tmpl w:val="0D668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A5163"/>
    <w:multiLevelType w:val="hybridMultilevel"/>
    <w:tmpl w:val="C30AF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108ED"/>
    <w:multiLevelType w:val="hybridMultilevel"/>
    <w:tmpl w:val="AD506B64"/>
    <w:lvl w:ilvl="0" w:tplc="A6A0BC3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42A1B"/>
    <w:multiLevelType w:val="hybridMultilevel"/>
    <w:tmpl w:val="4E569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603B18"/>
    <w:multiLevelType w:val="hybridMultilevel"/>
    <w:tmpl w:val="B5FAA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756B27"/>
    <w:multiLevelType w:val="hybridMultilevel"/>
    <w:tmpl w:val="2230E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16"/>
    <w:rsid w:val="0001035E"/>
    <w:rsid w:val="00032F8A"/>
    <w:rsid w:val="000672A2"/>
    <w:rsid w:val="00076A8A"/>
    <w:rsid w:val="000A27E2"/>
    <w:rsid w:val="000A3526"/>
    <w:rsid w:val="000E0206"/>
    <w:rsid w:val="000E0E7F"/>
    <w:rsid w:val="000F5367"/>
    <w:rsid w:val="00122D6A"/>
    <w:rsid w:val="00127BB7"/>
    <w:rsid w:val="001879BC"/>
    <w:rsid w:val="001F35BD"/>
    <w:rsid w:val="00204357"/>
    <w:rsid w:val="00232BE0"/>
    <w:rsid w:val="002346C3"/>
    <w:rsid w:val="0027211E"/>
    <w:rsid w:val="00295149"/>
    <w:rsid w:val="002C13EE"/>
    <w:rsid w:val="00301A38"/>
    <w:rsid w:val="00302523"/>
    <w:rsid w:val="003146C0"/>
    <w:rsid w:val="00366FEE"/>
    <w:rsid w:val="003742D9"/>
    <w:rsid w:val="00382067"/>
    <w:rsid w:val="003A7CC5"/>
    <w:rsid w:val="003E5FD8"/>
    <w:rsid w:val="003F0EB5"/>
    <w:rsid w:val="00425236"/>
    <w:rsid w:val="0042585D"/>
    <w:rsid w:val="00437E5A"/>
    <w:rsid w:val="00442761"/>
    <w:rsid w:val="00463339"/>
    <w:rsid w:val="004A4769"/>
    <w:rsid w:val="004C7854"/>
    <w:rsid w:val="005237BD"/>
    <w:rsid w:val="00557375"/>
    <w:rsid w:val="00570D99"/>
    <w:rsid w:val="005B700C"/>
    <w:rsid w:val="005C061E"/>
    <w:rsid w:val="005C0A8A"/>
    <w:rsid w:val="005F0732"/>
    <w:rsid w:val="00603F49"/>
    <w:rsid w:val="0061447C"/>
    <w:rsid w:val="00622ABC"/>
    <w:rsid w:val="00657209"/>
    <w:rsid w:val="00671ACA"/>
    <w:rsid w:val="00690F55"/>
    <w:rsid w:val="006A7C56"/>
    <w:rsid w:val="006B599C"/>
    <w:rsid w:val="006F0767"/>
    <w:rsid w:val="00747D16"/>
    <w:rsid w:val="00776B6E"/>
    <w:rsid w:val="007A1830"/>
    <w:rsid w:val="007E4548"/>
    <w:rsid w:val="007E4785"/>
    <w:rsid w:val="007F36B1"/>
    <w:rsid w:val="007F59CF"/>
    <w:rsid w:val="00803A37"/>
    <w:rsid w:val="00814F81"/>
    <w:rsid w:val="0085189B"/>
    <w:rsid w:val="008F31D2"/>
    <w:rsid w:val="008F6931"/>
    <w:rsid w:val="00914E5E"/>
    <w:rsid w:val="0092140C"/>
    <w:rsid w:val="00947A57"/>
    <w:rsid w:val="0098365A"/>
    <w:rsid w:val="009A6963"/>
    <w:rsid w:val="009E65AA"/>
    <w:rsid w:val="00A22A81"/>
    <w:rsid w:val="00A23C51"/>
    <w:rsid w:val="00A36F04"/>
    <w:rsid w:val="00A4779C"/>
    <w:rsid w:val="00A50A38"/>
    <w:rsid w:val="00A95EFD"/>
    <w:rsid w:val="00AF5A2B"/>
    <w:rsid w:val="00B0418C"/>
    <w:rsid w:val="00B04367"/>
    <w:rsid w:val="00B175F5"/>
    <w:rsid w:val="00B2057A"/>
    <w:rsid w:val="00B31628"/>
    <w:rsid w:val="00B52BFF"/>
    <w:rsid w:val="00B75F55"/>
    <w:rsid w:val="00B84884"/>
    <w:rsid w:val="00B90FB2"/>
    <w:rsid w:val="00B91A1B"/>
    <w:rsid w:val="00BA555D"/>
    <w:rsid w:val="00BA6BB0"/>
    <w:rsid w:val="00BE0EB1"/>
    <w:rsid w:val="00BE1A16"/>
    <w:rsid w:val="00C16AC7"/>
    <w:rsid w:val="00C31791"/>
    <w:rsid w:val="00C60A1C"/>
    <w:rsid w:val="00C634FB"/>
    <w:rsid w:val="00C8744B"/>
    <w:rsid w:val="00C978A2"/>
    <w:rsid w:val="00CD096B"/>
    <w:rsid w:val="00CD0B23"/>
    <w:rsid w:val="00CE14B6"/>
    <w:rsid w:val="00D27AE4"/>
    <w:rsid w:val="00D41376"/>
    <w:rsid w:val="00D63674"/>
    <w:rsid w:val="00D901C2"/>
    <w:rsid w:val="00DA4160"/>
    <w:rsid w:val="00DB1BBF"/>
    <w:rsid w:val="00DC1AF4"/>
    <w:rsid w:val="00DC29C3"/>
    <w:rsid w:val="00DF27E2"/>
    <w:rsid w:val="00E3671C"/>
    <w:rsid w:val="00E65299"/>
    <w:rsid w:val="00E764A4"/>
    <w:rsid w:val="00EC2243"/>
    <w:rsid w:val="00ED4F57"/>
    <w:rsid w:val="00F01424"/>
    <w:rsid w:val="00F0538D"/>
    <w:rsid w:val="00F16632"/>
    <w:rsid w:val="00F37DC6"/>
    <w:rsid w:val="00FD1F6E"/>
    <w:rsid w:val="00FD3BAC"/>
    <w:rsid w:val="00FD74C6"/>
    <w:rsid w:val="00FF6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8C29"/>
  <w15:docId w15:val="{6C55DF24-EDD2-482D-BD48-B71A517B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37DC6"/>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7D16"/>
    <w:pPr>
      <w:ind w:left="720"/>
      <w:contextualSpacing/>
    </w:pPr>
  </w:style>
  <w:style w:type="table" w:styleId="Grilledutableau">
    <w:name w:val="Table Grid"/>
    <w:basedOn w:val="TableauNormal"/>
    <w:uiPriority w:val="39"/>
    <w:rsid w:val="00747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555D"/>
    <w:rPr>
      <w:sz w:val="16"/>
      <w:szCs w:val="16"/>
    </w:rPr>
  </w:style>
  <w:style w:type="paragraph" w:styleId="Commentaire">
    <w:name w:val="annotation text"/>
    <w:basedOn w:val="Normal"/>
    <w:link w:val="CommentaireCar"/>
    <w:uiPriority w:val="99"/>
    <w:unhideWhenUsed/>
    <w:rsid w:val="00BA555D"/>
    <w:pPr>
      <w:spacing w:line="240" w:lineRule="auto"/>
    </w:pPr>
    <w:rPr>
      <w:sz w:val="20"/>
      <w:szCs w:val="20"/>
    </w:rPr>
  </w:style>
  <w:style w:type="character" w:customStyle="1" w:styleId="CommentaireCar">
    <w:name w:val="Commentaire Car"/>
    <w:basedOn w:val="Policepardfaut"/>
    <w:link w:val="Commentaire"/>
    <w:uiPriority w:val="99"/>
    <w:rsid w:val="00BA555D"/>
    <w:rPr>
      <w:sz w:val="20"/>
      <w:szCs w:val="20"/>
    </w:rPr>
  </w:style>
  <w:style w:type="paragraph" w:styleId="Objetducommentaire">
    <w:name w:val="annotation subject"/>
    <w:basedOn w:val="Commentaire"/>
    <w:next w:val="Commentaire"/>
    <w:link w:val="ObjetducommentaireCar"/>
    <w:uiPriority w:val="99"/>
    <w:semiHidden/>
    <w:unhideWhenUsed/>
    <w:rsid w:val="00BA555D"/>
    <w:rPr>
      <w:b/>
      <w:bCs/>
    </w:rPr>
  </w:style>
  <w:style w:type="character" w:customStyle="1" w:styleId="ObjetducommentaireCar">
    <w:name w:val="Objet du commentaire Car"/>
    <w:basedOn w:val="CommentaireCar"/>
    <w:link w:val="Objetducommentaire"/>
    <w:uiPriority w:val="99"/>
    <w:semiHidden/>
    <w:rsid w:val="00BA555D"/>
    <w:rPr>
      <w:b/>
      <w:bCs/>
      <w:sz w:val="20"/>
      <w:szCs w:val="20"/>
    </w:rPr>
  </w:style>
  <w:style w:type="paragraph" w:styleId="Textedebulles">
    <w:name w:val="Balloon Text"/>
    <w:basedOn w:val="Normal"/>
    <w:link w:val="TextedebullesCar"/>
    <w:uiPriority w:val="99"/>
    <w:semiHidden/>
    <w:unhideWhenUsed/>
    <w:rsid w:val="00BA55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555D"/>
    <w:rPr>
      <w:rFonts w:ascii="Segoe UI" w:hAnsi="Segoe UI" w:cs="Segoe UI"/>
      <w:sz w:val="18"/>
      <w:szCs w:val="18"/>
    </w:rPr>
  </w:style>
  <w:style w:type="paragraph" w:styleId="Bibliographie">
    <w:name w:val="Bibliography"/>
    <w:basedOn w:val="Normal"/>
    <w:next w:val="Normal"/>
    <w:uiPriority w:val="37"/>
    <w:unhideWhenUsed/>
    <w:rsid w:val="00A23C51"/>
    <w:pPr>
      <w:tabs>
        <w:tab w:val="left" w:pos="384"/>
      </w:tabs>
      <w:spacing w:after="240" w:line="240" w:lineRule="auto"/>
      <w:ind w:left="384" w:hanging="384"/>
    </w:pPr>
  </w:style>
  <w:style w:type="character" w:customStyle="1" w:styleId="Titre1Car">
    <w:name w:val="Titre 1 Car"/>
    <w:basedOn w:val="Policepardfaut"/>
    <w:link w:val="Titre1"/>
    <w:uiPriority w:val="9"/>
    <w:rsid w:val="00F37DC6"/>
    <w:rPr>
      <w:rFonts w:ascii="Times New Roman" w:eastAsia="Times New Roman" w:hAnsi="Times New Roman" w:cs="Times New Roman"/>
      <w:b/>
      <w:bCs/>
      <w:kern w:val="36"/>
      <w:sz w:val="48"/>
      <w:szCs w:val="48"/>
      <w:lang w:val="fr-FR" w:eastAsia="fr-FR"/>
    </w:rPr>
  </w:style>
  <w:style w:type="character" w:customStyle="1" w:styleId="titledefault">
    <w:name w:val="title_default"/>
    <w:basedOn w:val="Policepardfaut"/>
    <w:rsid w:val="00F3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8475">
      <w:bodyDiv w:val="1"/>
      <w:marLeft w:val="0"/>
      <w:marRight w:val="0"/>
      <w:marTop w:val="0"/>
      <w:marBottom w:val="0"/>
      <w:divBdr>
        <w:top w:val="none" w:sz="0" w:space="0" w:color="auto"/>
        <w:left w:val="none" w:sz="0" w:space="0" w:color="auto"/>
        <w:bottom w:val="none" w:sz="0" w:space="0" w:color="auto"/>
        <w:right w:val="none" w:sz="0" w:space="0" w:color="auto"/>
      </w:divBdr>
    </w:div>
    <w:div w:id="590744851">
      <w:bodyDiv w:val="1"/>
      <w:marLeft w:val="0"/>
      <w:marRight w:val="0"/>
      <w:marTop w:val="0"/>
      <w:marBottom w:val="0"/>
      <w:divBdr>
        <w:top w:val="none" w:sz="0" w:space="0" w:color="auto"/>
        <w:left w:val="none" w:sz="0" w:space="0" w:color="auto"/>
        <w:bottom w:val="none" w:sz="0" w:space="0" w:color="auto"/>
        <w:right w:val="none" w:sz="0" w:space="0" w:color="auto"/>
      </w:divBdr>
    </w:div>
    <w:div w:id="750583855">
      <w:bodyDiv w:val="1"/>
      <w:marLeft w:val="0"/>
      <w:marRight w:val="0"/>
      <w:marTop w:val="0"/>
      <w:marBottom w:val="0"/>
      <w:divBdr>
        <w:top w:val="none" w:sz="0" w:space="0" w:color="auto"/>
        <w:left w:val="none" w:sz="0" w:space="0" w:color="auto"/>
        <w:bottom w:val="none" w:sz="0" w:space="0" w:color="auto"/>
        <w:right w:val="none" w:sz="0" w:space="0" w:color="auto"/>
      </w:divBdr>
    </w:div>
    <w:div w:id="807090805">
      <w:bodyDiv w:val="1"/>
      <w:marLeft w:val="0"/>
      <w:marRight w:val="0"/>
      <w:marTop w:val="0"/>
      <w:marBottom w:val="0"/>
      <w:divBdr>
        <w:top w:val="none" w:sz="0" w:space="0" w:color="auto"/>
        <w:left w:val="none" w:sz="0" w:space="0" w:color="auto"/>
        <w:bottom w:val="none" w:sz="0" w:space="0" w:color="auto"/>
        <w:right w:val="none" w:sz="0" w:space="0" w:color="auto"/>
      </w:divBdr>
    </w:div>
    <w:div w:id="873887505">
      <w:bodyDiv w:val="1"/>
      <w:marLeft w:val="0"/>
      <w:marRight w:val="0"/>
      <w:marTop w:val="0"/>
      <w:marBottom w:val="0"/>
      <w:divBdr>
        <w:top w:val="none" w:sz="0" w:space="0" w:color="auto"/>
        <w:left w:val="none" w:sz="0" w:space="0" w:color="auto"/>
        <w:bottom w:val="none" w:sz="0" w:space="0" w:color="auto"/>
        <w:right w:val="none" w:sz="0" w:space="0" w:color="auto"/>
      </w:divBdr>
    </w:div>
    <w:div w:id="1016082519">
      <w:bodyDiv w:val="1"/>
      <w:marLeft w:val="0"/>
      <w:marRight w:val="0"/>
      <w:marTop w:val="0"/>
      <w:marBottom w:val="0"/>
      <w:divBdr>
        <w:top w:val="none" w:sz="0" w:space="0" w:color="auto"/>
        <w:left w:val="none" w:sz="0" w:space="0" w:color="auto"/>
        <w:bottom w:val="none" w:sz="0" w:space="0" w:color="auto"/>
        <w:right w:val="none" w:sz="0" w:space="0" w:color="auto"/>
      </w:divBdr>
      <w:divsChild>
        <w:div w:id="147016606">
          <w:marLeft w:val="0"/>
          <w:marRight w:val="0"/>
          <w:marTop w:val="0"/>
          <w:marBottom w:val="0"/>
          <w:divBdr>
            <w:top w:val="none" w:sz="0" w:space="0" w:color="auto"/>
            <w:left w:val="none" w:sz="0" w:space="0" w:color="auto"/>
            <w:bottom w:val="none" w:sz="0" w:space="0" w:color="auto"/>
            <w:right w:val="none" w:sz="0" w:space="0" w:color="auto"/>
          </w:divBdr>
          <w:divsChild>
            <w:div w:id="1151946728">
              <w:marLeft w:val="0"/>
              <w:marRight w:val="0"/>
              <w:marTop w:val="0"/>
              <w:marBottom w:val="0"/>
              <w:divBdr>
                <w:top w:val="none" w:sz="0" w:space="0" w:color="auto"/>
                <w:left w:val="none" w:sz="0" w:space="0" w:color="auto"/>
                <w:bottom w:val="none" w:sz="0" w:space="0" w:color="auto"/>
                <w:right w:val="none" w:sz="0" w:space="0" w:color="auto"/>
              </w:divBdr>
              <w:divsChild>
                <w:div w:id="284625352">
                  <w:marLeft w:val="0"/>
                  <w:marRight w:val="0"/>
                  <w:marTop w:val="0"/>
                  <w:marBottom w:val="0"/>
                  <w:divBdr>
                    <w:top w:val="none" w:sz="0" w:space="0" w:color="auto"/>
                    <w:left w:val="none" w:sz="0" w:space="0" w:color="auto"/>
                    <w:bottom w:val="none" w:sz="0" w:space="0" w:color="auto"/>
                    <w:right w:val="none" w:sz="0" w:space="0" w:color="auto"/>
                  </w:divBdr>
                  <w:divsChild>
                    <w:div w:id="11849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67243">
          <w:marLeft w:val="0"/>
          <w:marRight w:val="0"/>
          <w:marTop w:val="0"/>
          <w:marBottom w:val="0"/>
          <w:divBdr>
            <w:top w:val="none" w:sz="0" w:space="0" w:color="auto"/>
            <w:left w:val="none" w:sz="0" w:space="0" w:color="auto"/>
            <w:bottom w:val="none" w:sz="0" w:space="0" w:color="auto"/>
            <w:right w:val="none" w:sz="0" w:space="0" w:color="auto"/>
          </w:divBdr>
          <w:divsChild>
            <w:div w:id="972835087">
              <w:marLeft w:val="0"/>
              <w:marRight w:val="0"/>
              <w:marTop w:val="0"/>
              <w:marBottom w:val="0"/>
              <w:divBdr>
                <w:top w:val="none" w:sz="0" w:space="0" w:color="auto"/>
                <w:left w:val="none" w:sz="0" w:space="0" w:color="auto"/>
                <w:bottom w:val="none" w:sz="0" w:space="0" w:color="auto"/>
                <w:right w:val="none" w:sz="0" w:space="0" w:color="auto"/>
              </w:divBdr>
              <w:divsChild>
                <w:div w:id="20914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02221">
      <w:bodyDiv w:val="1"/>
      <w:marLeft w:val="0"/>
      <w:marRight w:val="0"/>
      <w:marTop w:val="0"/>
      <w:marBottom w:val="0"/>
      <w:divBdr>
        <w:top w:val="none" w:sz="0" w:space="0" w:color="auto"/>
        <w:left w:val="none" w:sz="0" w:space="0" w:color="auto"/>
        <w:bottom w:val="none" w:sz="0" w:space="0" w:color="auto"/>
        <w:right w:val="none" w:sz="0" w:space="0" w:color="auto"/>
      </w:divBdr>
      <w:divsChild>
        <w:div w:id="1504903333">
          <w:marLeft w:val="0"/>
          <w:marRight w:val="0"/>
          <w:marTop w:val="0"/>
          <w:marBottom w:val="0"/>
          <w:divBdr>
            <w:top w:val="none" w:sz="0" w:space="0" w:color="auto"/>
            <w:left w:val="none" w:sz="0" w:space="0" w:color="auto"/>
            <w:bottom w:val="none" w:sz="0" w:space="0" w:color="auto"/>
            <w:right w:val="none" w:sz="0" w:space="0" w:color="auto"/>
          </w:divBdr>
          <w:divsChild>
            <w:div w:id="704408592">
              <w:marLeft w:val="0"/>
              <w:marRight w:val="0"/>
              <w:marTop w:val="0"/>
              <w:marBottom w:val="0"/>
              <w:divBdr>
                <w:top w:val="none" w:sz="0" w:space="0" w:color="auto"/>
                <w:left w:val="none" w:sz="0" w:space="0" w:color="auto"/>
                <w:bottom w:val="none" w:sz="0" w:space="0" w:color="auto"/>
                <w:right w:val="none" w:sz="0" w:space="0" w:color="auto"/>
              </w:divBdr>
              <w:divsChild>
                <w:div w:id="5894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7501">
      <w:bodyDiv w:val="1"/>
      <w:marLeft w:val="0"/>
      <w:marRight w:val="0"/>
      <w:marTop w:val="0"/>
      <w:marBottom w:val="0"/>
      <w:divBdr>
        <w:top w:val="none" w:sz="0" w:space="0" w:color="auto"/>
        <w:left w:val="none" w:sz="0" w:space="0" w:color="auto"/>
        <w:bottom w:val="none" w:sz="0" w:space="0" w:color="auto"/>
        <w:right w:val="none" w:sz="0" w:space="0" w:color="auto"/>
      </w:divBdr>
    </w:div>
    <w:div w:id="1524593469">
      <w:bodyDiv w:val="1"/>
      <w:marLeft w:val="0"/>
      <w:marRight w:val="0"/>
      <w:marTop w:val="0"/>
      <w:marBottom w:val="0"/>
      <w:divBdr>
        <w:top w:val="none" w:sz="0" w:space="0" w:color="auto"/>
        <w:left w:val="none" w:sz="0" w:space="0" w:color="auto"/>
        <w:bottom w:val="none" w:sz="0" w:space="0" w:color="auto"/>
        <w:right w:val="none" w:sz="0" w:space="0" w:color="auto"/>
      </w:divBdr>
    </w:div>
    <w:div w:id="1755475775">
      <w:bodyDiv w:val="1"/>
      <w:marLeft w:val="0"/>
      <w:marRight w:val="0"/>
      <w:marTop w:val="0"/>
      <w:marBottom w:val="0"/>
      <w:divBdr>
        <w:top w:val="none" w:sz="0" w:space="0" w:color="auto"/>
        <w:left w:val="none" w:sz="0" w:space="0" w:color="auto"/>
        <w:bottom w:val="none" w:sz="0" w:space="0" w:color="auto"/>
        <w:right w:val="none" w:sz="0" w:space="0" w:color="auto"/>
      </w:divBdr>
      <w:divsChild>
        <w:div w:id="1268082759">
          <w:marLeft w:val="0"/>
          <w:marRight w:val="0"/>
          <w:marTop w:val="0"/>
          <w:marBottom w:val="0"/>
          <w:divBdr>
            <w:top w:val="none" w:sz="0" w:space="0" w:color="auto"/>
            <w:left w:val="none" w:sz="0" w:space="0" w:color="auto"/>
            <w:bottom w:val="none" w:sz="0" w:space="0" w:color="auto"/>
            <w:right w:val="none" w:sz="0" w:space="0" w:color="auto"/>
          </w:divBdr>
          <w:divsChild>
            <w:div w:id="1823883677">
              <w:marLeft w:val="0"/>
              <w:marRight w:val="0"/>
              <w:marTop w:val="0"/>
              <w:marBottom w:val="0"/>
              <w:divBdr>
                <w:top w:val="none" w:sz="0" w:space="0" w:color="auto"/>
                <w:left w:val="none" w:sz="0" w:space="0" w:color="auto"/>
                <w:bottom w:val="none" w:sz="0" w:space="0" w:color="auto"/>
                <w:right w:val="none" w:sz="0" w:space="0" w:color="auto"/>
              </w:divBdr>
              <w:divsChild>
                <w:div w:id="1448740103">
                  <w:marLeft w:val="0"/>
                  <w:marRight w:val="0"/>
                  <w:marTop w:val="0"/>
                  <w:marBottom w:val="0"/>
                  <w:divBdr>
                    <w:top w:val="none" w:sz="0" w:space="0" w:color="auto"/>
                    <w:left w:val="none" w:sz="0" w:space="0" w:color="auto"/>
                    <w:bottom w:val="none" w:sz="0" w:space="0" w:color="auto"/>
                    <w:right w:val="none" w:sz="0" w:space="0" w:color="auto"/>
                  </w:divBdr>
                  <w:divsChild>
                    <w:div w:id="11248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0462">
          <w:marLeft w:val="0"/>
          <w:marRight w:val="0"/>
          <w:marTop w:val="0"/>
          <w:marBottom w:val="0"/>
          <w:divBdr>
            <w:top w:val="none" w:sz="0" w:space="0" w:color="auto"/>
            <w:left w:val="none" w:sz="0" w:space="0" w:color="auto"/>
            <w:bottom w:val="none" w:sz="0" w:space="0" w:color="auto"/>
            <w:right w:val="none" w:sz="0" w:space="0" w:color="auto"/>
          </w:divBdr>
          <w:divsChild>
            <w:div w:id="2085830762">
              <w:marLeft w:val="0"/>
              <w:marRight w:val="0"/>
              <w:marTop w:val="0"/>
              <w:marBottom w:val="0"/>
              <w:divBdr>
                <w:top w:val="none" w:sz="0" w:space="0" w:color="auto"/>
                <w:left w:val="none" w:sz="0" w:space="0" w:color="auto"/>
                <w:bottom w:val="none" w:sz="0" w:space="0" w:color="auto"/>
                <w:right w:val="none" w:sz="0" w:space="0" w:color="auto"/>
              </w:divBdr>
              <w:divsChild>
                <w:div w:id="1405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5100">
      <w:bodyDiv w:val="1"/>
      <w:marLeft w:val="0"/>
      <w:marRight w:val="0"/>
      <w:marTop w:val="0"/>
      <w:marBottom w:val="0"/>
      <w:divBdr>
        <w:top w:val="none" w:sz="0" w:space="0" w:color="auto"/>
        <w:left w:val="none" w:sz="0" w:space="0" w:color="auto"/>
        <w:bottom w:val="none" w:sz="0" w:space="0" w:color="auto"/>
        <w:right w:val="none" w:sz="0" w:space="0" w:color="auto"/>
      </w:divBdr>
    </w:div>
    <w:div w:id="206490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96E3-CA34-4BE8-A425-600191E4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10534</Words>
  <Characters>57942</Characters>
  <Application>Microsoft Office Word</Application>
  <DocSecurity>0</DocSecurity>
  <Lines>482</Lines>
  <Paragraphs>136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de Cancérologie Gustave ROUSSY</Company>
  <LinksUpToDate>false</LinksUpToDate>
  <CharactersWithSpaces>68340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PabloB</dc:creator>
  <cp:lastModifiedBy>BERLANGA PABLO</cp:lastModifiedBy>
  <cp:revision>3</cp:revision>
  <dcterms:created xsi:type="dcterms:W3CDTF">2022-02-01T09:18:00Z</dcterms:created>
  <dcterms:modified xsi:type="dcterms:W3CDTF">2022-02-01T09:22:00Z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id="u6mNzMwt"/&gt;&lt;style id="http://www.zotero.org/styles/vancouver" locale="es-ES"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