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114E" w14:textId="77777777" w:rsidR="0043731C" w:rsidRPr="004F15D0" w:rsidRDefault="0043731C" w:rsidP="0043731C">
      <w:pPr>
        <w:pStyle w:val="ListParagraph"/>
        <w:autoSpaceDE w:val="0"/>
        <w:autoSpaceDN w:val="0"/>
        <w:adjustRightInd w:val="0"/>
        <w:ind w:left="360"/>
        <w:rPr>
          <w:b/>
          <w:sz w:val="22"/>
          <w:szCs w:val="22"/>
        </w:rPr>
      </w:pPr>
    </w:p>
    <w:p w14:paraId="30614480" w14:textId="77777777" w:rsidR="00555BE5" w:rsidRPr="004F15D0" w:rsidRDefault="0043731C" w:rsidP="00555BE5">
      <w:pPr>
        <w:pStyle w:val="ListParagraph"/>
        <w:autoSpaceDE w:val="0"/>
        <w:autoSpaceDN w:val="0"/>
        <w:adjustRightInd w:val="0"/>
        <w:ind w:left="360"/>
        <w:jc w:val="center"/>
        <w:rPr>
          <w:b/>
          <w:sz w:val="28"/>
          <w:szCs w:val="28"/>
        </w:rPr>
      </w:pPr>
      <w:r w:rsidRPr="004F15D0">
        <w:rPr>
          <w:b/>
          <w:sz w:val="28"/>
          <w:szCs w:val="28"/>
        </w:rPr>
        <w:t>RACIN</w:t>
      </w:r>
    </w:p>
    <w:p w14:paraId="3DE10E64" w14:textId="77777777" w:rsidR="00555BE5" w:rsidRPr="004F15D0" w:rsidRDefault="00555BE5" w:rsidP="00555BE5">
      <w:pPr>
        <w:pStyle w:val="ListParagraph"/>
        <w:autoSpaceDE w:val="0"/>
        <w:autoSpaceDN w:val="0"/>
        <w:adjustRightInd w:val="0"/>
        <w:ind w:left="360"/>
        <w:jc w:val="center"/>
        <w:rPr>
          <w:b/>
          <w:sz w:val="22"/>
          <w:szCs w:val="22"/>
        </w:rPr>
      </w:pPr>
    </w:p>
    <w:p w14:paraId="720F410B" w14:textId="79CFE1A9" w:rsidR="0043731C" w:rsidRPr="004F15D0" w:rsidRDefault="0043731C" w:rsidP="00555BE5">
      <w:pPr>
        <w:pStyle w:val="ListParagraph"/>
        <w:autoSpaceDE w:val="0"/>
        <w:autoSpaceDN w:val="0"/>
        <w:adjustRightInd w:val="0"/>
        <w:spacing w:line="360" w:lineRule="auto"/>
        <w:ind w:left="357"/>
        <w:jc w:val="center"/>
        <w:rPr>
          <w:b/>
          <w:sz w:val="28"/>
          <w:szCs w:val="28"/>
        </w:rPr>
      </w:pPr>
      <w:r w:rsidRPr="004F15D0">
        <w:rPr>
          <w:b/>
          <w:sz w:val="28"/>
          <w:szCs w:val="28"/>
        </w:rPr>
        <w:t xml:space="preserve">A phase I study of the combination of </w:t>
      </w:r>
      <w:r w:rsidR="00555BE5" w:rsidRPr="004F15D0">
        <w:rPr>
          <w:b/>
          <w:sz w:val="28"/>
          <w:szCs w:val="28"/>
        </w:rPr>
        <w:t xml:space="preserve">low-dose </w:t>
      </w:r>
      <w:r w:rsidR="00555BE5" w:rsidRPr="004F15D0">
        <w:rPr>
          <w:b/>
          <w:sz w:val="28"/>
          <w:szCs w:val="28"/>
          <w:u w:val="single"/>
        </w:rPr>
        <w:t>r</w:t>
      </w:r>
      <w:r w:rsidR="00555BE5" w:rsidRPr="004F15D0">
        <w:rPr>
          <w:b/>
          <w:sz w:val="28"/>
          <w:szCs w:val="28"/>
        </w:rPr>
        <w:t xml:space="preserve">adiation, </w:t>
      </w:r>
      <w:r w:rsidR="00555BE5" w:rsidRPr="004F15D0">
        <w:rPr>
          <w:b/>
          <w:sz w:val="28"/>
          <w:szCs w:val="28"/>
          <w:u w:val="single"/>
        </w:rPr>
        <w:t>a</w:t>
      </w:r>
      <w:r w:rsidR="00555BE5" w:rsidRPr="004F15D0">
        <w:rPr>
          <w:b/>
          <w:sz w:val="28"/>
          <w:szCs w:val="28"/>
        </w:rPr>
        <w:t xml:space="preserve">spirin, metronomic cyclophosphamide, </w:t>
      </w:r>
      <w:r w:rsidR="00555BE5" w:rsidRPr="004F15D0">
        <w:rPr>
          <w:b/>
          <w:sz w:val="28"/>
          <w:szCs w:val="28"/>
          <w:u w:val="single"/>
        </w:rPr>
        <w:t>i</w:t>
      </w:r>
      <w:r w:rsidR="00555BE5" w:rsidRPr="004F15D0">
        <w:rPr>
          <w:b/>
          <w:sz w:val="28"/>
          <w:szCs w:val="28"/>
        </w:rPr>
        <w:t xml:space="preserve">pilimumab and </w:t>
      </w:r>
      <w:r w:rsidRPr="004F15D0">
        <w:rPr>
          <w:b/>
          <w:sz w:val="28"/>
          <w:szCs w:val="28"/>
          <w:u w:val="single"/>
        </w:rPr>
        <w:t>n</w:t>
      </w:r>
      <w:r w:rsidRPr="004F15D0">
        <w:rPr>
          <w:b/>
          <w:sz w:val="28"/>
          <w:szCs w:val="28"/>
        </w:rPr>
        <w:t>ivolumab in patients with advanced, TIL-negative solid tumors</w:t>
      </w:r>
      <w:r w:rsidR="00555BE5" w:rsidRPr="004F15D0">
        <w:rPr>
          <w:b/>
          <w:sz w:val="28"/>
          <w:szCs w:val="28"/>
        </w:rPr>
        <w:t xml:space="preserve"> (NCT03728179)</w:t>
      </w:r>
    </w:p>
    <w:p w14:paraId="0AABF279" w14:textId="77777777" w:rsidR="00555BE5" w:rsidRPr="004F15D0" w:rsidRDefault="00555BE5" w:rsidP="00555BE5">
      <w:pPr>
        <w:pStyle w:val="ListParagraph"/>
        <w:autoSpaceDE w:val="0"/>
        <w:autoSpaceDN w:val="0"/>
        <w:adjustRightInd w:val="0"/>
        <w:ind w:left="360"/>
        <w:jc w:val="center"/>
        <w:rPr>
          <w:b/>
          <w:sz w:val="28"/>
          <w:szCs w:val="28"/>
        </w:rPr>
      </w:pPr>
    </w:p>
    <w:p w14:paraId="76C47816" w14:textId="77777777" w:rsidR="001F1C40" w:rsidRPr="004F15D0" w:rsidRDefault="001F1C40" w:rsidP="0043731C">
      <w:pPr>
        <w:rPr>
          <w:b/>
          <w:sz w:val="22"/>
          <w:szCs w:val="22"/>
        </w:rPr>
      </w:pPr>
    </w:p>
    <w:p w14:paraId="122DEE0B" w14:textId="5A5B2C6F" w:rsidR="0043731C" w:rsidRPr="004F15D0" w:rsidRDefault="0043731C" w:rsidP="0043731C">
      <w:pPr>
        <w:rPr>
          <w:b/>
          <w:sz w:val="22"/>
          <w:szCs w:val="22"/>
        </w:rPr>
      </w:pPr>
      <w:r w:rsidRPr="004F15D0">
        <w:rPr>
          <w:b/>
          <w:sz w:val="22"/>
          <w:szCs w:val="22"/>
        </w:rPr>
        <w:t xml:space="preserve">Inclusion criteria </w:t>
      </w:r>
    </w:p>
    <w:p w14:paraId="57D568FE" w14:textId="77777777" w:rsidR="0043731C" w:rsidRPr="004F15D0" w:rsidRDefault="0043731C" w:rsidP="0043731C">
      <w:pPr>
        <w:rPr>
          <w:b/>
          <w:sz w:val="22"/>
          <w:szCs w:val="22"/>
        </w:rPr>
      </w:pPr>
    </w:p>
    <w:p w14:paraId="0711DDDD" w14:textId="77777777" w:rsidR="0043731C" w:rsidRPr="004F15D0" w:rsidRDefault="0043731C" w:rsidP="0043731C">
      <w:pPr>
        <w:rPr>
          <w:b/>
          <w:sz w:val="22"/>
          <w:szCs w:val="22"/>
        </w:rPr>
      </w:pPr>
    </w:p>
    <w:p w14:paraId="4B1EB609" w14:textId="77777777" w:rsidR="0005603E" w:rsidRPr="004F15D0" w:rsidRDefault="0005603E" w:rsidP="0005603E">
      <w:pPr>
        <w:pStyle w:val="ListParagraph"/>
        <w:autoSpaceDE w:val="0"/>
        <w:autoSpaceDN w:val="0"/>
        <w:adjustRightInd w:val="0"/>
        <w:spacing w:line="360" w:lineRule="auto"/>
        <w:ind w:left="0"/>
        <w:rPr>
          <w:rFonts w:eastAsiaTheme="minorHAnsi"/>
          <w:sz w:val="22"/>
          <w:szCs w:val="22"/>
        </w:rPr>
      </w:pPr>
      <w:r w:rsidRPr="004F15D0">
        <w:rPr>
          <w:rFonts w:eastAsiaTheme="minorHAnsi"/>
          <w:sz w:val="22"/>
          <w:szCs w:val="22"/>
        </w:rPr>
        <w:t xml:space="preserve">1) Patients with locally advanced or metastatic incurable solid tumors (any histology), who progress after at least one standard therapy. </w:t>
      </w:r>
    </w:p>
    <w:p w14:paraId="53790DCC" w14:textId="21E35A2C" w:rsidR="0043731C" w:rsidRPr="004F15D0" w:rsidRDefault="0005603E" w:rsidP="0005603E">
      <w:pPr>
        <w:pStyle w:val="ListParagraph"/>
        <w:autoSpaceDE w:val="0"/>
        <w:autoSpaceDN w:val="0"/>
        <w:adjustRightInd w:val="0"/>
        <w:spacing w:line="360" w:lineRule="auto"/>
        <w:ind w:left="0"/>
        <w:rPr>
          <w:rFonts w:eastAsiaTheme="minorHAnsi"/>
          <w:sz w:val="22"/>
          <w:szCs w:val="22"/>
        </w:rPr>
      </w:pPr>
      <w:r w:rsidRPr="004F15D0">
        <w:rPr>
          <w:rFonts w:eastAsiaTheme="minorHAnsi"/>
          <w:sz w:val="22"/>
          <w:szCs w:val="22"/>
        </w:rPr>
        <w:t xml:space="preserve">2) </w:t>
      </w:r>
      <w:r w:rsidR="0043731C" w:rsidRPr="004F15D0">
        <w:rPr>
          <w:sz w:val="22"/>
          <w:szCs w:val="22"/>
        </w:rPr>
        <w:t>Signed main study Informed Consent Form</w:t>
      </w:r>
      <w:r w:rsidRPr="004F15D0">
        <w:rPr>
          <w:sz w:val="22"/>
          <w:szCs w:val="22"/>
        </w:rPr>
        <w:t>.</w:t>
      </w:r>
    </w:p>
    <w:p w14:paraId="0993F7E6" w14:textId="324D6EBE" w:rsidR="0043731C" w:rsidRPr="004F15D0" w:rsidRDefault="0005603E" w:rsidP="0005603E">
      <w:pPr>
        <w:autoSpaceDE w:val="0"/>
        <w:autoSpaceDN w:val="0"/>
        <w:adjustRightInd w:val="0"/>
        <w:spacing w:line="360" w:lineRule="auto"/>
        <w:rPr>
          <w:sz w:val="22"/>
          <w:szCs w:val="22"/>
        </w:rPr>
      </w:pPr>
      <w:r w:rsidRPr="004F15D0">
        <w:rPr>
          <w:sz w:val="22"/>
          <w:szCs w:val="22"/>
        </w:rPr>
        <w:t xml:space="preserve">3) </w:t>
      </w:r>
      <w:r w:rsidR="0043731C" w:rsidRPr="004F15D0">
        <w:rPr>
          <w:sz w:val="22"/>
          <w:szCs w:val="22"/>
        </w:rPr>
        <w:t xml:space="preserve">Absence of </w:t>
      </w:r>
      <w:r w:rsidR="004F15D0" w:rsidRPr="004F15D0">
        <w:rPr>
          <w:sz w:val="22"/>
          <w:szCs w:val="22"/>
        </w:rPr>
        <w:t>tumor infiltrating</w:t>
      </w:r>
      <w:r w:rsidR="0043731C" w:rsidRPr="004F15D0">
        <w:rPr>
          <w:sz w:val="22"/>
          <w:szCs w:val="22"/>
        </w:rPr>
        <w:t xml:space="preserve"> intraepithelial CD8</w:t>
      </w:r>
      <w:r w:rsidR="0043731C" w:rsidRPr="004F15D0">
        <w:rPr>
          <w:sz w:val="22"/>
          <w:szCs w:val="22"/>
          <w:vertAlign w:val="superscript"/>
        </w:rPr>
        <w:t xml:space="preserve">+ </w:t>
      </w:r>
      <w:r w:rsidR="0043731C" w:rsidRPr="004F15D0">
        <w:rPr>
          <w:sz w:val="22"/>
          <w:szCs w:val="22"/>
        </w:rPr>
        <w:t>T cells by immune histochemistry on baseline biopsy defined as &lt;5 CD8</w:t>
      </w:r>
      <w:r w:rsidR="0043731C" w:rsidRPr="004F15D0">
        <w:rPr>
          <w:sz w:val="22"/>
          <w:szCs w:val="22"/>
          <w:vertAlign w:val="superscript"/>
        </w:rPr>
        <w:t>+</w:t>
      </w:r>
      <w:r w:rsidR="0043731C" w:rsidRPr="004F15D0">
        <w:rPr>
          <w:sz w:val="22"/>
          <w:szCs w:val="22"/>
        </w:rPr>
        <w:t xml:space="preserve"> cells per high power field of tumor. </w:t>
      </w:r>
    </w:p>
    <w:p w14:paraId="0C99E655" w14:textId="7D80929C" w:rsidR="0043731C" w:rsidRPr="004F15D0" w:rsidRDefault="0005603E" w:rsidP="0005603E">
      <w:pPr>
        <w:autoSpaceDE w:val="0"/>
        <w:autoSpaceDN w:val="0"/>
        <w:adjustRightInd w:val="0"/>
        <w:spacing w:line="360" w:lineRule="auto"/>
        <w:rPr>
          <w:sz w:val="22"/>
          <w:szCs w:val="22"/>
        </w:rPr>
      </w:pPr>
      <w:r w:rsidRPr="004F15D0">
        <w:rPr>
          <w:sz w:val="22"/>
          <w:szCs w:val="22"/>
        </w:rPr>
        <w:t xml:space="preserve">4) </w:t>
      </w:r>
      <w:r w:rsidR="0043731C" w:rsidRPr="004F15D0">
        <w:rPr>
          <w:sz w:val="22"/>
          <w:szCs w:val="22"/>
        </w:rPr>
        <w:t>At least one lesion accessible to biopsy without putting patient at risk</w:t>
      </w:r>
      <w:r w:rsidRPr="004F15D0">
        <w:rPr>
          <w:sz w:val="22"/>
          <w:szCs w:val="22"/>
        </w:rPr>
        <w:t>.</w:t>
      </w:r>
    </w:p>
    <w:p w14:paraId="07261211" w14:textId="0EF870FC" w:rsidR="0043731C" w:rsidRPr="004F15D0" w:rsidRDefault="0005603E" w:rsidP="0005603E">
      <w:pPr>
        <w:pStyle w:val="ListParagraph"/>
        <w:autoSpaceDE w:val="0"/>
        <w:autoSpaceDN w:val="0"/>
        <w:adjustRightInd w:val="0"/>
        <w:spacing w:line="360" w:lineRule="auto"/>
        <w:ind w:left="0"/>
        <w:rPr>
          <w:sz w:val="22"/>
          <w:szCs w:val="22"/>
        </w:rPr>
      </w:pPr>
      <w:r w:rsidRPr="004F15D0">
        <w:rPr>
          <w:sz w:val="22"/>
          <w:szCs w:val="22"/>
        </w:rPr>
        <w:t xml:space="preserve">5) </w:t>
      </w:r>
      <w:r w:rsidR="0043731C" w:rsidRPr="004F15D0">
        <w:rPr>
          <w:sz w:val="22"/>
          <w:szCs w:val="22"/>
        </w:rPr>
        <w:t>Number of metastatic lesions viewed on CT scan</w:t>
      </w:r>
      <w:r w:rsidR="008773E2">
        <w:rPr>
          <w:sz w:val="22"/>
          <w:szCs w:val="22"/>
        </w:rPr>
        <w:t xml:space="preserve"> and irradiated</w:t>
      </w:r>
      <w:r w:rsidR="0043731C" w:rsidRPr="004F15D0">
        <w:rPr>
          <w:sz w:val="22"/>
          <w:szCs w:val="22"/>
        </w:rPr>
        <w:t xml:space="preserve">: </w:t>
      </w:r>
      <w:r w:rsidR="008773E2">
        <w:rPr>
          <w:sz w:val="22"/>
          <w:szCs w:val="22"/>
        </w:rPr>
        <w:t>all metastatic lesions observed in the baseline CT scan can be irradiated</w:t>
      </w:r>
      <w:r w:rsidR="0043731C" w:rsidRPr="004F15D0">
        <w:rPr>
          <w:sz w:val="22"/>
          <w:szCs w:val="22"/>
        </w:rPr>
        <w:t>. It is at the discretion of the investigator to exclude a metastatic site from the radiation field that, due to the radiotherapy volume, dose or location too close to a healthy organ, may put the patient at risk of suffering from radiation induced toxicity. If this would be the only metastatic site to be irradiated, the concerned patient will be excluded from the study.</w:t>
      </w:r>
    </w:p>
    <w:p w14:paraId="5A8FB8B7" w14:textId="38CA1012" w:rsidR="0043731C" w:rsidRPr="004F15D0" w:rsidRDefault="0005603E" w:rsidP="0005603E">
      <w:pPr>
        <w:autoSpaceDE w:val="0"/>
        <w:autoSpaceDN w:val="0"/>
        <w:adjustRightInd w:val="0"/>
        <w:spacing w:line="360" w:lineRule="auto"/>
        <w:rPr>
          <w:sz w:val="22"/>
          <w:szCs w:val="22"/>
        </w:rPr>
      </w:pPr>
      <w:r w:rsidRPr="004F15D0">
        <w:rPr>
          <w:sz w:val="22"/>
          <w:szCs w:val="22"/>
        </w:rPr>
        <w:t xml:space="preserve">6) </w:t>
      </w:r>
      <w:r w:rsidR="0043731C" w:rsidRPr="004F15D0">
        <w:rPr>
          <w:sz w:val="22"/>
          <w:szCs w:val="22"/>
        </w:rPr>
        <w:t>Absence of any psychological, familial, sociological or geographical condition potentially hampering compliance with the study protocol</w:t>
      </w:r>
      <w:r w:rsidRPr="004F15D0">
        <w:rPr>
          <w:sz w:val="22"/>
          <w:szCs w:val="22"/>
        </w:rPr>
        <w:t>.</w:t>
      </w:r>
    </w:p>
    <w:p w14:paraId="56AE3A91" w14:textId="6FF4C9F4" w:rsidR="0043731C" w:rsidRPr="004F15D0" w:rsidRDefault="0005603E" w:rsidP="0005603E">
      <w:pPr>
        <w:pStyle w:val="ListParagraph"/>
        <w:autoSpaceDE w:val="0"/>
        <w:autoSpaceDN w:val="0"/>
        <w:adjustRightInd w:val="0"/>
        <w:spacing w:line="360" w:lineRule="auto"/>
        <w:ind w:left="0"/>
        <w:rPr>
          <w:sz w:val="22"/>
          <w:szCs w:val="22"/>
        </w:rPr>
      </w:pPr>
      <w:r w:rsidRPr="004F15D0">
        <w:rPr>
          <w:sz w:val="22"/>
          <w:szCs w:val="22"/>
        </w:rPr>
        <w:t xml:space="preserve">7) </w:t>
      </w:r>
      <w:r w:rsidR="0043731C" w:rsidRPr="004F15D0">
        <w:rPr>
          <w:sz w:val="22"/>
          <w:szCs w:val="22"/>
        </w:rPr>
        <w:t>Adequate hematologic and end-organ function, defined by the following laboratory results obtained within 14 days prior to the first study treatment:</w:t>
      </w:r>
    </w:p>
    <w:p w14:paraId="0FCCD60A" w14:textId="1862EA5E" w:rsidR="0043731C" w:rsidRPr="004F15D0" w:rsidRDefault="0043731C" w:rsidP="0043731C">
      <w:pPr>
        <w:autoSpaceDE w:val="0"/>
        <w:autoSpaceDN w:val="0"/>
        <w:adjustRightInd w:val="0"/>
        <w:spacing w:line="360" w:lineRule="auto"/>
        <w:rPr>
          <w:sz w:val="22"/>
          <w:szCs w:val="22"/>
        </w:rPr>
      </w:pPr>
      <w:r w:rsidRPr="004F15D0">
        <w:rPr>
          <w:sz w:val="22"/>
          <w:szCs w:val="22"/>
        </w:rPr>
        <w:t>a) ANC ≥1.5 G/L (without granulocyte colony-stimulating factor support within 2 weeks prior registration)</w:t>
      </w:r>
    </w:p>
    <w:p w14:paraId="403BFFCB" w14:textId="77777777" w:rsidR="0043731C" w:rsidRPr="004F15D0" w:rsidRDefault="0043731C" w:rsidP="0043731C">
      <w:pPr>
        <w:autoSpaceDE w:val="0"/>
        <w:autoSpaceDN w:val="0"/>
        <w:adjustRightInd w:val="0"/>
        <w:spacing w:line="360" w:lineRule="auto"/>
        <w:rPr>
          <w:sz w:val="22"/>
          <w:szCs w:val="22"/>
        </w:rPr>
      </w:pPr>
      <w:r w:rsidRPr="004F15D0">
        <w:rPr>
          <w:sz w:val="22"/>
          <w:szCs w:val="22"/>
        </w:rPr>
        <w:t>b) WBC counts ≥2.5 G/L and &lt;15 G/L</w:t>
      </w:r>
    </w:p>
    <w:p w14:paraId="58D0F77F" w14:textId="77777777" w:rsidR="0043731C" w:rsidRPr="004F15D0" w:rsidRDefault="0043731C" w:rsidP="0043731C">
      <w:pPr>
        <w:autoSpaceDE w:val="0"/>
        <w:autoSpaceDN w:val="0"/>
        <w:adjustRightInd w:val="0"/>
        <w:spacing w:line="360" w:lineRule="auto"/>
        <w:rPr>
          <w:sz w:val="22"/>
          <w:szCs w:val="22"/>
        </w:rPr>
      </w:pPr>
      <w:r w:rsidRPr="004F15D0">
        <w:rPr>
          <w:sz w:val="22"/>
          <w:szCs w:val="22"/>
        </w:rPr>
        <w:t>c) Lymphocyte count ≥0.5 G/L</w:t>
      </w:r>
    </w:p>
    <w:p w14:paraId="63B39A6D" w14:textId="77777777" w:rsidR="0043731C" w:rsidRPr="004F15D0" w:rsidRDefault="0043731C" w:rsidP="0043731C">
      <w:pPr>
        <w:autoSpaceDE w:val="0"/>
        <w:autoSpaceDN w:val="0"/>
        <w:adjustRightInd w:val="0"/>
        <w:spacing w:line="360" w:lineRule="auto"/>
        <w:rPr>
          <w:sz w:val="22"/>
          <w:szCs w:val="22"/>
        </w:rPr>
      </w:pPr>
      <w:r w:rsidRPr="004F15D0">
        <w:rPr>
          <w:sz w:val="22"/>
          <w:szCs w:val="22"/>
        </w:rPr>
        <w:t xml:space="preserve">d) Platelet count ≥ 100 G/L (without transfusion within </w:t>
      </w:r>
      <w:proofErr w:type="gramStart"/>
      <w:r w:rsidRPr="004F15D0">
        <w:rPr>
          <w:sz w:val="22"/>
          <w:szCs w:val="22"/>
        </w:rPr>
        <w:t>1 week</w:t>
      </w:r>
      <w:proofErr w:type="gramEnd"/>
      <w:r w:rsidRPr="004F15D0">
        <w:rPr>
          <w:sz w:val="22"/>
          <w:szCs w:val="22"/>
        </w:rPr>
        <w:t xml:space="preserve"> prior registration)</w:t>
      </w:r>
    </w:p>
    <w:p w14:paraId="13EB4EE2" w14:textId="302D0A48" w:rsidR="0043731C" w:rsidRPr="004F15D0" w:rsidRDefault="0043731C" w:rsidP="0043731C">
      <w:pPr>
        <w:autoSpaceDE w:val="0"/>
        <w:autoSpaceDN w:val="0"/>
        <w:adjustRightInd w:val="0"/>
        <w:spacing w:line="360" w:lineRule="auto"/>
        <w:rPr>
          <w:sz w:val="22"/>
          <w:szCs w:val="22"/>
        </w:rPr>
      </w:pPr>
      <w:r w:rsidRPr="004F15D0">
        <w:rPr>
          <w:sz w:val="22"/>
          <w:szCs w:val="22"/>
        </w:rPr>
        <w:t xml:space="preserve">e) Hemoglobin ≥90 g/l (Patients may be transfused to meet this criterion but it should not be done within </w:t>
      </w:r>
      <w:proofErr w:type="gramStart"/>
      <w:r w:rsidRPr="004F15D0">
        <w:rPr>
          <w:sz w:val="22"/>
          <w:szCs w:val="22"/>
        </w:rPr>
        <w:t>1 week</w:t>
      </w:r>
      <w:proofErr w:type="gramEnd"/>
      <w:r w:rsidRPr="004F15D0">
        <w:rPr>
          <w:sz w:val="22"/>
          <w:szCs w:val="22"/>
        </w:rPr>
        <w:t xml:space="preserve"> prior registration)</w:t>
      </w:r>
    </w:p>
    <w:p w14:paraId="7506521F" w14:textId="7C307688" w:rsidR="0043731C" w:rsidRPr="004F15D0" w:rsidRDefault="0043731C" w:rsidP="0043731C">
      <w:pPr>
        <w:autoSpaceDE w:val="0"/>
        <w:autoSpaceDN w:val="0"/>
        <w:adjustRightInd w:val="0"/>
        <w:spacing w:line="360" w:lineRule="auto"/>
        <w:rPr>
          <w:sz w:val="22"/>
          <w:szCs w:val="22"/>
        </w:rPr>
      </w:pPr>
      <w:r w:rsidRPr="004F15D0">
        <w:rPr>
          <w:sz w:val="22"/>
          <w:szCs w:val="22"/>
        </w:rPr>
        <w:t>f) AST, ALT, and alkaline phosphatase ≤2.5 x ULN (with the exception for patients with documented liver metastases: AST, ALT and alkaline phosphatase ≤ 5 x ULN)</w:t>
      </w:r>
    </w:p>
    <w:p w14:paraId="485547B0" w14:textId="78B1DB61" w:rsidR="0043731C" w:rsidRPr="004F15D0" w:rsidRDefault="0043731C" w:rsidP="0043731C">
      <w:pPr>
        <w:autoSpaceDE w:val="0"/>
        <w:autoSpaceDN w:val="0"/>
        <w:adjustRightInd w:val="0"/>
        <w:spacing w:line="360" w:lineRule="auto"/>
        <w:rPr>
          <w:sz w:val="22"/>
          <w:szCs w:val="22"/>
        </w:rPr>
      </w:pPr>
      <w:r w:rsidRPr="004F15D0">
        <w:rPr>
          <w:sz w:val="22"/>
          <w:szCs w:val="22"/>
        </w:rPr>
        <w:t>g) Serum bilirubin ≤1.5 x</w:t>
      </w:r>
      <w:r w:rsidR="00F51576">
        <w:rPr>
          <w:sz w:val="22"/>
          <w:szCs w:val="22"/>
        </w:rPr>
        <w:t xml:space="preserve"> </w:t>
      </w:r>
      <w:r w:rsidRPr="004F15D0">
        <w:rPr>
          <w:sz w:val="22"/>
          <w:szCs w:val="22"/>
        </w:rPr>
        <w:t>ULN (with the exception for: patients with known or suspicion of Gilbert disease who have serum bilirubin level ≤ 3 x ULN may be enrolled)</w:t>
      </w:r>
    </w:p>
    <w:p w14:paraId="50716467" w14:textId="109DC3F8" w:rsidR="0043731C" w:rsidRPr="004F15D0" w:rsidRDefault="0043731C" w:rsidP="0043731C">
      <w:pPr>
        <w:autoSpaceDE w:val="0"/>
        <w:autoSpaceDN w:val="0"/>
        <w:adjustRightInd w:val="0"/>
        <w:spacing w:line="360" w:lineRule="auto"/>
        <w:rPr>
          <w:sz w:val="22"/>
          <w:szCs w:val="22"/>
        </w:rPr>
      </w:pPr>
      <w:r w:rsidRPr="004F15D0">
        <w:rPr>
          <w:sz w:val="22"/>
          <w:szCs w:val="22"/>
        </w:rPr>
        <w:lastRenderedPageBreak/>
        <w:t xml:space="preserve">h) Coagulation: International Normalized Ratio or Prothrombin </w:t>
      </w:r>
      <w:proofErr w:type="gramStart"/>
      <w:r w:rsidRPr="004F15D0">
        <w:rPr>
          <w:sz w:val="22"/>
          <w:szCs w:val="22"/>
        </w:rPr>
        <w:t>Time  ≤</w:t>
      </w:r>
      <w:proofErr w:type="gramEnd"/>
      <w:r w:rsidRPr="004F15D0">
        <w:rPr>
          <w:sz w:val="22"/>
          <w:szCs w:val="22"/>
        </w:rPr>
        <w:t xml:space="preserve">1.5 X ULN unless subject is receiving anticoagulant therapy as long as PT or PTT is within therapeutic range of intended use of anticoagulants; Activated Partial Thromboplastin </w:t>
      </w:r>
      <w:r w:rsidRPr="0005392C">
        <w:rPr>
          <w:sz w:val="22"/>
          <w:szCs w:val="22"/>
        </w:rPr>
        <w:t xml:space="preserve">Time </w:t>
      </w:r>
      <w:r w:rsidRPr="004F15D0">
        <w:rPr>
          <w:sz w:val="22"/>
          <w:szCs w:val="22"/>
        </w:rPr>
        <w:t>≤ 1.5 X ULN unless subject is receiving anticoagulant therapy as long as PT or PTT is within therapeutic range of intended use of anticoagulants.</w:t>
      </w:r>
    </w:p>
    <w:p w14:paraId="2925A9C6" w14:textId="77777777" w:rsidR="0043731C" w:rsidRPr="004F15D0" w:rsidRDefault="0043731C" w:rsidP="0043731C">
      <w:pPr>
        <w:autoSpaceDE w:val="0"/>
        <w:autoSpaceDN w:val="0"/>
        <w:adjustRightInd w:val="0"/>
        <w:spacing w:line="360" w:lineRule="auto"/>
        <w:rPr>
          <w:sz w:val="22"/>
          <w:szCs w:val="22"/>
        </w:rPr>
      </w:pPr>
      <w:proofErr w:type="spellStart"/>
      <w:r w:rsidRPr="004F15D0">
        <w:rPr>
          <w:sz w:val="22"/>
          <w:szCs w:val="22"/>
        </w:rPr>
        <w:t>i</w:t>
      </w:r>
      <w:proofErr w:type="spellEnd"/>
      <w:r w:rsidRPr="004F15D0">
        <w:rPr>
          <w:sz w:val="22"/>
          <w:szCs w:val="22"/>
        </w:rPr>
        <w:t>) Serum albumin &gt; 25 g/l</w:t>
      </w:r>
    </w:p>
    <w:p w14:paraId="77A3D36F" w14:textId="6215F8BD" w:rsidR="0043731C" w:rsidRPr="004F15D0" w:rsidRDefault="0043731C" w:rsidP="0043731C">
      <w:pPr>
        <w:autoSpaceDE w:val="0"/>
        <w:autoSpaceDN w:val="0"/>
        <w:adjustRightInd w:val="0"/>
        <w:spacing w:line="360" w:lineRule="auto"/>
        <w:rPr>
          <w:sz w:val="22"/>
          <w:szCs w:val="22"/>
        </w:rPr>
      </w:pPr>
      <w:r w:rsidRPr="004F15D0">
        <w:rPr>
          <w:sz w:val="22"/>
          <w:szCs w:val="22"/>
        </w:rPr>
        <w:t xml:space="preserve">j) Serum creatinine ≤1.5 X ULN or creatinine clearance ≥40 ml/min on the basis of Cockcroft-Gault Formula </w:t>
      </w:r>
    </w:p>
    <w:p w14:paraId="62F32FC0" w14:textId="7016CD5B" w:rsidR="0043731C" w:rsidRPr="004F15D0" w:rsidRDefault="0005603E" w:rsidP="0043731C">
      <w:pPr>
        <w:autoSpaceDE w:val="0"/>
        <w:autoSpaceDN w:val="0"/>
        <w:adjustRightInd w:val="0"/>
        <w:spacing w:line="360" w:lineRule="auto"/>
        <w:rPr>
          <w:sz w:val="22"/>
          <w:szCs w:val="22"/>
        </w:rPr>
      </w:pPr>
      <w:r w:rsidRPr="004F15D0">
        <w:rPr>
          <w:sz w:val="22"/>
          <w:szCs w:val="22"/>
        </w:rPr>
        <w:t>8</w:t>
      </w:r>
      <w:r w:rsidR="0043731C" w:rsidRPr="004F15D0">
        <w:rPr>
          <w:sz w:val="22"/>
          <w:szCs w:val="22"/>
        </w:rPr>
        <w:t>) No prior radiation therapy in areas of desired radiation</w:t>
      </w:r>
    </w:p>
    <w:p w14:paraId="267BBE48" w14:textId="32080A28" w:rsidR="0043731C" w:rsidRPr="004F15D0" w:rsidRDefault="0005603E" w:rsidP="0043731C">
      <w:pPr>
        <w:autoSpaceDE w:val="0"/>
        <w:autoSpaceDN w:val="0"/>
        <w:adjustRightInd w:val="0"/>
        <w:spacing w:line="360" w:lineRule="auto"/>
        <w:rPr>
          <w:sz w:val="22"/>
          <w:szCs w:val="22"/>
        </w:rPr>
      </w:pPr>
      <w:r w:rsidRPr="004F15D0">
        <w:rPr>
          <w:sz w:val="22"/>
          <w:szCs w:val="22"/>
        </w:rPr>
        <w:t>9</w:t>
      </w:r>
      <w:r w:rsidR="0043731C" w:rsidRPr="004F15D0">
        <w:rPr>
          <w:sz w:val="22"/>
          <w:szCs w:val="22"/>
        </w:rPr>
        <w:t xml:space="preserve">) Patients may have had prior therapy provided a washout period of 4 weeks prior to registration is allowed. Exception: hormone therapy for breast and prostate cancer is allowed to be continued during the study. The introduction of a new line of hormonal therapy during the 6 months that proceed the study or during the study is not allowed </w:t>
      </w:r>
    </w:p>
    <w:p w14:paraId="445EC760" w14:textId="30F5170E" w:rsidR="0043731C" w:rsidRPr="004F15D0" w:rsidRDefault="0043731C" w:rsidP="0043731C">
      <w:pPr>
        <w:autoSpaceDE w:val="0"/>
        <w:autoSpaceDN w:val="0"/>
        <w:adjustRightInd w:val="0"/>
        <w:spacing w:line="360" w:lineRule="auto"/>
        <w:rPr>
          <w:sz w:val="22"/>
          <w:szCs w:val="22"/>
        </w:rPr>
      </w:pPr>
      <w:r w:rsidRPr="004F15D0">
        <w:rPr>
          <w:sz w:val="22"/>
          <w:szCs w:val="22"/>
        </w:rPr>
        <w:t>Patients who have received prior treatment with anti-PD1, anti-PD-L1 or anti-CTLA-4 may be enrolled, provided at least 5 half-lives (approximately 75 days) have elapsed from the last dose to the registration and there was no history of severe immune-mediated adverse effects from such therapy (</w:t>
      </w:r>
      <w:r w:rsidR="0005392C" w:rsidRPr="004F15D0">
        <w:rPr>
          <w:sz w:val="22"/>
          <w:szCs w:val="22"/>
        </w:rPr>
        <w:t xml:space="preserve">NCI CTCAE </w:t>
      </w:r>
      <w:r w:rsidR="0005392C">
        <w:rPr>
          <w:sz w:val="22"/>
          <w:szCs w:val="22"/>
        </w:rPr>
        <w:t xml:space="preserve">v3.0 </w:t>
      </w:r>
      <w:r w:rsidRPr="004F15D0">
        <w:rPr>
          <w:sz w:val="22"/>
          <w:szCs w:val="22"/>
        </w:rPr>
        <w:t>Grade 3 and 4)</w:t>
      </w:r>
    </w:p>
    <w:p w14:paraId="03139043" w14:textId="7E402391" w:rsidR="0043731C" w:rsidRPr="004F15D0" w:rsidRDefault="0005603E" w:rsidP="0043731C">
      <w:pPr>
        <w:spacing w:line="360" w:lineRule="auto"/>
        <w:rPr>
          <w:sz w:val="22"/>
          <w:szCs w:val="22"/>
        </w:rPr>
      </w:pPr>
      <w:r w:rsidRPr="004F15D0">
        <w:rPr>
          <w:sz w:val="22"/>
          <w:szCs w:val="22"/>
        </w:rPr>
        <w:t>10</w:t>
      </w:r>
      <w:r w:rsidR="0043731C" w:rsidRPr="004F15D0">
        <w:rPr>
          <w:sz w:val="22"/>
          <w:szCs w:val="22"/>
        </w:rPr>
        <w:t>) Recovery from any toxic effects of prior registration to ≤ Grade 1 per the NCI CTCAE v4.03 except fatigue or alopecia.</w:t>
      </w:r>
    </w:p>
    <w:p w14:paraId="2091FA69" w14:textId="48DC1486" w:rsidR="0043731C" w:rsidRPr="004F15D0" w:rsidRDefault="0043731C" w:rsidP="0043731C">
      <w:pPr>
        <w:autoSpaceDE w:val="0"/>
        <w:autoSpaceDN w:val="0"/>
        <w:adjustRightInd w:val="0"/>
        <w:spacing w:line="360" w:lineRule="auto"/>
        <w:rPr>
          <w:sz w:val="22"/>
          <w:szCs w:val="22"/>
        </w:rPr>
      </w:pPr>
      <w:r w:rsidRPr="004F15D0">
        <w:rPr>
          <w:sz w:val="22"/>
          <w:szCs w:val="22"/>
        </w:rPr>
        <w:t>1</w:t>
      </w:r>
      <w:r w:rsidR="0005603E" w:rsidRPr="004F15D0">
        <w:rPr>
          <w:sz w:val="22"/>
          <w:szCs w:val="22"/>
        </w:rPr>
        <w:t>1</w:t>
      </w:r>
      <w:r w:rsidRPr="004F15D0">
        <w:rPr>
          <w:sz w:val="22"/>
          <w:szCs w:val="22"/>
        </w:rPr>
        <w:t xml:space="preserve">) For women of childbearing potential (sexually mature women who have not undergone a hysterectomy, have not been naturally post- menopausal for at least 12 consecutive months or have a serum follicle-stimulating hormone &lt; 40 </w:t>
      </w:r>
      <w:proofErr w:type="spellStart"/>
      <w:r w:rsidRPr="004F15D0">
        <w:rPr>
          <w:sz w:val="22"/>
          <w:szCs w:val="22"/>
        </w:rPr>
        <w:t>mIU</w:t>
      </w:r>
      <w:proofErr w:type="spellEnd"/>
      <w:r w:rsidRPr="004F15D0">
        <w:rPr>
          <w:sz w:val="22"/>
          <w:szCs w:val="22"/>
        </w:rPr>
        <w:t>/ml):</w:t>
      </w:r>
    </w:p>
    <w:p w14:paraId="1B405E19" w14:textId="77777777" w:rsidR="0043731C" w:rsidRPr="004F15D0" w:rsidRDefault="0043731C" w:rsidP="0043731C">
      <w:pPr>
        <w:autoSpaceDE w:val="0"/>
        <w:autoSpaceDN w:val="0"/>
        <w:adjustRightInd w:val="0"/>
        <w:spacing w:line="360" w:lineRule="auto"/>
        <w:rPr>
          <w:sz w:val="22"/>
          <w:szCs w:val="22"/>
        </w:rPr>
      </w:pPr>
      <w:r w:rsidRPr="004F15D0">
        <w:rPr>
          <w:sz w:val="22"/>
          <w:szCs w:val="22"/>
        </w:rPr>
        <w:t>a. Agreement to use 2 acceptable methods of contraception during participation in the trial and for 6 months after last study combined treatment and after 5 months of maintenance treatment</w:t>
      </w:r>
    </w:p>
    <w:p w14:paraId="0F66A84C" w14:textId="77777777" w:rsidR="0043731C" w:rsidRPr="004F15D0" w:rsidRDefault="0043731C" w:rsidP="0043731C">
      <w:pPr>
        <w:autoSpaceDE w:val="0"/>
        <w:autoSpaceDN w:val="0"/>
        <w:adjustRightInd w:val="0"/>
        <w:spacing w:line="360" w:lineRule="auto"/>
        <w:rPr>
          <w:sz w:val="22"/>
          <w:szCs w:val="22"/>
        </w:rPr>
      </w:pPr>
      <w:r w:rsidRPr="004F15D0">
        <w:rPr>
          <w:sz w:val="22"/>
          <w:szCs w:val="22"/>
        </w:rPr>
        <w:t>b. Women must have a negative urine pregnancy test within 7 days before registration. A positive urine test must be confirmed by a serum pregnancy test, or menopausal as per NCCN guidelines.</w:t>
      </w:r>
    </w:p>
    <w:p w14:paraId="70531C76" w14:textId="72961A08" w:rsidR="0043731C" w:rsidRPr="004F15D0" w:rsidRDefault="0043731C" w:rsidP="0043731C">
      <w:pPr>
        <w:autoSpaceDE w:val="0"/>
        <w:autoSpaceDN w:val="0"/>
        <w:adjustRightInd w:val="0"/>
        <w:spacing w:line="360" w:lineRule="auto"/>
        <w:rPr>
          <w:sz w:val="22"/>
          <w:szCs w:val="22"/>
        </w:rPr>
      </w:pPr>
      <w:r w:rsidRPr="004F15D0">
        <w:rPr>
          <w:sz w:val="22"/>
          <w:szCs w:val="22"/>
        </w:rPr>
        <w:t>1</w:t>
      </w:r>
      <w:r w:rsidR="0005603E" w:rsidRPr="004F15D0">
        <w:rPr>
          <w:sz w:val="22"/>
          <w:szCs w:val="22"/>
        </w:rPr>
        <w:t>2</w:t>
      </w:r>
      <w:r w:rsidRPr="004F15D0">
        <w:rPr>
          <w:sz w:val="22"/>
          <w:szCs w:val="22"/>
        </w:rPr>
        <w:t>) For men: agreement to use 2 acceptable methods of effective contraception during participation in the trial and for 7 months after last study treatment (combined or maintenance treatment). Female partners of men who take part in this trial must also use at least one method of effective contraception during the trial and 7 months after last study treatment (combined or maintenance)</w:t>
      </w:r>
    </w:p>
    <w:p w14:paraId="2DDD7E09" w14:textId="2538F417" w:rsidR="001F1C40" w:rsidRPr="004F15D0" w:rsidRDefault="001F1C40" w:rsidP="0043731C">
      <w:pPr>
        <w:autoSpaceDE w:val="0"/>
        <w:autoSpaceDN w:val="0"/>
        <w:adjustRightInd w:val="0"/>
        <w:spacing w:line="360" w:lineRule="auto"/>
        <w:rPr>
          <w:sz w:val="22"/>
          <w:szCs w:val="22"/>
        </w:rPr>
      </w:pPr>
    </w:p>
    <w:p w14:paraId="14F8E183" w14:textId="5F9E4052" w:rsidR="001F1C40" w:rsidRDefault="001F1C40" w:rsidP="0043731C">
      <w:pPr>
        <w:autoSpaceDE w:val="0"/>
        <w:autoSpaceDN w:val="0"/>
        <w:adjustRightInd w:val="0"/>
        <w:spacing w:line="360" w:lineRule="auto"/>
        <w:rPr>
          <w:sz w:val="22"/>
          <w:szCs w:val="22"/>
        </w:rPr>
      </w:pPr>
    </w:p>
    <w:p w14:paraId="080BFFB4" w14:textId="27E7C13B" w:rsidR="0043205D" w:rsidRDefault="0005392C" w:rsidP="0043731C">
      <w:pPr>
        <w:autoSpaceDE w:val="0"/>
        <w:autoSpaceDN w:val="0"/>
        <w:adjustRightInd w:val="0"/>
        <w:spacing w:line="360" w:lineRule="auto"/>
        <w:rPr>
          <w:sz w:val="22"/>
          <w:szCs w:val="22"/>
        </w:rPr>
      </w:pPr>
      <w:r w:rsidRPr="00663824">
        <w:rPr>
          <w:sz w:val="22"/>
          <w:szCs w:val="22"/>
        </w:rPr>
        <w:t xml:space="preserve">Abbreviations: TIL: tumor infiltrating lymphocytes, CT: computed tomography scan, ANC: absolute neutrophil count, WBC: white blood cells, AST: </w:t>
      </w:r>
      <w:r w:rsidRPr="0005392C">
        <w:rPr>
          <w:sz w:val="22"/>
          <w:szCs w:val="22"/>
        </w:rPr>
        <w:t>aspartate aminotransferase</w:t>
      </w:r>
      <w:r w:rsidRPr="00663824">
        <w:rPr>
          <w:sz w:val="22"/>
          <w:szCs w:val="22"/>
        </w:rPr>
        <w:t xml:space="preserve">, ALT: </w:t>
      </w:r>
      <w:r w:rsidRPr="0005392C">
        <w:rPr>
          <w:sz w:val="22"/>
          <w:szCs w:val="22"/>
        </w:rPr>
        <w:t>alanine aminotransferase</w:t>
      </w:r>
      <w:r w:rsidRPr="00663824">
        <w:rPr>
          <w:sz w:val="22"/>
          <w:szCs w:val="22"/>
        </w:rPr>
        <w:t xml:space="preserve">, ULN: upper limit of normal, </w:t>
      </w:r>
      <w:r w:rsidRPr="00663824">
        <w:rPr>
          <w:sz w:val="22"/>
          <w:szCs w:val="22"/>
        </w:rPr>
        <w:t>NCI CTCAE</w:t>
      </w:r>
      <w:r w:rsidRPr="00663824">
        <w:rPr>
          <w:sz w:val="22"/>
          <w:szCs w:val="22"/>
        </w:rPr>
        <w:t xml:space="preserve">: </w:t>
      </w:r>
      <w:r w:rsidRPr="00663824">
        <w:rPr>
          <w:sz w:val="22"/>
          <w:szCs w:val="22"/>
        </w:rPr>
        <w:t>National Cancer Institute Common Terminology Criteria for Adverse Events</w:t>
      </w:r>
      <w:r w:rsidRPr="00663824">
        <w:rPr>
          <w:sz w:val="22"/>
          <w:szCs w:val="22"/>
        </w:rPr>
        <w:t xml:space="preserve">, </w:t>
      </w:r>
      <w:r w:rsidRPr="00663824">
        <w:rPr>
          <w:sz w:val="22"/>
          <w:szCs w:val="22"/>
        </w:rPr>
        <w:t>NCCN</w:t>
      </w:r>
      <w:r w:rsidRPr="00663824">
        <w:rPr>
          <w:sz w:val="22"/>
          <w:szCs w:val="22"/>
        </w:rPr>
        <w:t xml:space="preserve">: </w:t>
      </w:r>
      <w:r w:rsidR="00663824" w:rsidRPr="00663824">
        <w:rPr>
          <w:rStyle w:val="Emphasis"/>
          <w:i w:val="0"/>
          <w:iCs w:val="0"/>
          <w:sz w:val="22"/>
          <w:szCs w:val="22"/>
        </w:rPr>
        <w:t>National Comprehensive Cancer Network</w:t>
      </w:r>
    </w:p>
    <w:p w14:paraId="0613EA46" w14:textId="77777777" w:rsidR="004F15D0" w:rsidRPr="004F15D0" w:rsidRDefault="004F15D0" w:rsidP="0043731C">
      <w:pPr>
        <w:autoSpaceDE w:val="0"/>
        <w:autoSpaceDN w:val="0"/>
        <w:adjustRightInd w:val="0"/>
        <w:spacing w:line="360" w:lineRule="auto"/>
        <w:rPr>
          <w:sz w:val="22"/>
          <w:szCs w:val="22"/>
        </w:rPr>
      </w:pPr>
    </w:p>
    <w:sectPr w:rsidR="004F15D0" w:rsidRPr="004F15D0" w:rsidSect="009B1662">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97F6" w14:textId="77777777" w:rsidR="00E816B6" w:rsidRDefault="00E816B6">
      <w:r>
        <w:separator/>
      </w:r>
    </w:p>
  </w:endnote>
  <w:endnote w:type="continuationSeparator" w:id="0">
    <w:p w14:paraId="3A9D610B" w14:textId="77777777" w:rsidR="00E816B6" w:rsidRDefault="00E8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261188"/>
      <w:docPartObj>
        <w:docPartGallery w:val="Page Numbers (Bottom of Page)"/>
        <w:docPartUnique/>
      </w:docPartObj>
    </w:sdtPr>
    <w:sdtEndPr>
      <w:rPr>
        <w:rStyle w:val="PageNumber"/>
      </w:rPr>
    </w:sdtEndPr>
    <w:sdtContent>
      <w:p w14:paraId="29B27BEF" w14:textId="77777777" w:rsidR="009471E2" w:rsidRDefault="009471E2" w:rsidP="009B1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94D4D" w14:textId="77777777" w:rsidR="009471E2" w:rsidRDefault="009471E2" w:rsidP="009B1662">
    <w:pPr>
      <w:pStyle w:val="Footer"/>
      <w:ind w:right="360"/>
    </w:pPr>
  </w:p>
  <w:p w14:paraId="7A2755C4" w14:textId="77777777" w:rsidR="009471E2" w:rsidRDefault="00947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647604"/>
      <w:docPartObj>
        <w:docPartGallery w:val="Page Numbers (Bottom of Page)"/>
        <w:docPartUnique/>
      </w:docPartObj>
    </w:sdtPr>
    <w:sdtEndPr>
      <w:rPr>
        <w:rStyle w:val="PageNumber"/>
      </w:rPr>
    </w:sdtEndPr>
    <w:sdtContent>
      <w:p w14:paraId="1F971A77" w14:textId="77777777" w:rsidR="009471E2" w:rsidRDefault="009471E2" w:rsidP="009B1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2DF189B" w14:textId="77777777" w:rsidR="009471E2" w:rsidRDefault="009471E2" w:rsidP="009B1662">
    <w:pPr>
      <w:pStyle w:val="Footer"/>
      <w:ind w:right="360"/>
    </w:pPr>
  </w:p>
  <w:p w14:paraId="43BFAFD3" w14:textId="77777777" w:rsidR="009471E2" w:rsidRDefault="009471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F852" w14:textId="77777777" w:rsidR="009471E2" w:rsidRDefault="0094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CF40" w14:textId="77777777" w:rsidR="00E816B6" w:rsidRDefault="00E816B6">
      <w:r>
        <w:separator/>
      </w:r>
    </w:p>
  </w:footnote>
  <w:footnote w:type="continuationSeparator" w:id="0">
    <w:p w14:paraId="3A787ADB" w14:textId="77777777" w:rsidR="00E816B6" w:rsidRDefault="00E8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EADF" w14:textId="22EC25E9" w:rsidR="009471E2" w:rsidRDefault="00947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2BA" w14:textId="58771D5B" w:rsidR="009471E2" w:rsidRDefault="009471E2">
    <w:pPr>
      <w:pStyle w:val="Header"/>
    </w:pPr>
    <w:r>
      <w:t xml:space="preserve">Herrera et 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E2FC" w14:textId="3D4BE064" w:rsidR="009471E2" w:rsidRDefault="00947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13"/>
    <w:multiLevelType w:val="hybridMultilevel"/>
    <w:tmpl w:val="3288D1F2"/>
    <w:lvl w:ilvl="0" w:tplc="BF42E9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72D7B"/>
    <w:multiLevelType w:val="hybridMultilevel"/>
    <w:tmpl w:val="740EDCE8"/>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93AD8"/>
    <w:multiLevelType w:val="hybridMultilevel"/>
    <w:tmpl w:val="51A80CDC"/>
    <w:lvl w:ilvl="0" w:tplc="04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D5060"/>
    <w:multiLevelType w:val="hybridMultilevel"/>
    <w:tmpl w:val="A37C3674"/>
    <w:lvl w:ilvl="0" w:tplc="04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82D75"/>
    <w:multiLevelType w:val="multilevel"/>
    <w:tmpl w:val="3A88F5D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6C53530"/>
    <w:multiLevelType w:val="hybridMultilevel"/>
    <w:tmpl w:val="464ADE7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A7BE9"/>
    <w:multiLevelType w:val="hybridMultilevel"/>
    <w:tmpl w:val="EF3A4B8E"/>
    <w:lvl w:ilvl="0" w:tplc="FB5A3A86">
      <w:start w:val="1"/>
      <w:numFmt w:val="bullet"/>
      <w:lvlText w:val="•"/>
      <w:lvlJc w:val="left"/>
      <w:pPr>
        <w:tabs>
          <w:tab w:val="num" w:pos="720"/>
        </w:tabs>
        <w:ind w:left="720" w:hanging="360"/>
      </w:pPr>
      <w:rPr>
        <w:rFonts w:ascii="Arial" w:hAnsi="Arial" w:hint="default"/>
      </w:rPr>
    </w:lvl>
    <w:lvl w:ilvl="1" w:tplc="A2785BA0" w:tentative="1">
      <w:start w:val="1"/>
      <w:numFmt w:val="bullet"/>
      <w:lvlText w:val="•"/>
      <w:lvlJc w:val="left"/>
      <w:pPr>
        <w:tabs>
          <w:tab w:val="num" w:pos="1440"/>
        </w:tabs>
        <w:ind w:left="1440" w:hanging="360"/>
      </w:pPr>
      <w:rPr>
        <w:rFonts w:ascii="Arial" w:hAnsi="Arial" w:hint="default"/>
      </w:rPr>
    </w:lvl>
    <w:lvl w:ilvl="2" w:tplc="87123D90" w:tentative="1">
      <w:start w:val="1"/>
      <w:numFmt w:val="bullet"/>
      <w:lvlText w:val="•"/>
      <w:lvlJc w:val="left"/>
      <w:pPr>
        <w:tabs>
          <w:tab w:val="num" w:pos="2160"/>
        </w:tabs>
        <w:ind w:left="2160" w:hanging="360"/>
      </w:pPr>
      <w:rPr>
        <w:rFonts w:ascii="Arial" w:hAnsi="Arial" w:hint="default"/>
      </w:rPr>
    </w:lvl>
    <w:lvl w:ilvl="3" w:tplc="15B4119C" w:tentative="1">
      <w:start w:val="1"/>
      <w:numFmt w:val="bullet"/>
      <w:lvlText w:val="•"/>
      <w:lvlJc w:val="left"/>
      <w:pPr>
        <w:tabs>
          <w:tab w:val="num" w:pos="2880"/>
        </w:tabs>
        <w:ind w:left="2880" w:hanging="360"/>
      </w:pPr>
      <w:rPr>
        <w:rFonts w:ascii="Arial" w:hAnsi="Arial" w:hint="default"/>
      </w:rPr>
    </w:lvl>
    <w:lvl w:ilvl="4" w:tplc="D74C0B38" w:tentative="1">
      <w:start w:val="1"/>
      <w:numFmt w:val="bullet"/>
      <w:lvlText w:val="•"/>
      <w:lvlJc w:val="left"/>
      <w:pPr>
        <w:tabs>
          <w:tab w:val="num" w:pos="3600"/>
        </w:tabs>
        <w:ind w:left="3600" w:hanging="360"/>
      </w:pPr>
      <w:rPr>
        <w:rFonts w:ascii="Arial" w:hAnsi="Arial" w:hint="default"/>
      </w:rPr>
    </w:lvl>
    <w:lvl w:ilvl="5" w:tplc="CBA641C0" w:tentative="1">
      <w:start w:val="1"/>
      <w:numFmt w:val="bullet"/>
      <w:lvlText w:val="•"/>
      <w:lvlJc w:val="left"/>
      <w:pPr>
        <w:tabs>
          <w:tab w:val="num" w:pos="4320"/>
        </w:tabs>
        <w:ind w:left="4320" w:hanging="360"/>
      </w:pPr>
      <w:rPr>
        <w:rFonts w:ascii="Arial" w:hAnsi="Arial" w:hint="default"/>
      </w:rPr>
    </w:lvl>
    <w:lvl w:ilvl="6" w:tplc="E02A56C6" w:tentative="1">
      <w:start w:val="1"/>
      <w:numFmt w:val="bullet"/>
      <w:lvlText w:val="•"/>
      <w:lvlJc w:val="left"/>
      <w:pPr>
        <w:tabs>
          <w:tab w:val="num" w:pos="5040"/>
        </w:tabs>
        <w:ind w:left="5040" w:hanging="360"/>
      </w:pPr>
      <w:rPr>
        <w:rFonts w:ascii="Arial" w:hAnsi="Arial" w:hint="default"/>
      </w:rPr>
    </w:lvl>
    <w:lvl w:ilvl="7" w:tplc="60307292" w:tentative="1">
      <w:start w:val="1"/>
      <w:numFmt w:val="bullet"/>
      <w:lvlText w:val="•"/>
      <w:lvlJc w:val="left"/>
      <w:pPr>
        <w:tabs>
          <w:tab w:val="num" w:pos="5760"/>
        </w:tabs>
        <w:ind w:left="5760" w:hanging="360"/>
      </w:pPr>
      <w:rPr>
        <w:rFonts w:ascii="Arial" w:hAnsi="Arial" w:hint="default"/>
      </w:rPr>
    </w:lvl>
    <w:lvl w:ilvl="8" w:tplc="E2A804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950976"/>
    <w:multiLevelType w:val="multilevel"/>
    <w:tmpl w:val="C2DC2E36"/>
    <w:lvl w:ilvl="0">
      <w:start w:val="1"/>
      <w:numFmt w:val="decimal"/>
      <w:lvlText w:val="%1."/>
      <w:lvlJc w:val="left"/>
      <w:pPr>
        <w:ind w:left="360" w:hanging="360"/>
      </w:pPr>
    </w:lvl>
    <w:lvl w:ilvl="1">
      <w:start w:val="2"/>
      <w:numFmt w:val="decimal"/>
      <w:isLgl/>
      <w:lvlText w:val="%1.%2"/>
      <w:lvlJc w:val="left"/>
      <w:pPr>
        <w:ind w:left="993"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3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90" w:hanging="1440"/>
      </w:pPr>
      <w:rPr>
        <w:rFonts w:hint="default"/>
      </w:rPr>
    </w:lvl>
    <w:lvl w:ilvl="8">
      <w:start w:val="1"/>
      <w:numFmt w:val="decimal"/>
      <w:isLgl/>
      <w:lvlText w:val="%1.%2.%3.%4.%5.%6.%7.%8.%9"/>
      <w:lvlJc w:val="left"/>
      <w:pPr>
        <w:ind w:left="4600" w:hanging="1800"/>
      </w:pPr>
      <w:rPr>
        <w:rFonts w:hint="default"/>
      </w:rPr>
    </w:lvl>
  </w:abstractNum>
  <w:abstractNum w:abstractNumId="8" w15:restartNumberingAfterBreak="0">
    <w:nsid w:val="31D16CF9"/>
    <w:multiLevelType w:val="hybridMultilevel"/>
    <w:tmpl w:val="12EC3628"/>
    <w:lvl w:ilvl="0" w:tplc="04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E009E"/>
    <w:multiLevelType w:val="hybridMultilevel"/>
    <w:tmpl w:val="CBA056D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9546C5"/>
    <w:multiLevelType w:val="hybridMultilevel"/>
    <w:tmpl w:val="67CEC45C"/>
    <w:lvl w:ilvl="0" w:tplc="AC385A02">
      <w:start w:val="1"/>
      <w:numFmt w:val="bullet"/>
      <w:lvlText w:val="•"/>
      <w:lvlJc w:val="left"/>
      <w:pPr>
        <w:tabs>
          <w:tab w:val="num" w:pos="720"/>
        </w:tabs>
        <w:ind w:left="720" w:hanging="360"/>
      </w:pPr>
      <w:rPr>
        <w:rFonts w:ascii="Arial" w:hAnsi="Arial" w:hint="default"/>
      </w:rPr>
    </w:lvl>
    <w:lvl w:ilvl="1" w:tplc="86A046F6" w:tentative="1">
      <w:start w:val="1"/>
      <w:numFmt w:val="bullet"/>
      <w:lvlText w:val="•"/>
      <w:lvlJc w:val="left"/>
      <w:pPr>
        <w:tabs>
          <w:tab w:val="num" w:pos="1440"/>
        </w:tabs>
        <w:ind w:left="1440" w:hanging="360"/>
      </w:pPr>
      <w:rPr>
        <w:rFonts w:ascii="Arial" w:hAnsi="Arial" w:hint="default"/>
      </w:rPr>
    </w:lvl>
    <w:lvl w:ilvl="2" w:tplc="B7FE3014" w:tentative="1">
      <w:start w:val="1"/>
      <w:numFmt w:val="bullet"/>
      <w:lvlText w:val="•"/>
      <w:lvlJc w:val="left"/>
      <w:pPr>
        <w:tabs>
          <w:tab w:val="num" w:pos="2160"/>
        </w:tabs>
        <w:ind w:left="2160" w:hanging="360"/>
      </w:pPr>
      <w:rPr>
        <w:rFonts w:ascii="Arial" w:hAnsi="Arial" w:hint="default"/>
      </w:rPr>
    </w:lvl>
    <w:lvl w:ilvl="3" w:tplc="E0E8C74C" w:tentative="1">
      <w:start w:val="1"/>
      <w:numFmt w:val="bullet"/>
      <w:lvlText w:val="•"/>
      <w:lvlJc w:val="left"/>
      <w:pPr>
        <w:tabs>
          <w:tab w:val="num" w:pos="2880"/>
        </w:tabs>
        <w:ind w:left="2880" w:hanging="360"/>
      </w:pPr>
      <w:rPr>
        <w:rFonts w:ascii="Arial" w:hAnsi="Arial" w:hint="default"/>
      </w:rPr>
    </w:lvl>
    <w:lvl w:ilvl="4" w:tplc="560C9D80" w:tentative="1">
      <w:start w:val="1"/>
      <w:numFmt w:val="bullet"/>
      <w:lvlText w:val="•"/>
      <w:lvlJc w:val="left"/>
      <w:pPr>
        <w:tabs>
          <w:tab w:val="num" w:pos="3600"/>
        </w:tabs>
        <w:ind w:left="3600" w:hanging="360"/>
      </w:pPr>
      <w:rPr>
        <w:rFonts w:ascii="Arial" w:hAnsi="Arial" w:hint="default"/>
      </w:rPr>
    </w:lvl>
    <w:lvl w:ilvl="5" w:tplc="CDF0EE96" w:tentative="1">
      <w:start w:val="1"/>
      <w:numFmt w:val="bullet"/>
      <w:lvlText w:val="•"/>
      <w:lvlJc w:val="left"/>
      <w:pPr>
        <w:tabs>
          <w:tab w:val="num" w:pos="4320"/>
        </w:tabs>
        <w:ind w:left="4320" w:hanging="360"/>
      </w:pPr>
      <w:rPr>
        <w:rFonts w:ascii="Arial" w:hAnsi="Arial" w:hint="default"/>
      </w:rPr>
    </w:lvl>
    <w:lvl w:ilvl="6" w:tplc="85941406" w:tentative="1">
      <w:start w:val="1"/>
      <w:numFmt w:val="bullet"/>
      <w:lvlText w:val="•"/>
      <w:lvlJc w:val="left"/>
      <w:pPr>
        <w:tabs>
          <w:tab w:val="num" w:pos="5040"/>
        </w:tabs>
        <w:ind w:left="5040" w:hanging="360"/>
      </w:pPr>
      <w:rPr>
        <w:rFonts w:ascii="Arial" w:hAnsi="Arial" w:hint="default"/>
      </w:rPr>
    </w:lvl>
    <w:lvl w:ilvl="7" w:tplc="B27A6CC2" w:tentative="1">
      <w:start w:val="1"/>
      <w:numFmt w:val="bullet"/>
      <w:lvlText w:val="•"/>
      <w:lvlJc w:val="left"/>
      <w:pPr>
        <w:tabs>
          <w:tab w:val="num" w:pos="5760"/>
        </w:tabs>
        <w:ind w:left="5760" w:hanging="360"/>
      </w:pPr>
      <w:rPr>
        <w:rFonts w:ascii="Arial" w:hAnsi="Arial" w:hint="default"/>
      </w:rPr>
    </w:lvl>
    <w:lvl w:ilvl="8" w:tplc="E4C29C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742A8E"/>
    <w:multiLevelType w:val="hybridMultilevel"/>
    <w:tmpl w:val="AC6C1F82"/>
    <w:lvl w:ilvl="0" w:tplc="195C2C3C">
      <w:start w:val="1"/>
      <w:numFmt w:val="bullet"/>
      <w:lvlText w:val="•"/>
      <w:lvlJc w:val="left"/>
      <w:pPr>
        <w:tabs>
          <w:tab w:val="num" w:pos="720"/>
        </w:tabs>
        <w:ind w:left="720" w:hanging="360"/>
      </w:pPr>
      <w:rPr>
        <w:rFonts w:ascii="Arial" w:hAnsi="Arial" w:hint="default"/>
      </w:rPr>
    </w:lvl>
    <w:lvl w:ilvl="1" w:tplc="553A1EA8" w:tentative="1">
      <w:start w:val="1"/>
      <w:numFmt w:val="bullet"/>
      <w:lvlText w:val="•"/>
      <w:lvlJc w:val="left"/>
      <w:pPr>
        <w:tabs>
          <w:tab w:val="num" w:pos="1440"/>
        </w:tabs>
        <w:ind w:left="1440" w:hanging="360"/>
      </w:pPr>
      <w:rPr>
        <w:rFonts w:ascii="Arial" w:hAnsi="Arial" w:hint="default"/>
      </w:rPr>
    </w:lvl>
    <w:lvl w:ilvl="2" w:tplc="5B4AA3CE" w:tentative="1">
      <w:start w:val="1"/>
      <w:numFmt w:val="bullet"/>
      <w:lvlText w:val="•"/>
      <w:lvlJc w:val="left"/>
      <w:pPr>
        <w:tabs>
          <w:tab w:val="num" w:pos="2160"/>
        </w:tabs>
        <w:ind w:left="2160" w:hanging="360"/>
      </w:pPr>
      <w:rPr>
        <w:rFonts w:ascii="Arial" w:hAnsi="Arial" w:hint="default"/>
      </w:rPr>
    </w:lvl>
    <w:lvl w:ilvl="3" w:tplc="91AC071E" w:tentative="1">
      <w:start w:val="1"/>
      <w:numFmt w:val="bullet"/>
      <w:lvlText w:val="•"/>
      <w:lvlJc w:val="left"/>
      <w:pPr>
        <w:tabs>
          <w:tab w:val="num" w:pos="2880"/>
        </w:tabs>
        <w:ind w:left="2880" w:hanging="360"/>
      </w:pPr>
      <w:rPr>
        <w:rFonts w:ascii="Arial" w:hAnsi="Arial" w:hint="default"/>
      </w:rPr>
    </w:lvl>
    <w:lvl w:ilvl="4" w:tplc="4B7AF616" w:tentative="1">
      <w:start w:val="1"/>
      <w:numFmt w:val="bullet"/>
      <w:lvlText w:val="•"/>
      <w:lvlJc w:val="left"/>
      <w:pPr>
        <w:tabs>
          <w:tab w:val="num" w:pos="3600"/>
        </w:tabs>
        <w:ind w:left="3600" w:hanging="360"/>
      </w:pPr>
      <w:rPr>
        <w:rFonts w:ascii="Arial" w:hAnsi="Arial" w:hint="default"/>
      </w:rPr>
    </w:lvl>
    <w:lvl w:ilvl="5" w:tplc="515246C6" w:tentative="1">
      <w:start w:val="1"/>
      <w:numFmt w:val="bullet"/>
      <w:lvlText w:val="•"/>
      <w:lvlJc w:val="left"/>
      <w:pPr>
        <w:tabs>
          <w:tab w:val="num" w:pos="4320"/>
        </w:tabs>
        <w:ind w:left="4320" w:hanging="360"/>
      </w:pPr>
      <w:rPr>
        <w:rFonts w:ascii="Arial" w:hAnsi="Arial" w:hint="default"/>
      </w:rPr>
    </w:lvl>
    <w:lvl w:ilvl="6" w:tplc="A59E501E" w:tentative="1">
      <w:start w:val="1"/>
      <w:numFmt w:val="bullet"/>
      <w:lvlText w:val="•"/>
      <w:lvlJc w:val="left"/>
      <w:pPr>
        <w:tabs>
          <w:tab w:val="num" w:pos="5040"/>
        </w:tabs>
        <w:ind w:left="5040" w:hanging="360"/>
      </w:pPr>
      <w:rPr>
        <w:rFonts w:ascii="Arial" w:hAnsi="Arial" w:hint="default"/>
      </w:rPr>
    </w:lvl>
    <w:lvl w:ilvl="7" w:tplc="F9083F50" w:tentative="1">
      <w:start w:val="1"/>
      <w:numFmt w:val="bullet"/>
      <w:lvlText w:val="•"/>
      <w:lvlJc w:val="left"/>
      <w:pPr>
        <w:tabs>
          <w:tab w:val="num" w:pos="5760"/>
        </w:tabs>
        <w:ind w:left="5760" w:hanging="360"/>
      </w:pPr>
      <w:rPr>
        <w:rFonts w:ascii="Arial" w:hAnsi="Arial" w:hint="default"/>
      </w:rPr>
    </w:lvl>
    <w:lvl w:ilvl="8" w:tplc="6FEC4C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5245EA"/>
    <w:multiLevelType w:val="hybridMultilevel"/>
    <w:tmpl w:val="5436129C"/>
    <w:lvl w:ilvl="0" w:tplc="87569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71998"/>
    <w:multiLevelType w:val="hybridMultilevel"/>
    <w:tmpl w:val="386293EE"/>
    <w:lvl w:ilvl="0" w:tplc="BFA4B11C">
      <w:start w:val="1"/>
      <w:numFmt w:val="bullet"/>
      <w:lvlText w:val="•"/>
      <w:lvlJc w:val="left"/>
      <w:pPr>
        <w:tabs>
          <w:tab w:val="num" w:pos="720"/>
        </w:tabs>
        <w:ind w:left="720" w:hanging="360"/>
      </w:pPr>
      <w:rPr>
        <w:rFonts w:ascii="Arial" w:hAnsi="Arial" w:hint="default"/>
      </w:rPr>
    </w:lvl>
    <w:lvl w:ilvl="1" w:tplc="F56242B0" w:tentative="1">
      <w:start w:val="1"/>
      <w:numFmt w:val="bullet"/>
      <w:lvlText w:val="•"/>
      <w:lvlJc w:val="left"/>
      <w:pPr>
        <w:tabs>
          <w:tab w:val="num" w:pos="1440"/>
        </w:tabs>
        <w:ind w:left="1440" w:hanging="360"/>
      </w:pPr>
      <w:rPr>
        <w:rFonts w:ascii="Arial" w:hAnsi="Arial" w:hint="default"/>
      </w:rPr>
    </w:lvl>
    <w:lvl w:ilvl="2" w:tplc="B8645436" w:tentative="1">
      <w:start w:val="1"/>
      <w:numFmt w:val="bullet"/>
      <w:lvlText w:val="•"/>
      <w:lvlJc w:val="left"/>
      <w:pPr>
        <w:tabs>
          <w:tab w:val="num" w:pos="2160"/>
        </w:tabs>
        <w:ind w:left="2160" w:hanging="360"/>
      </w:pPr>
      <w:rPr>
        <w:rFonts w:ascii="Arial" w:hAnsi="Arial" w:hint="default"/>
      </w:rPr>
    </w:lvl>
    <w:lvl w:ilvl="3" w:tplc="2CCC086E" w:tentative="1">
      <w:start w:val="1"/>
      <w:numFmt w:val="bullet"/>
      <w:lvlText w:val="•"/>
      <w:lvlJc w:val="left"/>
      <w:pPr>
        <w:tabs>
          <w:tab w:val="num" w:pos="2880"/>
        </w:tabs>
        <w:ind w:left="2880" w:hanging="360"/>
      </w:pPr>
      <w:rPr>
        <w:rFonts w:ascii="Arial" w:hAnsi="Arial" w:hint="default"/>
      </w:rPr>
    </w:lvl>
    <w:lvl w:ilvl="4" w:tplc="A778400C" w:tentative="1">
      <w:start w:val="1"/>
      <w:numFmt w:val="bullet"/>
      <w:lvlText w:val="•"/>
      <w:lvlJc w:val="left"/>
      <w:pPr>
        <w:tabs>
          <w:tab w:val="num" w:pos="3600"/>
        </w:tabs>
        <w:ind w:left="3600" w:hanging="360"/>
      </w:pPr>
      <w:rPr>
        <w:rFonts w:ascii="Arial" w:hAnsi="Arial" w:hint="default"/>
      </w:rPr>
    </w:lvl>
    <w:lvl w:ilvl="5" w:tplc="9488C79C" w:tentative="1">
      <w:start w:val="1"/>
      <w:numFmt w:val="bullet"/>
      <w:lvlText w:val="•"/>
      <w:lvlJc w:val="left"/>
      <w:pPr>
        <w:tabs>
          <w:tab w:val="num" w:pos="4320"/>
        </w:tabs>
        <w:ind w:left="4320" w:hanging="360"/>
      </w:pPr>
      <w:rPr>
        <w:rFonts w:ascii="Arial" w:hAnsi="Arial" w:hint="default"/>
      </w:rPr>
    </w:lvl>
    <w:lvl w:ilvl="6" w:tplc="23000D94" w:tentative="1">
      <w:start w:val="1"/>
      <w:numFmt w:val="bullet"/>
      <w:lvlText w:val="•"/>
      <w:lvlJc w:val="left"/>
      <w:pPr>
        <w:tabs>
          <w:tab w:val="num" w:pos="5040"/>
        </w:tabs>
        <w:ind w:left="5040" w:hanging="360"/>
      </w:pPr>
      <w:rPr>
        <w:rFonts w:ascii="Arial" w:hAnsi="Arial" w:hint="default"/>
      </w:rPr>
    </w:lvl>
    <w:lvl w:ilvl="7" w:tplc="46DCB562" w:tentative="1">
      <w:start w:val="1"/>
      <w:numFmt w:val="bullet"/>
      <w:lvlText w:val="•"/>
      <w:lvlJc w:val="left"/>
      <w:pPr>
        <w:tabs>
          <w:tab w:val="num" w:pos="5760"/>
        </w:tabs>
        <w:ind w:left="5760" w:hanging="360"/>
      </w:pPr>
      <w:rPr>
        <w:rFonts w:ascii="Arial" w:hAnsi="Arial" w:hint="default"/>
      </w:rPr>
    </w:lvl>
    <w:lvl w:ilvl="8" w:tplc="1EF4E29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3"/>
  </w:num>
  <w:num w:numId="4">
    <w:abstractNumId w:val="11"/>
  </w:num>
  <w:num w:numId="5">
    <w:abstractNumId w:val="10"/>
  </w:num>
  <w:num w:numId="6">
    <w:abstractNumId w:val="6"/>
  </w:num>
  <w:num w:numId="7">
    <w:abstractNumId w:val="12"/>
  </w:num>
  <w:num w:numId="8">
    <w:abstractNumId w:val="1"/>
  </w:num>
  <w:num w:numId="9">
    <w:abstractNumId w:val="5"/>
  </w:num>
  <w:num w:numId="10">
    <w:abstractNumId w:val="9"/>
  </w:num>
  <w:num w:numId="11">
    <w:abstractNumId w:val="2"/>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1C"/>
    <w:rsid w:val="00011C74"/>
    <w:rsid w:val="00014D5C"/>
    <w:rsid w:val="00031806"/>
    <w:rsid w:val="00040FEE"/>
    <w:rsid w:val="000428BE"/>
    <w:rsid w:val="00047B1D"/>
    <w:rsid w:val="0005392C"/>
    <w:rsid w:val="0005603E"/>
    <w:rsid w:val="00062A81"/>
    <w:rsid w:val="00077525"/>
    <w:rsid w:val="00080CEF"/>
    <w:rsid w:val="00083CFB"/>
    <w:rsid w:val="0009300F"/>
    <w:rsid w:val="000A365D"/>
    <w:rsid w:val="000B2033"/>
    <w:rsid w:val="000B3EE8"/>
    <w:rsid w:val="000C215C"/>
    <w:rsid w:val="000C587B"/>
    <w:rsid w:val="000E1D87"/>
    <w:rsid w:val="00104762"/>
    <w:rsid w:val="0010552A"/>
    <w:rsid w:val="001127A2"/>
    <w:rsid w:val="001324A7"/>
    <w:rsid w:val="00143669"/>
    <w:rsid w:val="00150AA7"/>
    <w:rsid w:val="001763F3"/>
    <w:rsid w:val="00193228"/>
    <w:rsid w:val="001A269C"/>
    <w:rsid w:val="001A4DEB"/>
    <w:rsid w:val="001D1F67"/>
    <w:rsid w:val="001D3BB5"/>
    <w:rsid w:val="001F1C40"/>
    <w:rsid w:val="0020088A"/>
    <w:rsid w:val="002221D4"/>
    <w:rsid w:val="00231D74"/>
    <w:rsid w:val="0023306D"/>
    <w:rsid w:val="00255F1A"/>
    <w:rsid w:val="00257728"/>
    <w:rsid w:val="002655C2"/>
    <w:rsid w:val="00276E40"/>
    <w:rsid w:val="002815DB"/>
    <w:rsid w:val="002848FD"/>
    <w:rsid w:val="00294D78"/>
    <w:rsid w:val="002B1890"/>
    <w:rsid w:val="002C0DA8"/>
    <w:rsid w:val="002C16C2"/>
    <w:rsid w:val="002F65F5"/>
    <w:rsid w:val="00317724"/>
    <w:rsid w:val="003311F1"/>
    <w:rsid w:val="00334F3B"/>
    <w:rsid w:val="00340F60"/>
    <w:rsid w:val="00376709"/>
    <w:rsid w:val="00381817"/>
    <w:rsid w:val="00383653"/>
    <w:rsid w:val="00392419"/>
    <w:rsid w:val="003952F9"/>
    <w:rsid w:val="003F2A18"/>
    <w:rsid w:val="003F5F80"/>
    <w:rsid w:val="003F68BD"/>
    <w:rsid w:val="00401018"/>
    <w:rsid w:val="00407F13"/>
    <w:rsid w:val="0042101B"/>
    <w:rsid w:val="0043205D"/>
    <w:rsid w:val="00433F2B"/>
    <w:rsid w:val="0043731C"/>
    <w:rsid w:val="00442FBE"/>
    <w:rsid w:val="0044555F"/>
    <w:rsid w:val="00495259"/>
    <w:rsid w:val="004A4C0F"/>
    <w:rsid w:val="004C025E"/>
    <w:rsid w:val="004C16CC"/>
    <w:rsid w:val="004F15D0"/>
    <w:rsid w:val="004F27ED"/>
    <w:rsid w:val="00516ED4"/>
    <w:rsid w:val="00550CD2"/>
    <w:rsid w:val="00555BE5"/>
    <w:rsid w:val="00562ECE"/>
    <w:rsid w:val="005647E5"/>
    <w:rsid w:val="00571270"/>
    <w:rsid w:val="0057591C"/>
    <w:rsid w:val="0059090A"/>
    <w:rsid w:val="005A56B9"/>
    <w:rsid w:val="005B0A84"/>
    <w:rsid w:val="005B2619"/>
    <w:rsid w:val="005B746C"/>
    <w:rsid w:val="005D71F8"/>
    <w:rsid w:val="00602DCD"/>
    <w:rsid w:val="00605752"/>
    <w:rsid w:val="00606B72"/>
    <w:rsid w:val="00607A6C"/>
    <w:rsid w:val="0061180C"/>
    <w:rsid w:val="00627DAA"/>
    <w:rsid w:val="00635109"/>
    <w:rsid w:val="00663824"/>
    <w:rsid w:val="0068504A"/>
    <w:rsid w:val="006A7AC4"/>
    <w:rsid w:val="006A7DDF"/>
    <w:rsid w:val="006B16E2"/>
    <w:rsid w:val="006C2263"/>
    <w:rsid w:val="00713C6C"/>
    <w:rsid w:val="00726C96"/>
    <w:rsid w:val="007377AA"/>
    <w:rsid w:val="00744947"/>
    <w:rsid w:val="00753482"/>
    <w:rsid w:val="00757DC9"/>
    <w:rsid w:val="007A1EB9"/>
    <w:rsid w:val="007B5966"/>
    <w:rsid w:val="007E3657"/>
    <w:rsid w:val="007F02EE"/>
    <w:rsid w:val="007F1C7E"/>
    <w:rsid w:val="008048AA"/>
    <w:rsid w:val="00815614"/>
    <w:rsid w:val="008270A2"/>
    <w:rsid w:val="00832790"/>
    <w:rsid w:val="00833A33"/>
    <w:rsid w:val="008474E0"/>
    <w:rsid w:val="008672D9"/>
    <w:rsid w:val="008773E2"/>
    <w:rsid w:val="00882B10"/>
    <w:rsid w:val="008D01B5"/>
    <w:rsid w:val="008D4DD8"/>
    <w:rsid w:val="008E3E7C"/>
    <w:rsid w:val="008F546B"/>
    <w:rsid w:val="00914ABE"/>
    <w:rsid w:val="00944B03"/>
    <w:rsid w:val="00946741"/>
    <w:rsid w:val="009471E2"/>
    <w:rsid w:val="009A4E3F"/>
    <w:rsid w:val="009B1662"/>
    <w:rsid w:val="009D5978"/>
    <w:rsid w:val="009D6D71"/>
    <w:rsid w:val="009E19F3"/>
    <w:rsid w:val="00A03C11"/>
    <w:rsid w:val="00A30459"/>
    <w:rsid w:val="00A37E98"/>
    <w:rsid w:val="00A46A29"/>
    <w:rsid w:val="00A7288B"/>
    <w:rsid w:val="00A80AC7"/>
    <w:rsid w:val="00A954AF"/>
    <w:rsid w:val="00AC2227"/>
    <w:rsid w:val="00AD52F0"/>
    <w:rsid w:val="00AE59A5"/>
    <w:rsid w:val="00B03DEB"/>
    <w:rsid w:val="00B30703"/>
    <w:rsid w:val="00B3070F"/>
    <w:rsid w:val="00B400AD"/>
    <w:rsid w:val="00B40E61"/>
    <w:rsid w:val="00B642AA"/>
    <w:rsid w:val="00B6518E"/>
    <w:rsid w:val="00B71F1E"/>
    <w:rsid w:val="00B74B8C"/>
    <w:rsid w:val="00BB7E94"/>
    <w:rsid w:val="00BC42AC"/>
    <w:rsid w:val="00BD0A7D"/>
    <w:rsid w:val="00BE33A6"/>
    <w:rsid w:val="00BE36CE"/>
    <w:rsid w:val="00C32C85"/>
    <w:rsid w:val="00C501D8"/>
    <w:rsid w:val="00C61DEF"/>
    <w:rsid w:val="00C66EE1"/>
    <w:rsid w:val="00C70D21"/>
    <w:rsid w:val="00C75067"/>
    <w:rsid w:val="00C91AF8"/>
    <w:rsid w:val="00CC0586"/>
    <w:rsid w:val="00CE38DD"/>
    <w:rsid w:val="00CE4BF2"/>
    <w:rsid w:val="00CE5065"/>
    <w:rsid w:val="00CE6F84"/>
    <w:rsid w:val="00CF3E7D"/>
    <w:rsid w:val="00D11D53"/>
    <w:rsid w:val="00D4330A"/>
    <w:rsid w:val="00D44492"/>
    <w:rsid w:val="00D45E87"/>
    <w:rsid w:val="00D516D4"/>
    <w:rsid w:val="00D6335F"/>
    <w:rsid w:val="00DA10FB"/>
    <w:rsid w:val="00DE1EDE"/>
    <w:rsid w:val="00E048B9"/>
    <w:rsid w:val="00E053CC"/>
    <w:rsid w:val="00E31F69"/>
    <w:rsid w:val="00E56523"/>
    <w:rsid w:val="00E6060F"/>
    <w:rsid w:val="00E74495"/>
    <w:rsid w:val="00E816B6"/>
    <w:rsid w:val="00EC6024"/>
    <w:rsid w:val="00EC7C94"/>
    <w:rsid w:val="00ED5CE5"/>
    <w:rsid w:val="00ED6902"/>
    <w:rsid w:val="00EE1069"/>
    <w:rsid w:val="00EE6736"/>
    <w:rsid w:val="00F133BB"/>
    <w:rsid w:val="00F13C55"/>
    <w:rsid w:val="00F51576"/>
    <w:rsid w:val="00F55682"/>
    <w:rsid w:val="00F62D6A"/>
    <w:rsid w:val="00F74E1C"/>
    <w:rsid w:val="00FC72E9"/>
    <w:rsid w:val="00FD1C61"/>
    <w:rsid w:val="00FD706D"/>
    <w:rsid w:val="00FE48D0"/>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8267"/>
  <w14:defaultImageDpi w14:val="32767"/>
  <w15:chartTrackingRefBased/>
  <w15:docId w15:val="{CB195578-EA67-B748-908C-C9EDFC44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24"/>
    <w:rPr>
      <w:rFonts w:ascii="Times New Roman" w:eastAsia="Times New Roman" w:hAnsi="Times New Roman" w:cs="Times New Roman"/>
      <w:lang w:val="en-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15C"/>
    <w:rPr>
      <w:sz w:val="18"/>
      <w:szCs w:val="18"/>
      <w:lang w:val="en-US" w:eastAsia="en-US"/>
    </w:rPr>
  </w:style>
  <w:style w:type="character" w:customStyle="1" w:styleId="BalloonTextChar">
    <w:name w:val="Balloon Text Char"/>
    <w:basedOn w:val="DefaultParagraphFont"/>
    <w:link w:val="BalloonText"/>
    <w:uiPriority w:val="99"/>
    <w:semiHidden/>
    <w:rsid w:val="000C215C"/>
    <w:rPr>
      <w:rFonts w:ascii="Times New Roman" w:hAnsi="Times New Roman" w:cs="Times New Roman"/>
      <w:sz w:val="18"/>
      <w:szCs w:val="18"/>
    </w:rPr>
  </w:style>
  <w:style w:type="paragraph" w:styleId="Footer">
    <w:name w:val="footer"/>
    <w:basedOn w:val="Normal"/>
    <w:link w:val="FooterChar"/>
    <w:uiPriority w:val="99"/>
    <w:unhideWhenUsed/>
    <w:rsid w:val="0043731C"/>
    <w:pPr>
      <w:tabs>
        <w:tab w:val="center" w:pos="4680"/>
        <w:tab w:val="right" w:pos="9360"/>
      </w:tabs>
    </w:pPr>
    <w:rPr>
      <w:lang w:val="en-US" w:eastAsia="en-US"/>
    </w:rPr>
  </w:style>
  <w:style w:type="character" w:customStyle="1" w:styleId="FooterChar">
    <w:name w:val="Footer Char"/>
    <w:basedOn w:val="DefaultParagraphFont"/>
    <w:link w:val="Footer"/>
    <w:uiPriority w:val="99"/>
    <w:rsid w:val="0043731C"/>
    <w:rPr>
      <w:rFonts w:ascii="Times New Roman" w:eastAsia="Times New Roman" w:hAnsi="Times New Roman" w:cs="Times New Roman"/>
    </w:rPr>
  </w:style>
  <w:style w:type="character" w:styleId="PageNumber">
    <w:name w:val="page number"/>
    <w:basedOn w:val="DefaultParagraphFont"/>
    <w:uiPriority w:val="99"/>
    <w:semiHidden/>
    <w:unhideWhenUsed/>
    <w:rsid w:val="0043731C"/>
  </w:style>
  <w:style w:type="paragraph" w:styleId="ListParagraph">
    <w:name w:val="List Paragraph"/>
    <w:basedOn w:val="Normal"/>
    <w:uiPriority w:val="34"/>
    <w:qFormat/>
    <w:rsid w:val="0043731C"/>
    <w:pPr>
      <w:ind w:left="720"/>
      <w:contextualSpacing/>
    </w:pPr>
    <w:rPr>
      <w:lang w:val="en-US" w:eastAsia="en-US"/>
    </w:rPr>
  </w:style>
  <w:style w:type="paragraph" w:customStyle="1" w:styleId="TableParagraph">
    <w:name w:val="Table Paragraph"/>
    <w:basedOn w:val="Normal"/>
    <w:uiPriority w:val="1"/>
    <w:qFormat/>
    <w:rsid w:val="0043731C"/>
    <w:pPr>
      <w:widowControl w:val="0"/>
      <w:autoSpaceDE w:val="0"/>
      <w:autoSpaceDN w:val="0"/>
      <w:spacing w:before="60"/>
      <w:jc w:val="center"/>
    </w:pPr>
    <w:rPr>
      <w:rFonts w:ascii="Cambria" w:eastAsia="Cambria" w:hAnsi="Cambria" w:cs="Cambria"/>
      <w:lang w:val="en-US" w:eastAsia="en-US" w:bidi="en-US"/>
    </w:rPr>
  </w:style>
  <w:style w:type="table" w:styleId="TableGrid">
    <w:name w:val="Table Grid"/>
    <w:basedOn w:val="TableNormal"/>
    <w:uiPriority w:val="39"/>
    <w:rsid w:val="0043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067"/>
    <w:pPr>
      <w:tabs>
        <w:tab w:val="center" w:pos="4680"/>
        <w:tab w:val="right" w:pos="9360"/>
      </w:tabs>
    </w:pPr>
    <w:rPr>
      <w:lang w:val="en-US" w:eastAsia="en-US"/>
    </w:rPr>
  </w:style>
  <w:style w:type="character" w:customStyle="1" w:styleId="HeaderChar">
    <w:name w:val="Header Char"/>
    <w:basedOn w:val="DefaultParagraphFont"/>
    <w:link w:val="Header"/>
    <w:uiPriority w:val="99"/>
    <w:rsid w:val="00C7506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A7DDF"/>
    <w:rPr>
      <w:sz w:val="16"/>
      <w:szCs w:val="16"/>
    </w:rPr>
  </w:style>
  <w:style w:type="paragraph" w:styleId="CommentText">
    <w:name w:val="annotation text"/>
    <w:basedOn w:val="Normal"/>
    <w:link w:val="CommentTextChar"/>
    <w:uiPriority w:val="99"/>
    <w:semiHidden/>
    <w:unhideWhenUsed/>
    <w:rsid w:val="006A7DDF"/>
    <w:rPr>
      <w:sz w:val="20"/>
      <w:szCs w:val="20"/>
      <w:lang w:val="en-US" w:eastAsia="en-US"/>
    </w:rPr>
  </w:style>
  <w:style w:type="character" w:customStyle="1" w:styleId="CommentTextChar">
    <w:name w:val="Comment Text Char"/>
    <w:basedOn w:val="DefaultParagraphFont"/>
    <w:link w:val="CommentText"/>
    <w:uiPriority w:val="99"/>
    <w:semiHidden/>
    <w:rsid w:val="006A7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DDF"/>
    <w:rPr>
      <w:b/>
      <w:bCs/>
    </w:rPr>
  </w:style>
  <w:style w:type="character" w:customStyle="1" w:styleId="CommentSubjectChar">
    <w:name w:val="Comment Subject Char"/>
    <w:basedOn w:val="CommentTextChar"/>
    <w:link w:val="CommentSubject"/>
    <w:uiPriority w:val="99"/>
    <w:semiHidden/>
    <w:rsid w:val="006A7DDF"/>
    <w:rPr>
      <w:rFonts w:ascii="Times New Roman" w:eastAsia="Times New Roman" w:hAnsi="Times New Roman" w:cs="Times New Roman"/>
      <w:b/>
      <w:bCs/>
      <w:sz w:val="20"/>
      <w:szCs w:val="20"/>
    </w:rPr>
  </w:style>
  <w:style w:type="numbering" w:customStyle="1" w:styleId="1">
    <w:name w:val="Χωρίς λίστα1"/>
    <w:next w:val="NoList"/>
    <w:uiPriority w:val="99"/>
    <w:semiHidden/>
    <w:unhideWhenUsed/>
    <w:rsid w:val="00BE36CE"/>
  </w:style>
  <w:style w:type="paragraph" w:styleId="Revision">
    <w:name w:val="Revision"/>
    <w:hidden/>
    <w:uiPriority w:val="99"/>
    <w:semiHidden/>
    <w:rsid w:val="0009300F"/>
    <w:rPr>
      <w:rFonts w:ascii="Times New Roman" w:eastAsia="Times New Roman" w:hAnsi="Times New Roman" w:cs="Times New Roman"/>
    </w:rPr>
  </w:style>
  <w:style w:type="character" w:customStyle="1" w:styleId="acopre">
    <w:name w:val="acopre"/>
    <w:basedOn w:val="DefaultParagraphFont"/>
    <w:rsid w:val="0009300F"/>
  </w:style>
  <w:style w:type="character" w:styleId="Emphasis">
    <w:name w:val="Emphasis"/>
    <w:basedOn w:val="DefaultParagraphFont"/>
    <w:uiPriority w:val="20"/>
    <w:qFormat/>
    <w:rsid w:val="00093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2525">
      <w:bodyDiv w:val="1"/>
      <w:marLeft w:val="0"/>
      <w:marRight w:val="0"/>
      <w:marTop w:val="0"/>
      <w:marBottom w:val="0"/>
      <w:divBdr>
        <w:top w:val="none" w:sz="0" w:space="0" w:color="auto"/>
        <w:left w:val="none" w:sz="0" w:space="0" w:color="auto"/>
        <w:bottom w:val="none" w:sz="0" w:space="0" w:color="auto"/>
        <w:right w:val="none" w:sz="0" w:space="0" w:color="auto"/>
      </w:divBdr>
    </w:div>
    <w:div w:id="1018313655">
      <w:bodyDiv w:val="1"/>
      <w:marLeft w:val="0"/>
      <w:marRight w:val="0"/>
      <w:marTop w:val="0"/>
      <w:marBottom w:val="0"/>
      <w:divBdr>
        <w:top w:val="none" w:sz="0" w:space="0" w:color="auto"/>
        <w:left w:val="none" w:sz="0" w:space="0" w:color="auto"/>
        <w:bottom w:val="none" w:sz="0" w:space="0" w:color="auto"/>
        <w:right w:val="none" w:sz="0" w:space="0" w:color="auto"/>
      </w:divBdr>
    </w:div>
    <w:div w:id="1375274273">
      <w:bodyDiv w:val="1"/>
      <w:marLeft w:val="0"/>
      <w:marRight w:val="0"/>
      <w:marTop w:val="0"/>
      <w:marBottom w:val="0"/>
      <w:divBdr>
        <w:top w:val="none" w:sz="0" w:space="0" w:color="auto"/>
        <w:left w:val="none" w:sz="0" w:space="0" w:color="auto"/>
        <w:bottom w:val="none" w:sz="0" w:space="0" w:color="auto"/>
        <w:right w:val="none" w:sz="0" w:space="0" w:color="auto"/>
      </w:divBdr>
    </w:div>
    <w:div w:id="19090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Herrera</dc:creator>
  <cp:keywords/>
  <dc:description/>
  <cp:lastModifiedBy>Fernanda Herrera</cp:lastModifiedBy>
  <cp:revision>12</cp:revision>
  <dcterms:created xsi:type="dcterms:W3CDTF">2021-05-07T09:02:00Z</dcterms:created>
  <dcterms:modified xsi:type="dcterms:W3CDTF">2021-08-19T13:30:00Z</dcterms:modified>
</cp:coreProperties>
</file>