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652B6" w14:textId="07E9C54E" w:rsidR="00533C78" w:rsidRDefault="00533C78" w:rsidP="0006413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4635D">
        <w:rPr>
          <w:rFonts w:ascii="Arial" w:hAnsi="Arial" w:cs="Arial"/>
          <w:b/>
          <w:bCs/>
          <w:sz w:val="24"/>
          <w:szCs w:val="24"/>
        </w:rPr>
        <w:t>Supplementary Methods</w:t>
      </w:r>
    </w:p>
    <w:p w14:paraId="2E42E8AD" w14:textId="77777777" w:rsidR="00064138" w:rsidRPr="0044635D" w:rsidRDefault="00064138" w:rsidP="0006413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1002E8" w14:textId="77777777" w:rsidR="00533C78" w:rsidRDefault="00533C78" w:rsidP="00533C78">
      <w:pPr>
        <w:spacing w:after="0" w:line="48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Eligibility Criteria</w:t>
      </w:r>
    </w:p>
    <w:p w14:paraId="404C629C" w14:textId="77777777" w:rsidR="00533C78" w:rsidRDefault="00533C78" w:rsidP="00533C7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Full inclusion criteria: </w:t>
      </w:r>
    </w:p>
    <w:p w14:paraId="4D6FDCD4" w14:textId="77777777" w:rsidR="00533C78" w:rsidRDefault="00533C78" w:rsidP="00533C78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Patient, parent, or guardian must voluntarily sign and date an informed consent prior to the initiation of any screening or study specific procedures</w:t>
      </w:r>
    </w:p>
    <w:p w14:paraId="577788E8" w14:textId="77777777" w:rsidR="00533C78" w:rsidRDefault="00533C78" w:rsidP="00533C78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Patient must have relapsed or refractory acute lymphoblastic leukemia (ALL) or relapsed or refractory lymphoblastic lymphoma (LL). Refractory is defined as persistent disease after at least 2 courses of chemotherapy</w:t>
      </w:r>
    </w:p>
    <w:p w14:paraId="1FCC0898" w14:textId="77777777" w:rsidR="00533C78" w:rsidRDefault="00533C78" w:rsidP="00533C78">
      <w:pPr>
        <w:pStyle w:val="ListParagraph"/>
        <w:numPr>
          <w:ilvl w:val="1"/>
          <w:numId w:val="14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Patients with ALL with Philadelphia chromosome or with an ABL class targetable fusion are eligible</w:t>
      </w:r>
    </w:p>
    <w:p w14:paraId="717280AA" w14:textId="77777777" w:rsidR="00533C78" w:rsidRDefault="00533C78" w:rsidP="00533C78">
      <w:pPr>
        <w:pStyle w:val="ListParagraph"/>
        <w:numPr>
          <w:ilvl w:val="1"/>
          <w:numId w:val="14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Patients with LL must have radiographic evidence of disease</w:t>
      </w:r>
    </w:p>
    <w:p w14:paraId="50BEE49B" w14:textId="77777777" w:rsidR="00533C78" w:rsidRDefault="00533C78" w:rsidP="00533C78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Must be aged ≥4 years</w:t>
      </w:r>
    </w:p>
    <w:p w14:paraId="4654E90C" w14:textId="77777777" w:rsidR="00533C78" w:rsidRDefault="00533C78" w:rsidP="00533C78">
      <w:pPr>
        <w:pStyle w:val="ListParagraph"/>
        <w:numPr>
          <w:ilvl w:val="1"/>
          <w:numId w:val="14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Patients aged &lt;18 years who do not have a standard of care treatment option available</w:t>
      </w:r>
    </w:p>
    <w:p w14:paraId="427D49ED" w14:textId="77777777" w:rsidR="00533C78" w:rsidRDefault="00533C78" w:rsidP="00533C78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Must weigh ≥20 kg</w:t>
      </w:r>
    </w:p>
    <w:p w14:paraId="5B89D765" w14:textId="77777777" w:rsidR="00533C78" w:rsidRDefault="00533C78" w:rsidP="00533C78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Must be able to swallow pills</w:t>
      </w:r>
    </w:p>
    <w:p w14:paraId="521936C6" w14:textId="77777777" w:rsidR="00533C78" w:rsidRDefault="00533C78" w:rsidP="00533C78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Must have adequate hepatic function:</w:t>
      </w:r>
    </w:p>
    <w:p w14:paraId="2C573827" w14:textId="77777777" w:rsidR="00533C78" w:rsidRDefault="00533C78" w:rsidP="00533C78">
      <w:pPr>
        <w:pStyle w:val="ListParagraph"/>
        <w:numPr>
          <w:ilvl w:val="1"/>
          <w:numId w:val="14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Alanine aminotransferase (ALT) and aspartate aminotransferase (AST) ≤3 × upper limit of normal (ULN); patients who received inotuzumab &gt;30 days prior to day 1 must have ALT, AST, and bilirubin &lt;ULN</w:t>
      </w:r>
    </w:p>
    <w:p w14:paraId="2911EB10" w14:textId="77777777" w:rsidR="00533C78" w:rsidRDefault="00533C78" w:rsidP="00533C78">
      <w:pPr>
        <w:pStyle w:val="ListParagraph"/>
        <w:numPr>
          <w:ilvl w:val="1"/>
          <w:numId w:val="14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Patients with documented Gilbert’s Syndrome must have total bilirubin up to 4 × ULN but must have a direct bilirubin of ≤1.5 × ULN</w:t>
      </w:r>
    </w:p>
    <w:p w14:paraId="2F7395D0" w14:textId="77777777" w:rsidR="00533C78" w:rsidRDefault="00533C78" w:rsidP="00533C78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B61A32">
        <w:rPr>
          <w:rFonts w:ascii="Arial" w:hAnsi="Arial" w:cs="Arial"/>
        </w:rPr>
        <w:t>ust have INR ≤1.5 × ULN and aPTT ≤1.5 × ULN</w:t>
      </w:r>
    </w:p>
    <w:p w14:paraId="00470D9B" w14:textId="77777777" w:rsidR="00533C78" w:rsidRPr="00F52775" w:rsidRDefault="00533C78" w:rsidP="00533C78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Must have normal creatinine for age or have a calculated creatine clearance ≥60 mL/min/1.73 m</w:t>
      </w:r>
      <w:r w:rsidRPr="00B61A32">
        <w:rPr>
          <w:rFonts w:ascii="Arial" w:hAnsi="Arial" w:cs="Arial"/>
          <w:vertAlign w:val="superscript"/>
        </w:rPr>
        <w:t>2</w:t>
      </w:r>
    </w:p>
    <w:p w14:paraId="40E199E6" w14:textId="77777777" w:rsidR="00533C78" w:rsidRDefault="00533C78" w:rsidP="00533C78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Must have adequate performance status: patients aged ≤16 years, Lansky ≥50; patients aged &gt;16 years, Karnofsky ≥50 or ECOG &lt;3</w:t>
      </w:r>
    </w:p>
    <w:p w14:paraId="29D9D4F0" w14:textId="77777777" w:rsidR="00533C78" w:rsidRPr="000B1BCA" w:rsidRDefault="00533C78" w:rsidP="00533C78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Females of childbearing potential (i.e., those who are not postmenopausal for ≥1 year or surgically sterile) and their male partner must practice ≥1 method of birth control during the </w:t>
      </w:r>
      <w:r w:rsidRPr="000B1BCA">
        <w:rPr>
          <w:rFonts w:ascii="Arial" w:hAnsi="Arial" w:cs="Arial"/>
        </w:rPr>
        <w:t>study and through ≥30 days after last doses of study drugs</w:t>
      </w:r>
    </w:p>
    <w:p w14:paraId="24CACEE2" w14:textId="77777777" w:rsidR="00533C78" w:rsidRPr="000B1BCA" w:rsidRDefault="00533C78" w:rsidP="00533C78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 w:cs="Arial"/>
        </w:rPr>
      </w:pPr>
      <w:r w:rsidRPr="000B1BCA">
        <w:rPr>
          <w:rFonts w:ascii="Arial" w:hAnsi="Arial" w:cs="Arial"/>
        </w:rPr>
        <w:t>Female patients of childbearing potential must have negative results for serum or urine pregnancy test performed during screening</w:t>
      </w:r>
    </w:p>
    <w:p w14:paraId="136F89D3" w14:textId="77777777" w:rsidR="00533C78" w:rsidRPr="000B1BCA" w:rsidRDefault="00533C78" w:rsidP="00533C78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 w:cs="Arial"/>
        </w:rPr>
      </w:pPr>
      <w:r w:rsidRPr="000B1BCA">
        <w:rPr>
          <w:rFonts w:ascii="Arial" w:hAnsi="Arial" w:cs="Arial"/>
        </w:rPr>
        <w:t>Male patients who are sexually active with women of childbearing potential must agree to use condoms during the study and through ≥30</w:t>
      </w:r>
      <w:r>
        <w:rPr>
          <w:rFonts w:ascii="Arial" w:hAnsi="Arial" w:cs="Arial"/>
        </w:rPr>
        <w:t xml:space="preserve"> days after last doses of venetoclax and navitoclax and if on chemotherapy, the patients must follow instructions from the chemotherapy product label </w:t>
      </w:r>
    </w:p>
    <w:p w14:paraId="39070F56" w14:textId="77777777" w:rsidR="00533C78" w:rsidRDefault="00533C78" w:rsidP="00533C78">
      <w:pPr>
        <w:spacing w:after="0" w:line="480" w:lineRule="auto"/>
        <w:rPr>
          <w:rFonts w:ascii="Arial" w:hAnsi="Arial" w:cs="Arial"/>
        </w:rPr>
      </w:pPr>
    </w:p>
    <w:p w14:paraId="5EE42C1C" w14:textId="77777777" w:rsidR="00533C78" w:rsidRPr="005858C5" w:rsidRDefault="00533C78" w:rsidP="00533C7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Full </w:t>
      </w:r>
      <w:r w:rsidRPr="005858C5">
        <w:rPr>
          <w:rFonts w:ascii="Arial" w:hAnsi="Arial" w:cs="Arial"/>
        </w:rPr>
        <w:t xml:space="preserve">exclusion criteria: </w:t>
      </w:r>
    </w:p>
    <w:p w14:paraId="727D0E27" w14:textId="77777777" w:rsidR="00533C78" w:rsidRPr="005858C5" w:rsidRDefault="00533C78" w:rsidP="00533C78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 w:cs="Arial"/>
        </w:rPr>
      </w:pPr>
      <w:r w:rsidRPr="005858C5">
        <w:rPr>
          <w:rFonts w:ascii="Arial" w:hAnsi="Arial" w:cs="Arial"/>
        </w:rPr>
        <w:t>Patients with central nervous system disease with cranial involvement that requires radiation</w:t>
      </w:r>
    </w:p>
    <w:p w14:paraId="4294E228" w14:textId="77777777" w:rsidR="00533C78" w:rsidRDefault="00533C78" w:rsidP="00533C78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Patients who are </w:t>
      </w:r>
      <w:r w:rsidRPr="005858C5">
        <w:rPr>
          <w:rFonts w:ascii="Arial" w:hAnsi="Arial" w:cs="Arial"/>
        </w:rPr>
        <w:t xml:space="preserve">&lt;100 days post-transplant, &gt;100 days post-transplant with active graft versus host disease, and those still continuing post-transplant immunosuppressant therapy within 7 days prior to first dose of study drug </w:t>
      </w:r>
    </w:p>
    <w:p w14:paraId="64B4F943" w14:textId="77777777" w:rsidR="00533C78" w:rsidRDefault="00533C78" w:rsidP="00533C78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Patients who received any of the following prior to the first dose of study drug: </w:t>
      </w:r>
    </w:p>
    <w:p w14:paraId="0DCB6C4A" w14:textId="77777777" w:rsidR="00533C78" w:rsidRDefault="00533C78" w:rsidP="00533C78">
      <w:pPr>
        <w:pStyle w:val="ListParagraph"/>
        <w:numPr>
          <w:ilvl w:val="1"/>
          <w:numId w:val="14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Inotuzumab within 30 days</w:t>
      </w:r>
    </w:p>
    <w:p w14:paraId="50060A67" w14:textId="77777777" w:rsidR="00533C78" w:rsidRDefault="00533C78" w:rsidP="00533C78">
      <w:pPr>
        <w:pStyle w:val="ListParagraph"/>
        <w:numPr>
          <w:ilvl w:val="1"/>
          <w:numId w:val="14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Biologic agent (ie, monoclonal antibodies) for antineoplastic intent within 30 days</w:t>
      </w:r>
    </w:p>
    <w:p w14:paraId="12CA021D" w14:textId="77777777" w:rsidR="00533C78" w:rsidRDefault="00533C78" w:rsidP="00533C78">
      <w:pPr>
        <w:pStyle w:val="ListParagraph"/>
        <w:numPr>
          <w:ilvl w:val="1"/>
          <w:numId w:val="14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Chimeric antigen receptor (CAR) T-cell infusion or other cellular therapy within 30 days; any anticancer therapy including blinatumomab, chemotherapy, radiation therapy, targeted small molecule agents, or investigational agents within 14 days  </w:t>
      </w:r>
      <w:r>
        <w:rPr>
          <w:rFonts w:ascii="Arial" w:hAnsi="Arial" w:cs="Arial"/>
        </w:rPr>
        <w:lastRenderedPageBreak/>
        <w:t>or 5 half-lives (whichever is shorter); steroid therapy for antineoplastic intent within 5 days; or hydroxyurea that is ongoing (permitted up to the first dose)</w:t>
      </w:r>
    </w:p>
    <w:p w14:paraId="6ABFCD34" w14:textId="77777777" w:rsidR="00533C78" w:rsidRDefault="00533C78" w:rsidP="00533C78">
      <w:pPr>
        <w:pStyle w:val="ListParagraph"/>
        <w:numPr>
          <w:ilvl w:val="1"/>
          <w:numId w:val="14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5858C5">
        <w:rPr>
          <w:rFonts w:ascii="Arial" w:hAnsi="Arial" w:cs="Arial"/>
        </w:rPr>
        <w:t>trong or moderate CYP3A inhibitors or inducers within 7 days</w:t>
      </w:r>
    </w:p>
    <w:p w14:paraId="5B302658" w14:textId="77777777" w:rsidR="00533C78" w:rsidRDefault="00533C78" w:rsidP="00533C78">
      <w:pPr>
        <w:pStyle w:val="ListParagraph"/>
        <w:numPr>
          <w:ilvl w:val="1"/>
          <w:numId w:val="14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858C5">
        <w:rPr>
          <w:rFonts w:ascii="Arial" w:hAnsi="Arial" w:cs="Arial"/>
        </w:rPr>
        <w:t xml:space="preserve">spirin within 7 days or 5 half-lives (whichever </w:t>
      </w:r>
      <w:r>
        <w:rPr>
          <w:rFonts w:ascii="Arial" w:hAnsi="Arial" w:cs="Arial"/>
        </w:rPr>
        <w:t>is</w:t>
      </w:r>
      <w:r w:rsidRPr="005858C5">
        <w:rPr>
          <w:rFonts w:ascii="Arial" w:hAnsi="Arial" w:cs="Arial"/>
        </w:rPr>
        <w:t xml:space="preserve"> longer)</w:t>
      </w:r>
    </w:p>
    <w:p w14:paraId="613BF1BB" w14:textId="77777777" w:rsidR="00533C78" w:rsidRDefault="00533C78" w:rsidP="00533C78">
      <w:pPr>
        <w:pStyle w:val="ListParagraph"/>
        <w:numPr>
          <w:ilvl w:val="1"/>
          <w:numId w:val="14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5858C5">
        <w:rPr>
          <w:rFonts w:ascii="Arial" w:hAnsi="Arial" w:cs="Arial"/>
        </w:rPr>
        <w:t>ntiplatelet/anticoagulant drug or herbal supplement that affects platelet function within 7 days or 5 half-lives (whichever was longer).</w:t>
      </w:r>
    </w:p>
    <w:p w14:paraId="53B58520" w14:textId="77777777" w:rsidR="00533C78" w:rsidRDefault="00533C78" w:rsidP="00533C78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Consumed grapefruit, grapefruit products, Seville oranges, or star fruit within 3 days prior to the first dose of study drug</w:t>
      </w:r>
    </w:p>
    <w:p w14:paraId="75C0EF91" w14:textId="77777777" w:rsidR="00533C78" w:rsidRDefault="00533C78" w:rsidP="00533C78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Patients with </w:t>
      </w:r>
      <w:r w:rsidRPr="005858C5">
        <w:rPr>
          <w:rFonts w:ascii="Arial" w:hAnsi="Arial" w:cs="Arial"/>
        </w:rPr>
        <w:t>active, uncontrolled infection</w:t>
      </w:r>
    </w:p>
    <w:p w14:paraId="05B390CE" w14:textId="77777777" w:rsidR="00533C78" w:rsidRDefault="00533C78" w:rsidP="00533C78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Patients who have not recovered to less than Common Terminology Criteria for Adverse Events (CTCAE) grade 2 from clinically significant adverse effect(s)/toxicity(s) of the previous therapy </w:t>
      </w:r>
    </w:p>
    <w:p w14:paraId="54C6DD84" w14:textId="77777777" w:rsidR="00533C78" w:rsidRDefault="00533C78" w:rsidP="00533C78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Patients with malabsorption syndrome or any other condition that precludes enteral administration</w:t>
      </w:r>
    </w:p>
    <w:p w14:paraId="6C2CF102" w14:textId="77777777" w:rsidR="00533C78" w:rsidRDefault="00533C78" w:rsidP="00533C78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Patients who the investigator believes for any reason are not suitable candidates to receive venetoclax or navitoclax </w:t>
      </w:r>
    </w:p>
    <w:p w14:paraId="1326D4B0" w14:textId="77777777" w:rsidR="00533C78" w:rsidRDefault="00533C78" w:rsidP="00533C78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Females who are pregnant, breastfeeding, or planning to become pregnant during the study or within approximately 30 days after the last dose of venetoclax or navitoclax </w:t>
      </w:r>
    </w:p>
    <w:p w14:paraId="53BA1A42" w14:textId="77777777" w:rsidR="00533C78" w:rsidRDefault="00533C78" w:rsidP="00533C78">
      <w:pPr>
        <w:pStyle w:val="ListParagraph"/>
        <w:numPr>
          <w:ilvl w:val="0"/>
          <w:numId w:val="14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Males who are considering fathering a child within approximately 30 days or donating sperm during study within approximately 90 days after the last dose of venetoclax or navitoclax</w:t>
      </w:r>
    </w:p>
    <w:p w14:paraId="258E4A44" w14:textId="77777777" w:rsidR="00533C78" w:rsidRDefault="00533C78" w:rsidP="00533C78">
      <w:pPr>
        <w:spacing w:after="0" w:line="480" w:lineRule="auto"/>
        <w:rPr>
          <w:rFonts w:ascii="Arial" w:hAnsi="Arial" w:cs="Arial"/>
          <w:b/>
          <w:bCs/>
          <w:i/>
          <w:iCs/>
        </w:rPr>
      </w:pPr>
      <w:r w:rsidRPr="00F77590">
        <w:rPr>
          <w:rFonts w:ascii="Arial" w:hAnsi="Arial" w:cs="Arial"/>
          <w:b/>
          <w:bCs/>
          <w:i/>
          <w:iCs/>
        </w:rPr>
        <w:t xml:space="preserve">Dose-Limiting Toxicities </w:t>
      </w:r>
      <w:r>
        <w:rPr>
          <w:rFonts w:ascii="Arial" w:hAnsi="Arial" w:cs="Arial"/>
          <w:b/>
          <w:bCs/>
          <w:i/>
          <w:iCs/>
        </w:rPr>
        <w:t>(DLTs)</w:t>
      </w:r>
    </w:p>
    <w:p w14:paraId="5EC3E8F2" w14:textId="77777777" w:rsidR="00533C78" w:rsidRDefault="00533C78" w:rsidP="00533C7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Patients who enrolled on study from another venetoclax clinical trial were not DLT evaluable. Any grade ≥3 nonhematologic adverse event (AE) that concurs with administration of venetoclax, navitoclax, or chemotherapy was considered a DLT except: </w:t>
      </w:r>
    </w:p>
    <w:p w14:paraId="1CCC6861" w14:textId="77777777" w:rsidR="00533C78" w:rsidRDefault="00533C78" w:rsidP="00533C78">
      <w:pPr>
        <w:pStyle w:val="ListParagraph"/>
        <w:numPr>
          <w:ilvl w:val="0"/>
          <w:numId w:val="19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AEs that the investigator determines are due to an identifiable cause, such as disease progression, underlying illness, and concurrent illness </w:t>
      </w:r>
    </w:p>
    <w:p w14:paraId="68CD0A42" w14:textId="77777777" w:rsidR="00533C78" w:rsidRDefault="00533C78" w:rsidP="00533C78">
      <w:pPr>
        <w:pStyle w:val="ListParagraph"/>
        <w:numPr>
          <w:ilvl w:val="0"/>
          <w:numId w:val="19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AEs related to chemotherapy only (no causality to venetoclax or navitoclax), which are common, expected, and managed, as determined by the investigator</w:t>
      </w:r>
    </w:p>
    <w:p w14:paraId="1D0F6896" w14:textId="77777777" w:rsidR="00533C78" w:rsidRDefault="00533C78" w:rsidP="00533C78">
      <w:pPr>
        <w:pStyle w:val="ListParagraph"/>
        <w:numPr>
          <w:ilvl w:val="0"/>
          <w:numId w:val="19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Grade 3 nausea, vomiting, or diarrhea that is adequately managed with supportive care </w:t>
      </w:r>
    </w:p>
    <w:p w14:paraId="732BF777" w14:textId="77777777" w:rsidR="00533C78" w:rsidRDefault="00533C78" w:rsidP="00533C78">
      <w:pPr>
        <w:pStyle w:val="ListParagraph"/>
        <w:numPr>
          <w:ilvl w:val="0"/>
          <w:numId w:val="19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Infection</w:t>
      </w:r>
    </w:p>
    <w:p w14:paraId="78C17A2D" w14:textId="77777777" w:rsidR="00533C78" w:rsidRDefault="00533C78" w:rsidP="00533C78">
      <w:pPr>
        <w:pStyle w:val="ListParagraph"/>
        <w:numPr>
          <w:ilvl w:val="0"/>
          <w:numId w:val="19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Fever</w:t>
      </w:r>
    </w:p>
    <w:p w14:paraId="31790A8F" w14:textId="77777777" w:rsidR="00533C78" w:rsidRDefault="00533C78" w:rsidP="00533C78">
      <w:pPr>
        <w:pStyle w:val="ListParagraph"/>
        <w:numPr>
          <w:ilvl w:val="0"/>
          <w:numId w:val="19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Electrolyte or laboratory abnormalities that resolve to grade ≤2 within 7 days without evidence of end organ damage, including those related to tumor lysis syndrome (TLS) </w:t>
      </w:r>
    </w:p>
    <w:p w14:paraId="0B96CD52" w14:textId="77777777" w:rsidR="00533C78" w:rsidRDefault="00533C78" w:rsidP="00533C78">
      <w:pPr>
        <w:pStyle w:val="ListParagraph"/>
        <w:numPr>
          <w:ilvl w:val="0"/>
          <w:numId w:val="19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Clinical TLS</w:t>
      </w:r>
    </w:p>
    <w:p w14:paraId="334F6D33" w14:textId="77777777" w:rsidR="00533C78" w:rsidRDefault="00533C78" w:rsidP="00533C7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Delayed count recovery was considered a DLT. Delayed count recovery was defined as </w:t>
      </w:r>
      <w:r w:rsidRPr="009B52B5">
        <w:rPr>
          <w:rFonts w:ascii="Arial" w:hAnsi="Arial" w:cs="Arial"/>
        </w:rPr>
        <w:t xml:space="preserve">absolute neutrophil count </w:t>
      </w:r>
      <w:r>
        <w:rPr>
          <w:rFonts w:ascii="Arial" w:hAnsi="Arial" w:cs="Arial"/>
        </w:rPr>
        <w:t>(ANC) &lt;500/µL and platelets &lt;25,000/µL that persists during the first 50 days, or at the week 8 visit, unless the delay in ANC or platelet recovery is due to another identifiable factor, such as leukemia, documented myelosuppressive infection, or concomitant medication other than study medication.</w:t>
      </w:r>
    </w:p>
    <w:p w14:paraId="091D1007" w14:textId="77777777" w:rsidR="00533C78" w:rsidRDefault="00533C78" w:rsidP="00533C78">
      <w:pPr>
        <w:spacing w:after="0" w:line="480" w:lineRule="auto"/>
        <w:rPr>
          <w:rFonts w:ascii="Arial" w:hAnsi="Arial" w:cs="Arial"/>
        </w:rPr>
      </w:pPr>
      <w:r w:rsidRPr="002F795E">
        <w:rPr>
          <w:rFonts w:ascii="Arial" w:hAnsi="Arial" w:cs="Arial"/>
        </w:rPr>
        <w:t xml:space="preserve">For patients with </w:t>
      </w:r>
      <w:r>
        <w:rPr>
          <w:rFonts w:ascii="Arial" w:hAnsi="Arial" w:cs="Arial"/>
        </w:rPr>
        <w:t>LL</w:t>
      </w:r>
      <w:r w:rsidRPr="002F795E">
        <w:rPr>
          <w:rFonts w:ascii="Arial" w:hAnsi="Arial" w:cs="Arial"/>
        </w:rPr>
        <w:t xml:space="preserve"> and adequate bone marrow function (ie, </w:t>
      </w:r>
      <w:r>
        <w:rPr>
          <w:rFonts w:ascii="Arial" w:hAnsi="Arial" w:cs="Arial"/>
        </w:rPr>
        <w:t>ANC</w:t>
      </w:r>
      <w:r w:rsidRPr="002F795E">
        <w:rPr>
          <w:rFonts w:ascii="Arial" w:hAnsi="Arial" w:cs="Arial"/>
        </w:rPr>
        <w:t xml:space="preserve"> &gt;1000/μL and platelets &gt;75,000/μL) at study entry, the following hematologic AEs were considered DLTs: </w:t>
      </w:r>
    </w:p>
    <w:p w14:paraId="3AFC8F7F" w14:textId="77777777" w:rsidR="00533C78" w:rsidRPr="002F795E" w:rsidRDefault="00533C78" w:rsidP="00533C78">
      <w:pPr>
        <w:pStyle w:val="ListParagraph"/>
        <w:numPr>
          <w:ilvl w:val="0"/>
          <w:numId w:val="23"/>
        </w:numPr>
        <w:spacing w:after="0" w:line="480" w:lineRule="auto"/>
        <w:rPr>
          <w:rFonts w:ascii="Arial" w:hAnsi="Arial" w:cs="Arial"/>
        </w:rPr>
      </w:pPr>
      <w:r w:rsidRPr="002F795E">
        <w:rPr>
          <w:rFonts w:ascii="Arial" w:hAnsi="Arial" w:cs="Arial"/>
        </w:rPr>
        <w:t>Any grade 5 hematologic toxicity</w:t>
      </w:r>
    </w:p>
    <w:p w14:paraId="0619C266" w14:textId="77777777" w:rsidR="00533C78" w:rsidRDefault="00533C78" w:rsidP="00533C78">
      <w:pPr>
        <w:pStyle w:val="ListParagraph"/>
        <w:numPr>
          <w:ilvl w:val="0"/>
          <w:numId w:val="20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Grade 3 thrombocytopenia associated with a bleeding event that is grade &gt;2 </w:t>
      </w:r>
    </w:p>
    <w:p w14:paraId="25436C91" w14:textId="77777777" w:rsidR="00533C78" w:rsidRDefault="00533C78" w:rsidP="00533C78">
      <w:pPr>
        <w:pStyle w:val="ListParagraph"/>
        <w:numPr>
          <w:ilvl w:val="0"/>
          <w:numId w:val="20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Grade 4 febrile neutropenia</w:t>
      </w:r>
    </w:p>
    <w:p w14:paraId="26A8C248" w14:textId="77777777" w:rsidR="00533C78" w:rsidRDefault="00533C78" w:rsidP="00533C78">
      <w:pPr>
        <w:pStyle w:val="ListParagraph"/>
        <w:numPr>
          <w:ilvl w:val="0"/>
          <w:numId w:val="20"/>
        </w:num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Grade 4 anemia </w:t>
      </w:r>
    </w:p>
    <w:p w14:paraId="33320233" w14:textId="77777777" w:rsidR="00533C78" w:rsidRPr="0003056C" w:rsidRDefault="00533C78" w:rsidP="00533C78">
      <w:pPr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DLTs required interruption and/or discontinuation of venetoclax and navitoclax. Chemotherapy doses were decreased prior to decreases in venetoclax or navitoclax. After study drug interruption, treatment could be reintroduced at a reduced dose given that the toxicity returned to grade 1 or less, or to baseline if grade 2 at study entry. Venetoclax and navitoclax doses </w:t>
      </w:r>
      <w:r>
        <w:rPr>
          <w:rFonts w:ascii="Arial" w:hAnsi="Arial" w:cs="Arial"/>
        </w:rPr>
        <w:lastRenderedPageBreak/>
        <w:t xml:space="preserve">could be increased thereafter, but not above the current dose level. All dose modifications were medically managed by the investigator. </w:t>
      </w:r>
    </w:p>
    <w:p w14:paraId="208B214A" w14:textId="77777777" w:rsidR="00533C78" w:rsidRPr="00F77590" w:rsidRDefault="00533C78" w:rsidP="00533C78">
      <w:pPr>
        <w:spacing w:after="0" w:line="480" w:lineRule="auto"/>
        <w:ind w:left="720" w:right="720"/>
        <w:rPr>
          <w:rFonts w:ascii="Arial" w:hAnsi="Arial" w:cs="Arial"/>
          <w:i/>
          <w:iCs/>
        </w:rPr>
      </w:pPr>
    </w:p>
    <w:p w14:paraId="1488E7A8" w14:textId="77777777" w:rsidR="00533C78" w:rsidRDefault="00533C78" w:rsidP="00533C7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32BCE5A" w14:textId="77777777" w:rsidR="00533C78" w:rsidRDefault="00533C78" w:rsidP="00533C78">
      <w:pPr>
        <w:spacing w:after="0" w:line="360" w:lineRule="auto"/>
        <w:rPr>
          <w:rFonts w:ascii="Arial" w:hAnsi="Arial" w:cs="Arial"/>
          <w:b/>
          <w:bCs/>
        </w:rPr>
      </w:pPr>
      <w:r w:rsidRPr="003A6FD2">
        <w:rPr>
          <w:rFonts w:ascii="Arial" w:hAnsi="Arial" w:cs="Arial"/>
          <w:b/>
          <w:bCs/>
        </w:rPr>
        <w:lastRenderedPageBreak/>
        <w:t>Supplementary Table S</w:t>
      </w:r>
      <w:r>
        <w:rPr>
          <w:rFonts w:ascii="Arial" w:hAnsi="Arial" w:cs="Arial"/>
          <w:b/>
          <w:bCs/>
        </w:rPr>
        <w:t>1</w:t>
      </w:r>
      <w:r w:rsidRPr="003A6FD2">
        <w:rPr>
          <w:rFonts w:ascii="Arial" w:hAnsi="Arial" w:cs="Arial"/>
          <w:b/>
          <w:bCs/>
        </w:rPr>
        <w:t>.</w:t>
      </w:r>
      <w:r w:rsidRPr="003A6F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Patient demographics and disease characteristics at baseline by dose level</w:t>
      </w:r>
      <w:r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10656" w:type="dxa"/>
        <w:tblInd w:w="-635" w:type="dxa"/>
        <w:tblLook w:val="04A0" w:firstRow="1" w:lastRow="0" w:firstColumn="1" w:lastColumn="0" w:noHBand="0" w:noVBand="1"/>
      </w:tblPr>
      <w:tblGrid>
        <w:gridCol w:w="5040"/>
        <w:gridCol w:w="1872"/>
        <w:gridCol w:w="1872"/>
        <w:gridCol w:w="1872"/>
      </w:tblGrid>
      <w:tr w:rsidR="00533C78" w14:paraId="5C478D80" w14:textId="77777777" w:rsidTr="00533C78">
        <w:trPr>
          <w:trHeight w:val="360"/>
        </w:trPr>
        <w:tc>
          <w:tcPr>
            <w:tcW w:w="5040" w:type="dxa"/>
            <w:vAlign w:val="center"/>
          </w:tcPr>
          <w:p w14:paraId="229846FC" w14:textId="77777777" w:rsidR="00533C78" w:rsidRPr="005967F9" w:rsidRDefault="00533C78" w:rsidP="00533C7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5967F9">
              <w:rPr>
                <w:rFonts w:ascii="Arial" w:hAnsi="Arial" w:cs="Arial"/>
                <w:b/>
                <w:bCs/>
              </w:rPr>
              <w:t>Characteristic</w:t>
            </w:r>
          </w:p>
        </w:tc>
        <w:tc>
          <w:tcPr>
            <w:tcW w:w="1872" w:type="dxa"/>
            <w:vAlign w:val="center"/>
          </w:tcPr>
          <w:p w14:paraId="46E807CA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Dose level 1</w:t>
            </w:r>
            <w:r w:rsidRPr="00D31247">
              <w:rPr>
                <w:rFonts w:ascii="Arial" w:hAnsi="Arial" w:cs="Arial"/>
                <w:b/>
                <w:bCs/>
                <w:vertAlign w:val="superscript"/>
              </w:rPr>
              <w:t>a</w:t>
            </w:r>
          </w:p>
          <w:p w14:paraId="4E7FACD8" w14:textId="77777777" w:rsidR="00533C78" w:rsidRPr="005967F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(n = 16)</w:t>
            </w:r>
          </w:p>
        </w:tc>
        <w:tc>
          <w:tcPr>
            <w:tcW w:w="1872" w:type="dxa"/>
          </w:tcPr>
          <w:p w14:paraId="1316B9DB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Dose level 2</w:t>
            </w:r>
            <w:r w:rsidRPr="00D31247">
              <w:rPr>
                <w:rFonts w:ascii="Arial" w:hAnsi="Arial" w:cs="Arial"/>
                <w:b/>
                <w:bCs/>
                <w:vertAlign w:val="superscript"/>
              </w:rPr>
              <w:t>b</w:t>
            </w:r>
          </w:p>
          <w:p w14:paraId="69E4C2CC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(n = 11)</w:t>
            </w:r>
          </w:p>
        </w:tc>
        <w:tc>
          <w:tcPr>
            <w:tcW w:w="1872" w:type="dxa"/>
          </w:tcPr>
          <w:p w14:paraId="08120DD0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Dose level 3</w:t>
            </w:r>
            <w:r w:rsidRPr="00D31247">
              <w:rPr>
                <w:rFonts w:ascii="Arial" w:hAnsi="Arial" w:cs="Arial"/>
                <w:b/>
                <w:bCs/>
                <w:vertAlign w:val="superscript"/>
              </w:rPr>
              <w:t>c</w:t>
            </w:r>
          </w:p>
          <w:p w14:paraId="37A8A826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(n = 20)</w:t>
            </w:r>
          </w:p>
        </w:tc>
      </w:tr>
      <w:tr w:rsidR="00533C78" w14:paraId="6A716281" w14:textId="77777777" w:rsidTr="00533C78">
        <w:trPr>
          <w:trHeight w:val="360"/>
        </w:trPr>
        <w:tc>
          <w:tcPr>
            <w:tcW w:w="5040" w:type="dxa"/>
            <w:vAlign w:val="center"/>
          </w:tcPr>
          <w:p w14:paraId="400C3D38" w14:textId="77777777" w:rsidR="00533C78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Median age (range), y</w:t>
            </w:r>
          </w:p>
        </w:tc>
        <w:tc>
          <w:tcPr>
            <w:tcW w:w="1872" w:type="dxa"/>
            <w:vAlign w:val="center"/>
          </w:tcPr>
          <w:p w14:paraId="30955F64" w14:textId="77777777" w:rsidR="00533C78" w:rsidRPr="00D31247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(14–45)</w:t>
            </w:r>
          </w:p>
        </w:tc>
        <w:tc>
          <w:tcPr>
            <w:tcW w:w="1872" w:type="dxa"/>
            <w:vAlign w:val="center"/>
          </w:tcPr>
          <w:p w14:paraId="6D795532" w14:textId="77777777" w:rsidR="00533C78" w:rsidRPr="00DE1B8D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(6–72)</w:t>
            </w:r>
          </w:p>
        </w:tc>
        <w:tc>
          <w:tcPr>
            <w:tcW w:w="1872" w:type="dxa"/>
            <w:vAlign w:val="center"/>
          </w:tcPr>
          <w:p w14:paraId="62C63F25" w14:textId="77777777" w:rsidR="00533C78" w:rsidRPr="00336266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(6–72)</w:t>
            </w:r>
          </w:p>
        </w:tc>
      </w:tr>
      <w:tr w:rsidR="00533C78" w14:paraId="7E1038E9" w14:textId="77777777" w:rsidTr="00533C78">
        <w:trPr>
          <w:trHeight w:val="360"/>
        </w:trPr>
        <w:tc>
          <w:tcPr>
            <w:tcW w:w="5040" w:type="dxa"/>
            <w:vAlign w:val="center"/>
          </w:tcPr>
          <w:p w14:paraId="1ADCD691" w14:textId="77777777" w:rsidR="00533C78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 sex, n (%)</w:t>
            </w:r>
            <w:r w:rsidRPr="004C3C7D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872" w:type="dxa"/>
            <w:vAlign w:val="center"/>
          </w:tcPr>
          <w:p w14:paraId="25203B24" w14:textId="77777777" w:rsidR="00533C78" w:rsidRPr="00D31247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(75.0)</w:t>
            </w:r>
          </w:p>
        </w:tc>
        <w:tc>
          <w:tcPr>
            <w:tcW w:w="1872" w:type="dxa"/>
            <w:vAlign w:val="center"/>
          </w:tcPr>
          <w:p w14:paraId="60898BF9" w14:textId="77777777" w:rsidR="00533C78" w:rsidRPr="00DE1B8D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(63.6)</w:t>
            </w:r>
          </w:p>
        </w:tc>
        <w:tc>
          <w:tcPr>
            <w:tcW w:w="1872" w:type="dxa"/>
            <w:vAlign w:val="center"/>
          </w:tcPr>
          <w:p w14:paraId="17CBBCA1" w14:textId="77777777" w:rsidR="00533C78" w:rsidRPr="00DE1B8D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(50.0)</w:t>
            </w:r>
          </w:p>
        </w:tc>
      </w:tr>
      <w:tr w:rsidR="00533C78" w14:paraId="4D6673C1" w14:textId="77777777" w:rsidTr="00533C78">
        <w:trPr>
          <w:trHeight w:val="360"/>
        </w:trPr>
        <w:tc>
          <w:tcPr>
            <w:tcW w:w="5040" w:type="dxa"/>
          </w:tcPr>
          <w:p w14:paraId="4F644D56" w14:textId="77777777" w:rsidR="00533C78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Race, n (%)</w:t>
            </w:r>
            <w:r w:rsidRPr="004C3C7D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  <w:p w14:paraId="55F7BE79" w14:textId="77777777" w:rsidR="00533C78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White</w:t>
            </w:r>
          </w:p>
          <w:p w14:paraId="1C5306D2" w14:textId="77777777" w:rsidR="00533C78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Black or African American</w:t>
            </w:r>
          </w:p>
          <w:p w14:paraId="3839581E" w14:textId="77777777" w:rsidR="00533C78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Other</w:t>
            </w:r>
          </w:p>
          <w:p w14:paraId="0AF648B9" w14:textId="77777777" w:rsidR="00533C78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Missing</w:t>
            </w:r>
          </w:p>
        </w:tc>
        <w:tc>
          <w:tcPr>
            <w:tcW w:w="1872" w:type="dxa"/>
            <w:vAlign w:val="bottom"/>
          </w:tcPr>
          <w:p w14:paraId="2550A22C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(78.6)</w:t>
            </w:r>
          </w:p>
          <w:p w14:paraId="216A37F8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(14.3)</w:t>
            </w:r>
          </w:p>
          <w:p w14:paraId="02F1F199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(7.1)</w:t>
            </w:r>
          </w:p>
          <w:p w14:paraId="16CE3F85" w14:textId="77777777" w:rsidR="00533C78" w:rsidRPr="00DE1B8D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(14.3)</w:t>
            </w:r>
          </w:p>
        </w:tc>
        <w:tc>
          <w:tcPr>
            <w:tcW w:w="1872" w:type="dxa"/>
            <w:vAlign w:val="bottom"/>
          </w:tcPr>
          <w:p w14:paraId="016788FF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(81.8)</w:t>
            </w:r>
          </w:p>
          <w:p w14:paraId="7BFF412D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(9.1)</w:t>
            </w:r>
          </w:p>
          <w:p w14:paraId="0A745170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(9.1)</w:t>
            </w:r>
          </w:p>
          <w:p w14:paraId="2B64FEE5" w14:textId="77777777" w:rsidR="00533C78" w:rsidRPr="00DE1B8D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72" w:type="dxa"/>
            <w:vAlign w:val="bottom"/>
          </w:tcPr>
          <w:p w14:paraId="5C935C6C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(88.9)</w:t>
            </w:r>
          </w:p>
          <w:p w14:paraId="1C4D9525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14:paraId="675F7438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(11.1)</w:t>
            </w:r>
          </w:p>
          <w:p w14:paraId="53FA88FF" w14:textId="77777777" w:rsidR="00533C78" w:rsidRPr="00DE1B8D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(11.1)</w:t>
            </w:r>
          </w:p>
        </w:tc>
      </w:tr>
      <w:tr w:rsidR="00533C78" w14:paraId="0EF2F557" w14:textId="77777777" w:rsidTr="00533C78">
        <w:trPr>
          <w:trHeight w:val="360"/>
        </w:trPr>
        <w:tc>
          <w:tcPr>
            <w:tcW w:w="5040" w:type="dxa"/>
          </w:tcPr>
          <w:p w14:paraId="6E739A23" w14:textId="77777777" w:rsidR="00533C78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Type of primary cancer, n (%)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  <w:p w14:paraId="63ED278D" w14:textId="77777777" w:rsidR="00533C78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ALL</w:t>
            </w:r>
          </w:p>
          <w:p w14:paraId="1C13295C" w14:textId="77777777" w:rsidR="00533C78" w:rsidRPr="0041201D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LL</w:t>
            </w:r>
          </w:p>
        </w:tc>
        <w:tc>
          <w:tcPr>
            <w:tcW w:w="1872" w:type="dxa"/>
            <w:vAlign w:val="bottom"/>
          </w:tcPr>
          <w:p w14:paraId="26267FCC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(100)</w:t>
            </w:r>
          </w:p>
          <w:p w14:paraId="2E0172A0" w14:textId="77777777" w:rsidR="00533C78" w:rsidRPr="00DE1B8D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72" w:type="dxa"/>
            <w:vAlign w:val="bottom"/>
          </w:tcPr>
          <w:p w14:paraId="089742D7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(81.8)</w:t>
            </w:r>
          </w:p>
          <w:p w14:paraId="2DEBD5FF" w14:textId="77777777" w:rsidR="00533C78" w:rsidRPr="00336266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(18.2)</w:t>
            </w:r>
          </w:p>
        </w:tc>
        <w:tc>
          <w:tcPr>
            <w:tcW w:w="1872" w:type="dxa"/>
            <w:vAlign w:val="bottom"/>
          </w:tcPr>
          <w:p w14:paraId="4B7D71B3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(95.0)</w:t>
            </w:r>
          </w:p>
          <w:p w14:paraId="267FC69B" w14:textId="77777777" w:rsidR="00533C78" w:rsidRPr="00336266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(5.0)</w:t>
            </w:r>
          </w:p>
        </w:tc>
      </w:tr>
      <w:tr w:rsidR="00533C78" w14:paraId="79283045" w14:textId="77777777" w:rsidTr="00533C78">
        <w:trPr>
          <w:trHeight w:val="360"/>
        </w:trPr>
        <w:tc>
          <w:tcPr>
            <w:tcW w:w="5040" w:type="dxa"/>
          </w:tcPr>
          <w:p w14:paraId="19BAB398" w14:textId="77777777" w:rsidR="00533C78" w:rsidRPr="004C3C7D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 w:rsidRPr="004C3C7D">
              <w:rPr>
                <w:rFonts w:ascii="Arial" w:hAnsi="Arial" w:cs="Arial"/>
              </w:rPr>
              <w:t>ECOG performance status, n (%)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d</w:t>
            </w:r>
          </w:p>
          <w:p w14:paraId="2A888F68" w14:textId="77777777" w:rsidR="00533C78" w:rsidRPr="004C3C7D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 w:rsidRPr="004C3C7D">
              <w:rPr>
                <w:rFonts w:ascii="Arial" w:hAnsi="Arial" w:cs="Arial"/>
              </w:rPr>
              <w:t xml:space="preserve">   0</w:t>
            </w:r>
          </w:p>
          <w:p w14:paraId="53F263AB" w14:textId="77777777" w:rsidR="00533C78" w:rsidRPr="004C3C7D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 w:rsidRPr="004C3C7D">
              <w:rPr>
                <w:rFonts w:ascii="Arial" w:hAnsi="Arial" w:cs="Arial"/>
              </w:rPr>
              <w:t xml:space="preserve">   1</w:t>
            </w:r>
          </w:p>
          <w:p w14:paraId="14E67DA0" w14:textId="77777777" w:rsidR="00533C78" w:rsidRPr="004C3C7D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 w:rsidRPr="004C3C7D">
              <w:rPr>
                <w:rFonts w:ascii="Arial" w:hAnsi="Arial" w:cs="Arial"/>
              </w:rPr>
              <w:t xml:space="preserve">   2</w:t>
            </w:r>
          </w:p>
          <w:p w14:paraId="696E292E" w14:textId="77777777" w:rsidR="00533C78" w:rsidRPr="004C3C7D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 w:rsidRPr="004C3C7D">
              <w:rPr>
                <w:rFonts w:ascii="Arial" w:hAnsi="Arial" w:cs="Arial"/>
              </w:rPr>
              <w:t xml:space="preserve">   Missing</w:t>
            </w:r>
          </w:p>
        </w:tc>
        <w:tc>
          <w:tcPr>
            <w:tcW w:w="1872" w:type="dxa"/>
            <w:vAlign w:val="bottom"/>
          </w:tcPr>
          <w:p w14:paraId="422EC38B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(36.4)</w:t>
            </w:r>
          </w:p>
          <w:p w14:paraId="171092AD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(54.5)</w:t>
            </w:r>
          </w:p>
          <w:p w14:paraId="71D7AEE4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(9.1)</w:t>
            </w:r>
          </w:p>
          <w:p w14:paraId="7A5D5BEF" w14:textId="77777777" w:rsidR="00533C78" w:rsidRPr="00DE1B8D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(31.3)</w:t>
            </w:r>
          </w:p>
        </w:tc>
        <w:tc>
          <w:tcPr>
            <w:tcW w:w="1872" w:type="dxa"/>
            <w:vAlign w:val="bottom"/>
          </w:tcPr>
          <w:p w14:paraId="6A9CCA72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14:paraId="1C0F638A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(100)</w:t>
            </w:r>
          </w:p>
          <w:p w14:paraId="156A5CBC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14:paraId="2C74433B" w14:textId="77777777" w:rsidR="00533C78" w:rsidRPr="00336266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(45.5)</w:t>
            </w:r>
          </w:p>
        </w:tc>
        <w:tc>
          <w:tcPr>
            <w:tcW w:w="1872" w:type="dxa"/>
            <w:vAlign w:val="bottom"/>
          </w:tcPr>
          <w:p w14:paraId="03440B59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14:paraId="647411CC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(75.0)</w:t>
            </w:r>
          </w:p>
          <w:p w14:paraId="53DBAF5A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(25.0)</w:t>
            </w:r>
          </w:p>
          <w:p w14:paraId="2DE30449" w14:textId="77777777" w:rsidR="00533C78" w:rsidRPr="00336266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(40.0)</w:t>
            </w:r>
          </w:p>
        </w:tc>
      </w:tr>
      <w:tr w:rsidR="00533C78" w14:paraId="2F70BE3F" w14:textId="77777777" w:rsidTr="00533C78">
        <w:trPr>
          <w:trHeight w:val="360"/>
        </w:trPr>
        <w:tc>
          <w:tcPr>
            <w:tcW w:w="5040" w:type="dxa"/>
            <w:vAlign w:val="center"/>
          </w:tcPr>
          <w:p w14:paraId="15D0B969" w14:textId="77777777" w:rsidR="00533C78" w:rsidRPr="00AA3DFD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 w:rsidRPr="00AA3DFD">
              <w:rPr>
                <w:rFonts w:ascii="Arial" w:hAnsi="Arial" w:cs="Arial"/>
              </w:rPr>
              <w:t>Median prior lines of therapy (range)</w:t>
            </w:r>
          </w:p>
        </w:tc>
        <w:tc>
          <w:tcPr>
            <w:tcW w:w="1872" w:type="dxa"/>
            <w:vAlign w:val="center"/>
          </w:tcPr>
          <w:p w14:paraId="0365ABD1" w14:textId="77777777" w:rsidR="00533C78" w:rsidRPr="00DE1B8D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(1–8)</w:t>
            </w:r>
          </w:p>
        </w:tc>
        <w:tc>
          <w:tcPr>
            <w:tcW w:w="1872" w:type="dxa"/>
            <w:vAlign w:val="center"/>
          </w:tcPr>
          <w:p w14:paraId="6E7D2D04" w14:textId="77777777" w:rsidR="00533C78" w:rsidRPr="00336266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(1–6)</w:t>
            </w:r>
          </w:p>
        </w:tc>
        <w:tc>
          <w:tcPr>
            <w:tcW w:w="1872" w:type="dxa"/>
            <w:vAlign w:val="center"/>
          </w:tcPr>
          <w:p w14:paraId="5334E637" w14:textId="77777777" w:rsidR="00533C78" w:rsidRPr="00336266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(1–10)</w:t>
            </w:r>
          </w:p>
        </w:tc>
      </w:tr>
      <w:tr w:rsidR="00533C78" w:rsidRPr="00274C89" w14:paraId="12F60A8D" w14:textId="77777777" w:rsidTr="00533C78">
        <w:trPr>
          <w:trHeight w:val="360"/>
        </w:trPr>
        <w:tc>
          <w:tcPr>
            <w:tcW w:w="5040" w:type="dxa"/>
          </w:tcPr>
          <w:p w14:paraId="133F50CE" w14:textId="77777777" w:rsidR="00533C78" w:rsidRPr="00274C89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Key prior treatments, n (%)</w:t>
            </w:r>
          </w:p>
          <w:p w14:paraId="7F0BA11C" w14:textId="77777777" w:rsidR="00533C78" w:rsidRPr="00274C89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 xml:space="preserve">   Asparaginase or PEG-asparaginase</w:t>
            </w:r>
          </w:p>
          <w:p w14:paraId="7C30AACD" w14:textId="77777777" w:rsidR="00533C78" w:rsidRPr="00274C89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 xml:space="preserve">   Blinatumomab</w:t>
            </w:r>
          </w:p>
          <w:p w14:paraId="72156F95" w14:textId="77777777" w:rsidR="00533C78" w:rsidRPr="00274C89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 xml:space="preserve">   Inotuzumab ozogamicin</w:t>
            </w:r>
          </w:p>
          <w:p w14:paraId="3B66A3BC" w14:textId="77777777" w:rsidR="00533C78" w:rsidRPr="00274C89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 xml:space="preserve">   CAR T-cell therapy</w:t>
            </w:r>
          </w:p>
          <w:p w14:paraId="6BA43FD5" w14:textId="77777777" w:rsidR="00533C78" w:rsidRPr="00274C89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 xml:space="preserve">   Daratumumab</w:t>
            </w:r>
          </w:p>
          <w:p w14:paraId="1731B4BC" w14:textId="77777777" w:rsidR="00533C78" w:rsidRPr="00274C89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 xml:space="preserve">   Venetoclax</w:t>
            </w:r>
          </w:p>
        </w:tc>
        <w:tc>
          <w:tcPr>
            <w:tcW w:w="1872" w:type="dxa"/>
            <w:vAlign w:val="bottom"/>
          </w:tcPr>
          <w:p w14:paraId="68EF4891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12 (75.0)</w:t>
            </w:r>
          </w:p>
          <w:p w14:paraId="3EBFCC53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4 (25.0)</w:t>
            </w:r>
          </w:p>
          <w:p w14:paraId="5F0E6A56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3 (18.8)</w:t>
            </w:r>
          </w:p>
          <w:p w14:paraId="47124B72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2 (12.5)</w:t>
            </w:r>
          </w:p>
          <w:p w14:paraId="23E524F7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0</w:t>
            </w:r>
          </w:p>
          <w:p w14:paraId="28C7D553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1 (6.3)</w:t>
            </w:r>
          </w:p>
        </w:tc>
        <w:tc>
          <w:tcPr>
            <w:tcW w:w="1872" w:type="dxa"/>
            <w:vAlign w:val="bottom"/>
          </w:tcPr>
          <w:p w14:paraId="154F9078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7 (63.6)</w:t>
            </w:r>
          </w:p>
          <w:p w14:paraId="286611BA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3 (27.3)</w:t>
            </w:r>
          </w:p>
          <w:p w14:paraId="6EC2E702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0</w:t>
            </w:r>
          </w:p>
          <w:p w14:paraId="46251AC8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2 (18.2)</w:t>
            </w:r>
          </w:p>
          <w:p w14:paraId="18814998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1 (9.1)</w:t>
            </w:r>
          </w:p>
          <w:p w14:paraId="32F10504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1 (9.1)</w:t>
            </w:r>
          </w:p>
        </w:tc>
        <w:tc>
          <w:tcPr>
            <w:tcW w:w="1872" w:type="dxa"/>
            <w:vAlign w:val="bottom"/>
          </w:tcPr>
          <w:p w14:paraId="635A3827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9 (45.0)</w:t>
            </w:r>
          </w:p>
          <w:p w14:paraId="172917DF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6 (30.0)</w:t>
            </w:r>
          </w:p>
          <w:p w14:paraId="1E85887A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4 (20.0)</w:t>
            </w:r>
          </w:p>
          <w:p w14:paraId="03D16839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2 (10.0)</w:t>
            </w:r>
          </w:p>
          <w:p w14:paraId="1397F327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0</w:t>
            </w:r>
          </w:p>
          <w:p w14:paraId="4757EB98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2 (10.0)</w:t>
            </w:r>
          </w:p>
        </w:tc>
      </w:tr>
      <w:tr w:rsidR="00533C78" w:rsidRPr="00274C89" w14:paraId="04439DDF" w14:textId="77777777" w:rsidTr="00533C78">
        <w:trPr>
          <w:trHeight w:val="360"/>
        </w:trPr>
        <w:tc>
          <w:tcPr>
            <w:tcW w:w="5040" w:type="dxa"/>
            <w:vAlign w:val="center"/>
          </w:tcPr>
          <w:p w14:paraId="03FF7F05" w14:textId="77777777" w:rsidR="00533C78" w:rsidRPr="00274C89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Prior transplant, n (%)</w:t>
            </w:r>
          </w:p>
        </w:tc>
        <w:tc>
          <w:tcPr>
            <w:tcW w:w="1872" w:type="dxa"/>
            <w:vAlign w:val="center"/>
          </w:tcPr>
          <w:p w14:paraId="7BB89457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7 (43.8)</w:t>
            </w:r>
          </w:p>
        </w:tc>
        <w:tc>
          <w:tcPr>
            <w:tcW w:w="1872" w:type="dxa"/>
            <w:vAlign w:val="center"/>
          </w:tcPr>
          <w:p w14:paraId="731FD047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2 (18.2)</w:t>
            </w:r>
          </w:p>
        </w:tc>
        <w:tc>
          <w:tcPr>
            <w:tcW w:w="1872" w:type="dxa"/>
            <w:vAlign w:val="center"/>
          </w:tcPr>
          <w:p w14:paraId="26862B9B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4 (20.0)</w:t>
            </w:r>
          </w:p>
        </w:tc>
      </w:tr>
      <w:tr w:rsidR="00533C78" w:rsidRPr="00274C89" w14:paraId="1FFA7DC2" w14:textId="77777777" w:rsidTr="00533C78">
        <w:trPr>
          <w:trHeight w:val="360"/>
        </w:trPr>
        <w:tc>
          <w:tcPr>
            <w:tcW w:w="5040" w:type="dxa"/>
            <w:vAlign w:val="center"/>
          </w:tcPr>
          <w:p w14:paraId="310C2F35" w14:textId="77777777" w:rsidR="00533C78" w:rsidRPr="00274C89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Median time from diagnosis to</w:t>
            </w:r>
            <w:r>
              <w:rPr>
                <w:rFonts w:ascii="Arial" w:hAnsi="Arial" w:cs="Arial"/>
              </w:rPr>
              <w:t xml:space="preserve"> first</w:t>
            </w:r>
            <w:r w:rsidRPr="00274C89">
              <w:rPr>
                <w:rFonts w:ascii="Arial" w:hAnsi="Arial" w:cs="Arial"/>
              </w:rPr>
              <w:t xml:space="preserve"> dose (range), mo</w:t>
            </w:r>
          </w:p>
        </w:tc>
        <w:tc>
          <w:tcPr>
            <w:tcW w:w="1872" w:type="dxa"/>
            <w:vAlign w:val="center"/>
          </w:tcPr>
          <w:p w14:paraId="3B7BCAC3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26.2 (1.4–107.5)</w:t>
            </w:r>
          </w:p>
        </w:tc>
        <w:tc>
          <w:tcPr>
            <w:tcW w:w="1872" w:type="dxa"/>
            <w:vAlign w:val="center"/>
          </w:tcPr>
          <w:p w14:paraId="171E71C2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20.2 (5.7–99.1)</w:t>
            </w:r>
          </w:p>
        </w:tc>
        <w:tc>
          <w:tcPr>
            <w:tcW w:w="1872" w:type="dxa"/>
            <w:vAlign w:val="center"/>
          </w:tcPr>
          <w:p w14:paraId="05FEEDEE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25.6 (3.1–170.3)</w:t>
            </w:r>
          </w:p>
        </w:tc>
      </w:tr>
      <w:tr w:rsidR="00533C78" w:rsidRPr="00274C89" w14:paraId="6B10F98C" w14:textId="77777777" w:rsidTr="00533C78">
        <w:trPr>
          <w:trHeight w:val="360"/>
        </w:trPr>
        <w:tc>
          <w:tcPr>
            <w:tcW w:w="5040" w:type="dxa"/>
            <w:vAlign w:val="center"/>
          </w:tcPr>
          <w:p w14:paraId="67B73B17" w14:textId="77777777" w:rsidR="00533C78" w:rsidRPr="00274C89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Median time since last prior therapy (range), mo</w:t>
            </w:r>
          </w:p>
        </w:tc>
        <w:tc>
          <w:tcPr>
            <w:tcW w:w="1872" w:type="dxa"/>
            <w:vAlign w:val="center"/>
          </w:tcPr>
          <w:p w14:paraId="7B62C35C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1.6 (0.3–21.2)</w:t>
            </w:r>
          </w:p>
        </w:tc>
        <w:tc>
          <w:tcPr>
            <w:tcW w:w="1872" w:type="dxa"/>
            <w:vAlign w:val="center"/>
          </w:tcPr>
          <w:p w14:paraId="16ED90BE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1.5 (0.2–7.9)</w:t>
            </w:r>
          </w:p>
        </w:tc>
        <w:tc>
          <w:tcPr>
            <w:tcW w:w="1872" w:type="dxa"/>
            <w:vAlign w:val="center"/>
          </w:tcPr>
          <w:p w14:paraId="32D6874A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1.4 (0.1–9.2)</w:t>
            </w:r>
          </w:p>
        </w:tc>
      </w:tr>
      <w:tr w:rsidR="00533C78" w:rsidRPr="00274C89" w14:paraId="025B7686" w14:textId="77777777" w:rsidTr="00533C78">
        <w:trPr>
          <w:trHeight w:val="360"/>
        </w:trPr>
        <w:tc>
          <w:tcPr>
            <w:tcW w:w="5040" w:type="dxa"/>
          </w:tcPr>
          <w:p w14:paraId="05425DA2" w14:textId="77777777" w:rsidR="00533C78" w:rsidRPr="00274C89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Bone marrow blasts</w:t>
            </w:r>
          </w:p>
          <w:p w14:paraId="5E0EC75F" w14:textId="77777777" w:rsidR="00533C78" w:rsidRPr="00274C89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 xml:space="preserve">   Median (range), %</w:t>
            </w:r>
          </w:p>
          <w:p w14:paraId="78037833" w14:textId="77777777" w:rsidR="00533C78" w:rsidRPr="00274C89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 xml:space="preserve">   Patients with &lt;5%, n (%)</w:t>
            </w:r>
            <w:r w:rsidRPr="00274C89">
              <w:rPr>
                <w:rFonts w:ascii="Arial" w:hAnsi="Arial" w:cs="Arial"/>
                <w:vertAlign w:val="superscript"/>
              </w:rPr>
              <w:t>e</w:t>
            </w:r>
          </w:p>
        </w:tc>
        <w:tc>
          <w:tcPr>
            <w:tcW w:w="1872" w:type="dxa"/>
          </w:tcPr>
          <w:p w14:paraId="382743EC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5659744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90.0 (2.0–99.0)</w:t>
            </w:r>
          </w:p>
          <w:p w14:paraId="3568E013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2 (12.5)</w:t>
            </w:r>
          </w:p>
        </w:tc>
        <w:tc>
          <w:tcPr>
            <w:tcW w:w="1872" w:type="dxa"/>
            <w:vAlign w:val="bottom"/>
          </w:tcPr>
          <w:p w14:paraId="1369009D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29.5 (0.0–96.0)</w:t>
            </w:r>
          </w:p>
          <w:p w14:paraId="3E4933FE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1 (9.1)</w:t>
            </w:r>
          </w:p>
        </w:tc>
        <w:tc>
          <w:tcPr>
            <w:tcW w:w="1872" w:type="dxa"/>
            <w:vAlign w:val="bottom"/>
          </w:tcPr>
          <w:p w14:paraId="195C7084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62.1 (1.6–97.0)</w:t>
            </w:r>
          </w:p>
          <w:p w14:paraId="0A55383F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4 (20.0)</w:t>
            </w:r>
          </w:p>
        </w:tc>
      </w:tr>
    </w:tbl>
    <w:p w14:paraId="09DE978C" w14:textId="77777777" w:rsidR="00533C78" w:rsidRPr="00274C89" w:rsidRDefault="00533C78" w:rsidP="00533C7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4C89">
        <w:rPr>
          <w:rFonts w:ascii="Arial" w:hAnsi="Arial" w:cs="Arial"/>
          <w:sz w:val="20"/>
          <w:szCs w:val="20"/>
          <w:vertAlign w:val="superscript"/>
        </w:rPr>
        <w:t xml:space="preserve">a </w:t>
      </w:r>
      <w:r w:rsidRPr="00274C89">
        <w:rPr>
          <w:rFonts w:ascii="Arial" w:hAnsi="Arial" w:cs="Arial"/>
          <w:sz w:val="20"/>
          <w:szCs w:val="20"/>
        </w:rPr>
        <w:t xml:space="preserve">Venetoclax with 25 mg navitoclax for patients ≥45 kg. </w:t>
      </w:r>
    </w:p>
    <w:p w14:paraId="3B68976D" w14:textId="77777777" w:rsidR="00533C78" w:rsidRPr="00274C89" w:rsidRDefault="00533C78" w:rsidP="00533C7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4C89">
        <w:rPr>
          <w:rFonts w:ascii="Arial" w:hAnsi="Arial" w:cs="Arial"/>
          <w:sz w:val="20"/>
          <w:szCs w:val="20"/>
          <w:vertAlign w:val="superscript"/>
        </w:rPr>
        <w:t xml:space="preserve">b </w:t>
      </w:r>
      <w:r w:rsidRPr="00274C89">
        <w:rPr>
          <w:rFonts w:ascii="Arial" w:hAnsi="Arial" w:cs="Arial"/>
          <w:sz w:val="20"/>
          <w:szCs w:val="20"/>
        </w:rPr>
        <w:t xml:space="preserve">Venetoclax with 50 mg navitoclax for patients ≥45 kg and 25 mg navitoclax for patients &lt;45 kg. </w:t>
      </w:r>
    </w:p>
    <w:p w14:paraId="3685F898" w14:textId="77777777" w:rsidR="00533C78" w:rsidRPr="00274C89" w:rsidRDefault="00533C78" w:rsidP="00533C7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4C89">
        <w:rPr>
          <w:rFonts w:ascii="Arial" w:hAnsi="Arial" w:cs="Arial"/>
          <w:sz w:val="20"/>
          <w:szCs w:val="20"/>
          <w:vertAlign w:val="superscript"/>
        </w:rPr>
        <w:t xml:space="preserve">c </w:t>
      </w:r>
      <w:r w:rsidRPr="00274C89">
        <w:rPr>
          <w:rFonts w:ascii="Arial" w:hAnsi="Arial" w:cs="Arial"/>
          <w:sz w:val="20"/>
          <w:szCs w:val="20"/>
        </w:rPr>
        <w:t xml:space="preserve">Venetoclax with 100 mg navitoclax for patients ≥45 kg and 50 mg navitoclax for patients &lt;45 kg. </w:t>
      </w:r>
    </w:p>
    <w:p w14:paraId="4C9EBF20" w14:textId="77777777" w:rsidR="00533C78" w:rsidRPr="00274C89" w:rsidRDefault="00533C78" w:rsidP="00533C7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4C89">
        <w:rPr>
          <w:rFonts w:ascii="Arial" w:hAnsi="Arial" w:cs="Arial"/>
          <w:sz w:val="20"/>
          <w:szCs w:val="20"/>
          <w:vertAlign w:val="superscript"/>
        </w:rPr>
        <w:t xml:space="preserve">d </w:t>
      </w:r>
      <w:r w:rsidRPr="00274C89">
        <w:rPr>
          <w:rFonts w:ascii="Arial" w:hAnsi="Arial" w:cs="Arial"/>
          <w:sz w:val="20"/>
          <w:szCs w:val="20"/>
        </w:rPr>
        <w:t>Percentages calculated based on total number of patients with available data.</w:t>
      </w:r>
    </w:p>
    <w:p w14:paraId="01171BA6" w14:textId="77777777" w:rsidR="00533C78" w:rsidRPr="00D55484" w:rsidRDefault="00533C78" w:rsidP="00533C7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e</w:t>
      </w:r>
      <w:r>
        <w:rPr>
          <w:rFonts w:ascii="Arial" w:hAnsi="Arial" w:cs="Arial"/>
          <w:sz w:val="20"/>
          <w:szCs w:val="20"/>
        </w:rPr>
        <w:t xml:space="preserve"> </w:t>
      </w:r>
      <w:r w:rsidRPr="00D55484">
        <w:rPr>
          <w:rFonts w:ascii="Arial" w:hAnsi="Arial" w:cs="Arial"/>
          <w:sz w:val="20"/>
          <w:szCs w:val="20"/>
        </w:rPr>
        <w:t>Includes</w:t>
      </w:r>
      <w:r>
        <w:rPr>
          <w:rFonts w:ascii="Arial" w:hAnsi="Arial" w:cs="Arial"/>
          <w:sz w:val="20"/>
          <w:szCs w:val="20"/>
        </w:rPr>
        <w:t xml:space="preserve"> all patients (ALL and</w:t>
      </w:r>
      <w:r w:rsidRPr="00D55484">
        <w:rPr>
          <w:rFonts w:ascii="Arial" w:hAnsi="Arial" w:cs="Arial"/>
          <w:sz w:val="20"/>
          <w:szCs w:val="20"/>
        </w:rPr>
        <w:t xml:space="preserve"> LL</w:t>
      </w:r>
      <w:r>
        <w:rPr>
          <w:rFonts w:ascii="Arial" w:hAnsi="Arial" w:cs="Arial"/>
          <w:sz w:val="20"/>
          <w:szCs w:val="20"/>
        </w:rPr>
        <w:t>). Patients with relapsed/refractory ALL and LL with measurable disease, as</w:t>
      </w:r>
      <w:r w:rsidRPr="00C244B6">
        <w:rPr>
          <w:rFonts w:ascii="Arial" w:hAnsi="Arial" w:cs="Arial"/>
          <w:sz w:val="20"/>
          <w:szCs w:val="20"/>
        </w:rPr>
        <w:t xml:space="preserve"> defined as any measurable bone marrow blast </w:t>
      </w:r>
      <w:r>
        <w:rPr>
          <w:rFonts w:ascii="Arial" w:hAnsi="Arial" w:cs="Arial"/>
          <w:sz w:val="20"/>
          <w:szCs w:val="20"/>
        </w:rPr>
        <w:t>percentage</w:t>
      </w:r>
      <w:r w:rsidRPr="00C244B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>detectable minimal residual disease, were allowed to enroll.</w:t>
      </w:r>
    </w:p>
    <w:p w14:paraId="6E8C6DCB" w14:textId="77777777" w:rsidR="00533C78" w:rsidRPr="00782242" w:rsidRDefault="00533C78" w:rsidP="00533C7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C1F88">
        <w:rPr>
          <w:rFonts w:ascii="Arial" w:hAnsi="Arial" w:cs="Arial"/>
          <w:sz w:val="20"/>
          <w:szCs w:val="20"/>
        </w:rPr>
        <w:t xml:space="preserve">Abbreviations: </w:t>
      </w:r>
      <w:r w:rsidRPr="00782242">
        <w:rPr>
          <w:rFonts w:ascii="Arial" w:hAnsi="Arial" w:cs="Arial"/>
          <w:sz w:val="20"/>
          <w:szCs w:val="20"/>
        </w:rPr>
        <w:t>ALL, acute lymphoblastic leukemia; CAR, chimeric antigen receptor; ECOG, Eastern Cooperative Oncology Group; LL, lymphoblastic lymphoma.</w:t>
      </w:r>
    </w:p>
    <w:p w14:paraId="1C5CF152" w14:textId="77777777" w:rsidR="00533C78" w:rsidRDefault="00533C78" w:rsidP="00533C78">
      <w:pPr>
        <w:spacing w:after="0" w:line="360" w:lineRule="auto"/>
        <w:rPr>
          <w:rFonts w:ascii="Arial" w:hAnsi="Arial" w:cs="Arial"/>
          <w:b/>
          <w:bCs/>
        </w:rPr>
        <w:sectPr w:rsidR="00533C78" w:rsidSect="00533C78">
          <w:headerReference w:type="default" r:id="rId11"/>
          <w:footerReference w:type="even" r:id="rId12"/>
          <w:footerReference w:type="defaul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4A29D73" w14:textId="77777777" w:rsidR="00533C78" w:rsidRDefault="00533C78" w:rsidP="00533C78">
      <w:pPr>
        <w:spacing w:after="0" w:line="360" w:lineRule="auto"/>
        <w:rPr>
          <w:rFonts w:ascii="Arial" w:hAnsi="Arial" w:cs="Arial"/>
        </w:rPr>
      </w:pPr>
      <w:r w:rsidRPr="003A6FD2">
        <w:rPr>
          <w:rFonts w:ascii="Arial" w:hAnsi="Arial" w:cs="Arial"/>
          <w:b/>
          <w:bCs/>
        </w:rPr>
        <w:lastRenderedPageBreak/>
        <w:t>Supplementary Table S</w:t>
      </w:r>
      <w:r>
        <w:rPr>
          <w:rFonts w:ascii="Arial" w:hAnsi="Arial" w:cs="Arial"/>
          <w:b/>
          <w:bCs/>
        </w:rPr>
        <w:t>2</w:t>
      </w:r>
      <w:r w:rsidRPr="003A6FD2">
        <w:rPr>
          <w:rFonts w:ascii="Arial" w:hAnsi="Arial" w:cs="Arial"/>
          <w:b/>
          <w:bCs/>
        </w:rPr>
        <w:t>.</w:t>
      </w:r>
      <w:r w:rsidRPr="003A6F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Median time on study treatment </w:t>
      </w:r>
    </w:p>
    <w:tbl>
      <w:tblPr>
        <w:tblStyle w:val="TableGrid"/>
        <w:tblW w:w="14328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728"/>
        <w:gridCol w:w="1800"/>
        <w:gridCol w:w="1800"/>
        <w:gridCol w:w="1800"/>
        <w:gridCol w:w="1800"/>
        <w:gridCol w:w="1800"/>
        <w:gridCol w:w="1800"/>
        <w:gridCol w:w="1800"/>
      </w:tblGrid>
      <w:tr w:rsidR="00533C78" w:rsidRPr="00B06A51" w14:paraId="38473251" w14:textId="77777777" w:rsidTr="00533C78">
        <w:trPr>
          <w:trHeight w:val="432"/>
        </w:trPr>
        <w:tc>
          <w:tcPr>
            <w:tcW w:w="1728" w:type="dxa"/>
            <w:vAlign w:val="center"/>
          </w:tcPr>
          <w:p w14:paraId="5D7F0344" w14:textId="77777777" w:rsidR="00533C78" w:rsidRPr="00B06A51" w:rsidRDefault="00533C78" w:rsidP="00533C7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Parameter</w:t>
            </w:r>
          </w:p>
        </w:tc>
        <w:tc>
          <w:tcPr>
            <w:tcW w:w="1800" w:type="dxa"/>
          </w:tcPr>
          <w:p w14:paraId="6CAD3446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B-ALL</w:t>
            </w:r>
          </w:p>
          <w:p w14:paraId="4BBB42D6" w14:textId="77777777" w:rsidR="00533C78" w:rsidRPr="00B06A5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(n = 25)</w:t>
            </w:r>
          </w:p>
        </w:tc>
        <w:tc>
          <w:tcPr>
            <w:tcW w:w="1800" w:type="dxa"/>
          </w:tcPr>
          <w:p w14:paraId="69FFEAAD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T-ALL </w:t>
            </w:r>
          </w:p>
          <w:p w14:paraId="19DACE02" w14:textId="77777777" w:rsidR="00533C78" w:rsidRPr="00B06A5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(n = 19)</w:t>
            </w:r>
          </w:p>
        </w:tc>
        <w:tc>
          <w:tcPr>
            <w:tcW w:w="1800" w:type="dxa"/>
          </w:tcPr>
          <w:p w14:paraId="7A1DF06D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LL</w:t>
            </w:r>
          </w:p>
          <w:p w14:paraId="699D6D4C" w14:textId="77777777" w:rsidR="00533C78" w:rsidRPr="00B06A5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(n = 3)</w:t>
            </w:r>
          </w:p>
        </w:tc>
        <w:tc>
          <w:tcPr>
            <w:tcW w:w="1800" w:type="dxa"/>
            <w:vAlign w:val="center"/>
          </w:tcPr>
          <w:p w14:paraId="5776E56F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Dose level 1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a</w:t>
            </w:r>
          </w:p>
          <w:p w14:paraId="074CB196" w14:textId="77777777" w:rsidR="00533C78" w:rsidRPr="00B06A5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(n = 16)</w:t>
            </w:r>
          </w:p>
        </w:tc>
        <w:tc>
          <w:tcPr>
            <w:tcW w:w="1800" w:type="dxa"/>
          </w:tcPr>
          <w:p w14:paraId="24458E4D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Dose level 2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b</w:t>
            </w:r>
          </w:p>
          <w:p w14:paraId="1B70EC67" w14:textId="77777777" w:rsidR="00533C78" w:rsidRPr="00B06A5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(n = 11)</w:t>
            </w:r>
          </w:p>
        </w:tc>
        <w:tc>
          <w:tcPr>
            <w:tcW w:w="1800" w:type="dxa"/>
          </w:tcPr>
          <w:p w14:paraId="5629E962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Dose level 3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c</w:t>
            </w:r>
          </w:p>
          <w:p w14:paraId="20EB36C3" w14:textId="77777777" w:rsidR="00533C78" w:rsidRPr="00B06A5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(n = 20)</w:t>
            </w:r>
          </w:p>
        </w:tc>
        <w:tc>
          <w:tcPr>
            <w:tcW w:w="1800" w:type="dxa"/>
          </w:tcPr>
          <w:p w14:paraId="7AA0885D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All patients</w:t>
            </w:r>
          </w:p>
          <w:p w14:paraId="7B9C5A75" w14:textId="77777777" w:rsidR="00533C78" w:rsidRPr="00B06A5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(N = 47)</w:t>
            </w:r>
          </w:p>
        </w:tc>
      </w:tr>
      <w:tr w:rsidR="00533C78" w:rsidRPr="00B06A51" w14:paraId="0CD79AEC" w14:textId="77777777" w:rsidTr="00533C78">
        <w:trPr>
          <w:trHeight w:val="432"/>
        </w:trPr>
        <w:tc>
          <w:tcPr>
            <w:tcW w:w="1728" w:type="dxa"/>
            <w:vAlign w:val="center"/>
          </w:tcPr>
          <w:p w14:paraId="1E6211FD" w14:textId="77777777" w:rsidR="00533C78" w:rsidRPr="00714DD2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Median time on venetoclax (range), mo</w:t>
            </w:r>
          </w:p>
        </w:tc>
        <w:tc>
          <w:tcPr>
            <w:tcW w:w="1800" w:type="dxa"/>
            <w:vAlign w:val="center"/>
          </w:tcPr>
          <w:p w14:paraId="3358D21B" w14:textId="77777777" w:rsidR="00533C78" w:rsidRPr="00714DD2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 (0.2–9.6)</w:t>
            </w:r>
          </w:p>
        </w:tc>
        <w:tc>
          <w:tcPr>
            <w:tcW w:w="1800" w:type="dxa"/>
            <w:vAlign w:val="center"/>
          </w:tcPr>
          <w:p w14:paraId="71811C50" w14:textId="77777777" w:rsidR="00533C78" w:rsidRPr="00714DD2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 (0.0–17.5)</w:t>
            </w:r>
          </w:p>
        </w:tc>
        <w:tc>
          <w:tcPr>
            <w:tcW w:w="1800" w:type="dxa"/>
            <w:vAlign w:val="center"/>
          </w:tcPr>
          <w:p w14:paraId="01282659" w14:textId="77777777" w:rsidR="00533C78" w:rsidRPr="00714DD2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 (1.2–4.1)</w:t>
            </w:r>
          </w:p>
        </w:tc>
        <w:tc>
          <w:tcPr>
            <w:tcW w:w="1800" w:type="dxa"/>
            <w:vAlign w:val="center"/>
          </w:tcPr>
          <w:p w14:paraId="7C53CC6A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 (0.8–17.5)</w:t>
            </w:r>
          </w:p>
        </w:tc>
        <w:tc>
          <w:tcPr>
            <w:tcW w:w="1800" w:type="dxa"/>
            <w:vAlign w:val="center"/>
          </w:tcPr>
          <w:p w14:paraId="35D60588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 (0.8–4.8)</w:t>
            </w:r>
          </w:p>
        </w:tc>
        <w:tc>
          <w:tcPr>
            <w:tcW w:w="1800" w:type="dxa"/>
            <w:vAlign w:val="center"/>
          </w:tcPr>
          <w:p w14:paraId="6E9EFD8F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 (0.0–7.3)</w:t>
            </w:r>
          </w:p>
        </w:tc>
        <w:tc>
          <w:tcPr>
            <w:tcW w:w="1800" w:type="dxa"/>
            <w:vAlign w:val="center"/>
          </w:tcPr>
          <w:p w14:paraId="647237E8" w14:textId="77777777" w:rsidR="00533C78" w:rsidRPr="00714DD2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 (0.0–17.5)</w:t>
            </w:r>
          </w:p>
        </w:tc>
      </w:tr>
      <w:tr w:rsidR="00533C78" w:rsidRPr="00B06A51" w14:paraId="2C1F8398" w14:textId="77777777" w:rsidTr="00533C78">
        <w:trPr>
          <w:trHeight w:val="432"/>
        </w:trPr>
        <w:tc>
          <w:tcPr>
            <w:tcW w:w="1728" w:type="dxa"/>
            <w:vAlign w:val="center"/>
          </w:tcPr>
          <w:p w14:paraId="465F08D4" w14:textId="77777777" w:rsidR="00533C78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Median time on navitoclax (range), mo</w:t>
            </w:r>
          </w:p>
        </w:tc>
        <w:tc>
          <w:tcPr>
            <w:tcW w:w="1800" w:type="dxa"/>
            <w:vAlign w:val="center"/>
          </w:tcPr>
          <w:p w14:paraId="46E29697" w14:textId="77777777" w:rsidR="00533C78" w:rsidRPr="00714DD2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 (0.2–9.5)</w:t>
            </w:r>
          </w:p>
        </w:tc>
        <w:tc>
          <w:tcPr>
            <w:tcW w:w="1800" w:type="dxa"/>
            <w:vAlign w:val="center"/>
          </w:tcPr>
          <w:p w14:paraId="7DB7F612" w14:textId="77777777" w:rsidR="00533C78" w:rsidRPr="00714DD2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 (0.2–17.4)</w:t>
            </w:r>
          </w:p>
        </w:tc>
        <w:tc>
          <w:tcPr>
            <w:tcW w:w="1800" w:type="dxa"/>
            <w:vAlign w:val="center"/>
          </w:tcPr>
          <w:p w14:paraId="1567FADE" w14:textId="77777777" w:rsidR="00533C78" w:rsidRPr="00714DD2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 (1.1ؘ–4.1)</w:t>
            </w:r>
          </w:p>
        </w:tc>
        <w:tc>
          <w:tcPr>
            <w:tcW w:w="1800" w:type="dxa"/>
            <w:vAlign w:val="center"/>
          </w:tcPr>
          <w:p w14:paraId="510FC088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 (0.7–17.4)</w:t>
            </w:r>
          </w:p>
        </w:tc>
        <w:tc>
          <w:tcPr>
            <w:tcW w:w="1800" w:type="dxa"/>
            <w:vAlign w:val="center"/>
          </w:tcPr>
          <w:p w14:paraId="645A0FD9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 (0.8–4.8)</w:t>
            </w:r>
          </w:p>
        </w:tc>
        <w:tc>
          <w:tcPr>
            <w:tcW w:w="1800" w:type="dxa"/>
            <w:vAlign w:val="center"/>
          </w:tcPr>
          <w:p w14:paraId="6E1EEDFE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(0.2–7.2)</w:t>
            </w:r>
          </w:p>
        </w:tc>
        <w:tc>
          <w:tcPr>
            <w:tcW w:w="1800" w:type="dxa"/>
            <w:vAlign w:val="center"/>
          </w:tcPr>
          <w:p w14:paraId="339D1446" w14:textId="77777777" w:rsidR="00533C78" w:rsidRPr="00714DD2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 (0.2–17.4)</w:t>
            </w:r>
          </w:p>
        </w:tc>
      </w:tr>
    </w:tbl>
    <w:p w14:paraId="5008209B" w14:textId="77777777" w:rsidR="00533C78" w:rsidRDefault="00533C78" w:rsidP="00533C7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Venetoclax with 25 mg navitoclax for patients ≥45 kg. </w:t>
      </w:r>
    </w:p>
    <w:p w14:paraId="62D7B199" w14:textId="77777777" w:rsidR="00533C78" w:rsidRDefault="00533C78" w:rsidP="00533C7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b </w:t>
      </w:r>
      <w:r>
        <w:rPr>
          <w:rFonts w:ascii="Arial" w:hAnsi="Arial" w:cs="Arial"/>
          <w:sz w:val="20"/>
          <w:szCs w:val="20"/>
        </w:rPr>
        <w:t xml:space="preserve">Venetoclax with 50 mg navitoclax for patients ≥45 kg and 25 mg navitoclax for patients &lt;45 kg. </w:t>
      </w:r>
    </w:p>
    <w:p w14:paraId="07C52BE1" w14:textId="77777777" w:rsidR="00533C78" w:rsidRDefault="00533C78" w:rsidP="00533C7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c </w:t>
      </w:r>
      <w:r>
        <w:rPr>
          <w:rFonts w:ascii="Arial" w:hAnsi="Arial" w:cs="Arial"/>
          <w:sz w:val="20"/>
          <w:szCs w:val="20"/>
        </w:rPr>
        <w:t>Venetoclax with 100 mg navitoclax for patients ≥45 kg and 50 mg navitoclax for patients &lt;45 kg.</w:t>
      </w:r>
    </w:p>
    <w:p w14:paraId="3230FC6E" w14:textId="77777777" w:rsidR="00533C78" w:rsidRDefault="00533C78" w:rsidP="00533C78">
      <w:pPr>
        <w:spacing w:after="0" w:line="360" w:lineRule="auto"/>
        <w:rPr>
          <w:rFonts w:ascii="Arial" w:hAnsi="Arial" w:cs="Arial"/>
          <w:b/>
          <w:bCs/>
        </w:rPr>
        <w:sectPr w:rsidR="00533C78" w:rsidSect="00533C78">
          <w:pgSz w:w="15840" w:h="12240" w:orient="landscape"/>
          <w:pgMar w:top="1350" w:right="720" w:bottom="720" w:left="720" w:header="720" w:footer="720" w:gutter="0"/>
          <w:cols w:space="720"/>
          <w:docGrid w:linePitch="360"/>
        </w:sectPr>
      </w:pPr>
      <w:r w:rsidRPr="00A54B65">
        <w:rPr>
          <w:rFonts w:ascii="Arial" w:hAnsi="Arial" w:cs="Arial"/>
          <w:sz w:val="20"/>
          <w:szCs w:val="20"/>
        </w:rPr>
        <w:t>Abbreviations: ALL, acute lymphoblastic leukemia;</w:t>
      </w:r>
      <w:r w:rsidRPr="00BA6C6D">
        <w:t xml:space="preserve"> </w:t>
      </w:r>
      <w:r w:rsidRPr="00BA6C6D">
        <w:rPr>
          <w:rFonts w:ascii="Arial" w:hAnsi="Arial" w:cs="Arial"/>
          <w:sz w:val="20"/>
          <w:szCs w:val="20"/>
        </w:rPr>
        <w:t>B-ALL, B-cell acute lymphoblastic leukemia</w:t>
      </w:r>
      <w:r>
        <w:rPr>
          <w:rFonts w:ascii="Arial" w:hAnsi="Arial" w:cs="Arial"/>
          <w:sz w:val="20"/>
          <w:szCs w:val="20"/>
        </w:rPr>
        <w:t xml:space="preserve">; </w:t>
      </w:r>
      <w:r w:rsidRPr="00A54B65">
        <w:rPr>
          <w:rFonts w:ascii="Arial" w:hAnsi="Arial" w:cs="Arial"/>
          <w:sz w:val="20"/>
          <w:szCs w:val="20"/>
        </w:rPr>
        <w:t>LL, lymphoblastic lymphoma</w:t>
      </w:r>
      <w:r>
        <w:rPr>
          <w:rFonts w:ascii="Arial" w:hAnsi="Arial" w:cs="Arial"/>
          <w:sz w:val="20"/>
          <w:szCs w:val="20"/>
        </w:rPr>
        <w:t xml:space="preserve">; </w:t>
      </w:r>
      <w:r w:rsidRPr="00BA6C6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-</w:t>
      </w:r>
      <w:r w:rsidRPr="00BA6C6D">
        <w:rPr>
          <w:rFonts w:ascii="Arial" w:hAnsi="Arial" w:cs="Arial"/>
          <w:sz w:val="20"/>
          <w:szCs w:val="20"/>
        </w:rPr>
        <w:t>ALL, T-cell acute lymphoblastic leukemia</w:t>
      </w:r>
      <w:r>
        <w:rPr>
          <w:rFonts w:ascii="Arial" w:hAnsi="Arial" w:cs="Arial"/>
          <w:sz w:val="20"/>
          <w:szCs w:val="20"/>
        </w:rPr>
        <w:t>.</w:t>
      </w:r>
    </w:p>
    <w:p w14:paraId="1C50C973" w14:textId="77777777" w:rsidR="00533C78" w:rsidRPr="003A6FD2" w:rsidRDefault="00533C78" w:rsidP="00533C78">
      <w:pPr>
        <w:spacing w:after="0" w:line="360" w:lineRule="auto"/>
        <w:rPr>
          <w:rFonts w:ascii="Arial" w:hAnsi="Arial" w:cs="Arial"/>
        </w:rPr>
      </w:pPr>
      <w:r w:rsidRPr="003A6FD2">
        <w:rPr>
          <w:rFonts w:ascii="Arial" w:hAnsi="Arial" w:cs="Arial"/>
          <w:b/>
          <w:bCs/>
        </w:rPr>
        <w:lastRenderedPageBreak/>
        <w:t>Supplementary Table S</w:t>
      </w:r>
      <w:r>
        <w:rPr>
          <w:rFonts w:ascii="Arial" w:hAnsi="Arial" w:cs="Arial"/>
          <w:b/>
          <w:bCs/>
        </w:rPr>
        <w:t>3</w:t>
      </w:r>
      <w:r w:rsidRPr="003A6FD2">
        <w:rPr>
          <w:rFonts w:ascii="Arial" w:hAnsi="Arial" w:cs="Arial"/>
          <w:b/>
          <w:bCs/>
        </w:rPr>
        <w:t>.</w:t>
      </w:r>
      <w:r w:rsidRPr="003A6FD2">
        <w:rPr>
          <w:rFonts w:ascii="Arial" w:hAnsi="Arial" w:cs="Arial"/>
        </w:rPr>
        <w:t xml:space="preserve"> T</w:t>
      </w:r>
      <w:r>
        <w:rPr>
          <w:rFonts w:ascii="Arial" w:hAnsi="Arial" w:cs="Arial"/>
        </w:rPr>
        <w:t xml:space="preserve">EAEs </w:t>
      </w:r>
      <w:r w:rsidRPr="003A6FD2">
        <w:rPr>
          <w:rFonts w:ascii="Arial" w:hAnsi="Arial" w:cs="Arial"/>
        </w:rPr>
        <w:t xml:space="preserve">of any grade occurring in </w:t>
      </w:r>
      <w:r>
        <w:rPr>
          <w:rFonts w:ascii="Arial" w:hAnsi="Arial" w:cs="Arial"/>
        </w:rPr>
        <w:t>≥</w:t>
      </w:r>
      <w:r w:rsidRPr="003A6FD2">
        <w:rPr>
          <w:rFonts w:ascii="Arial" w:hAnsi="Arial" w:cs="Arial"/>
        </w:rPr>
        <w:t xml:space="preserve">15% of </w:t>
      </w:r>
      <w:r>
        <w:rPr>
          <w:rFonts w:ascii="Arial" w:hAnsi="Arial" w:cs="Arial"/>
        </w:rPr>
        <w:t xml:space="preserve">all </w:t>
      </w:r>
      <w:r w:rsidRPr="003A6FD2">
        <w:rPr>
          <w:rFonts w:ascii="Arial" w:hAnsi="Arial" w:cs="Arial"/>
        </w:rPr>
        <w:t>patients</w:t>
      </w:r>
      <w:r>
        <w:rPr>
          <w:rFonts w:ascii="Arial" w:hAnsi="Arial" w:cs="Arial"/>
        </w:rPr>
        <w:t xml:space="preserve"> (N = 47)</w:t>
      </w:r>
    </w:p>
    <w:tbl>
      <w:tblPr>
        <w:tblStyle w:val="TableGrid"/>
        <w:tblW w:w="6639" w:type="dxa"/>
        <w:tblLook w:val="04A0" w:firstRow="1" w:lastRow="0" w:firstColumn="1" w:lastColumn="0" w:noHBand="0" w:noVBand="1"/>
      </w:tblPr>
      <w:tblGrid>
        <w:gridCol w:w="4842"/>
        <w:gridCol w:w="1797"/>
      </w:tblGrid>
      <w:tr w:rsidR="00533C78" w:rsidRPr="00603E11" w14:paraId="1C3EFAB5" w14:textId="77777777" w:rsidTr="00F14596">
        <w:trPr>
          <w:trHeight w:val="288"/>
        </w:trPr>
        <w:tc>
          <w:tcPr>
            <w:tcW w:w="4842" w:type="dxa"/>
            <w:vMerge w:val="restart"/>
            <w:vAlign w:val="center"/>
          </w:tcPr>
          <w:p w14:paraId="624D112C" w14:textId="77777777" w:rsidR="00533C78" w:rsidRDefault="00533C78" w:rsidP="00533C78">
            <w:pPr>
              <w:tabs>
                <w:tab w:val="left" w:pos="1108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0" w:name="_Hlk42141823"/>
          </w:p>
        </w:tc>
        <w:tc>
          <w:tcPr>
            <w:tcW w:w="1797" w:type="dxa"/>
            <w:vMerge w:val="restart"/>
            <w:vAlign w:val="center"/>
          </w:tcPr>
          <w:p w14:paraId="4198C15E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 (%)</w:t>
            </w:r>
          </w:p>
        </w:tc>
      </w:tr>
      <w:tr w:rsidR="00533C78" w:rsidRPr="00603E11" w14:paraId="1158B312" w14:textId="77777777" w:rsidTr="00F14596">
        <w:trPr>
          <w:trHeight w:val="288"/>
        </w:trPr>
        <w:tc>
          <w:tcPr>
            <w:tcW w:w="4842" w:type="dxa"/>
            <w:vMerge/>
          </w:tcPr>
          <w:p w14:paraId="3724B723" w14:textId="77777777" w:rsidR="00533C78" w:rsidRPr="00603E11" w:rsidRDefault="00533C78" w:rsidP="00533C78">
            <w:pPr>
              <w:tabs>
                <w:tab w:val="left" w:pos="1108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97" w:type="dxa"/>
            <w:vMerge/>
          </w:tcPr>
          <w:p w14:paraId="16929B33" w14:textId="77777777" w:rsidR="00533C78" w:rsidRPr="00603E1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33C78" w14:paraId="3432B744" w14:textId="77777777" w:rsidTr="00F14596">
        <w:trPr>
          <w:trHeight w:val="288"/>
        </w:trPr>
        <w:tc>
          <w:tcPr>
            <w:tcW w:w="4842" w:type="dxa"/>
            <w:vAlign w:val="center"/>
          </w:tcPr>
          <w:p w14:paraId="12DA6E37" w14:textId="77777777" w:rsidR="00533C78" w:rsidRPr="0021393C" w:rsidRDefault="00533C78" w:rsidP="00533C7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1393C">
              <w:rPr>
                <w:rFonts w:ascii="Arial" w:hAnsi="Arial" w:cs="Arial"/>
                <w:b/>
                <w:bCs/>
              </w:rPr>
              <w:t>Any</w:t>
            </w:r>
          </w:p>
        </w:tc>
        <w:tc>
          <w:tcPr>
            <w:tcW w:w="1797" w:type="dxa"/>
            <w:vAlign w:val="center"/>
          </w:tcPr>
          <w:p w14:paraId="60C3020E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 (100)</w:t>
            </w:r>
          </w:p>
        </w:tc>
      </w:tr>
      <w:tr w:rsidR="00533C78" w14:paraId="5CBE0036" w14:textId="77777777" w:rsidTr="00F14596">
        <w:trPr>
          <w:trHeight w:val="288"/>
        </w:trPr>
        <w:tc>
          <w:tcPr>
            <w:tcW w:w="4842" w:type="dxa"/>
            <w:vAlign w:val="center"/>
          </w:tcPr>
          <w:p w14:paraId="18AD7FED" w14:textId="77777777" w:rsidR="00533C78" w:rsidRPr="0021393C" w:rsidRDefault="00533C78" w:rsidP="00533C7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1393C">
              <w:rPr>
                <w:rFonts w:ascii="Arial" w:hAnsi="Arial" w:cs="Arial"/>
                <w:b/>
                <w:bCs/>
              </w:rPr>
              <w:t>Hematologic</w:t>
            </w:r>
          </w:p>
        </w:tc>
        <w:tc>
          <w:tcPr>
            <w:tcW w:w="1797" w:type="dxa"/>
            <w:vAlign w:val="center"/>
          </w:tcPr>
          <w:p w14:paraId="531160DE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C78" w14:paraId="7D9710B4" w14:textId="77777777" w:rsidTr="00F14596">
        <w:trPr>
          <w:trHeight w:val="288"/>
        </w:trPr>
        <w:tc>
          <w:tcPr>
            <w:tcW w:w="4842" w:type="dxa"/>
            <w:vAlign w:val="center"/>
          </w:tcPr>
          <w:p w14:paraId="001AF01D" w14:textId="77777777" w:rsidR="00533C78" w:rsidRPr="00274C89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 xml:space="preserve">   Febrile neutropenia</w:t>
            </w:r>
          </w:p>
        </w:tc>
        <w:tc>
          <w:tcPr>
            <w:tcW w:w="1797" w:type="dxa"/>
            <w:vAlign w:val="center"/>
          </w:tcPr>
          <w:p w14:paraId="247A2981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(46.8)</w:t>
            </w:r>
          </w:p>
        </w:tc>
      </w:tr>
      <w:tr w:rsidR="00533C78" w14:paraId="2FC9E0C1" w14:textId="77777777" w:rsidTr="00F14596">
        <w:trPr>
          <w:trHeight w:val="288"/>
        </w:trPr>
        <w:tc>
          <w:tcPr>
            <w:tcW w:w="4842" w:type="dxa"/>
            <w:vAlign w:val="center"/>
          </w:tcPr>
          <w:p w14:paraId="2768C5A0" w14:textId="77777777" w:rsidR="00533C78" w:rsidRPr="00274C89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 xml:space="preserve">   Neutropenia</w:t>
            </w:r>
            <w:r w:rsidRPr="00274C89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797" w:type="dxa"/>
            <w:vAlign w:val="center"/>
          </w:tcPr>
          <w:p w14:paraId="797244E4" w14:textId="77777777" w:rsidR="00533C78" w:rsidRPr="00B213E2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 w:rsidRPr="00274C8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9</w:t>
            </w:r>
            <w:r w:rsidRPr="00274C89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40.4</w:t>
            </w:r>
            <w:r w:rsidRPr="00274C89">
              <w:rPr>
                <w:rFonts w:ascii="Arial" w:hAnsi="Arial" w:cs="Arial"/>
              </w:rPr>
              <w:t>)</w:t>
            </w:r>
          </w:p>
        </w:tc>
      </w:tr>
      <w:tr w:rsidR="00533C78" w14:paraId="575CDF5A" w14:textId="77777777" w:rsidTr="00F14596">
        <w:trPr>
          <w:trHeight w:val="288"/>
        </w:trPr>
        <w:tc>
          <w:tcPr>
            <w:tcW w:w="4842" w:type="dxa"/>
            <w:vAlign w:val="center"/>
          </w:tcPr>
          <w:p w14:paraId="6EC024C0" w14:textId="77777777" w:rsidR="00533C78" w:rsidRPr="00274C89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 xml:space="preserve">   Anemia</w:t>
            </w:r>
            <w:r w:rsidRPr="00274C89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797" w:type="dxa"/>
            <w:vAlign w:val="center"/>
          </w:tcPr>
          <w:p w14:paraId="5C4ED561" w14:textId="77777777" w:rsidR="00533C78" w:rsidRPr="00B213E2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 w:rsidRPr="00274C8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2</w:t>
            </w:r>
            <w:r w:rsidRPr="00274C89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25.5</w:t>
            </w:r>
            <w:r w:rsidRPr="00274C89">
              <w:rPr>
                <w:rFonts w:ascii="Arial" w:hAnsi="Arial" w:cs="Arial"/>
              </w:rPr>
              <w:t>)</w:t>
            </w:r>
          </w:p>
        </w:tc>
      </w:tr>
      <w:tr w:rsidR="00533C78" w14:paraId="412AB9CC" w14:textId="77777777" w:rsidTr="00F14596">
        <w:trPr>
          <w:trHeight w:val="288"/>
        </w:trPr>
        <w:tc>
          <w:tcPr>
            <w:tcW w:w="4842" w:type="dxa"/>
            <w:vAlign w:val="center"/>
          </w:tcPr>
          <w:p w14:paraId="20F155DD" w14:textId="77777777" w:rsidR="00533C78" w:rsidRPr="00274C89" w:rsidRDefault="00533C78" w:rsidP="00533C78">
            <w:pPr>
              <w:spacing w:after="0" w:line="240" w:lineRule="auto"/>
              <w:ind w:left="288" w:hanging="288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 xml:space="preserve">   Thrombocytopenia</w:t>
            </w:r>
            <w:r w:rsidRPr="00274C89"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797" w:type="dxa"/>
            <w:vAlign w:val="center"/>
          </w:tcPr>
          <w:p w14:paraId="6577D4C7" w14:textId="77777777" w:rsidR="00533C78" w:rsidRPr="00B213E2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highlight w:val="cyan"/>
              </w:rPr>
            </w:pPr>
            <w:r>
              <w:rPr>
                <w:rFonts w:ascii="Arial" w:hAnsi="Arial" w:cs="Arial"/>
              </w:rPr>
              <w:t>14 (29.8)</w:t>
            </w:r>
          </w:p>
        </w:tc>
      </w:tr>
      <w:tr w:rsidR="00533C78" w14:paraId="6317A66B" w14:textId="77777777" w:rsidTr="00F14596">
        <w:trPr>
          <w:trHeight w:val="288"/>
        </w:trPr>
        <w:tc>
          <w:tcPr>
            <w:tcW w:w="4842" w:type="dxa"/>
            <w:vAlign w:val="center"/>
          </w:tcPr>
          <w:p w14:paraId="1F26A958" w14:textId="77777777" w:rsidR="00533C78" w:rsidRPr="00274C89" w:rsidRDefault="00533C78" w:rsidP="00533C7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74C89">
              <w:rPr>
                <w:rFonts w:ascii="Arial" w:hAnsi="Arial" w:cs="Arial"/>
                <w:b/>
                <w:bCs/>
              </w:rPr>
              <w:t>Nonhematologic</w:t>
            </w:r>
          </w:p>
        </w:tc>
        <w:tc>
          <w:tcPr>
            <w:tcW w:w="1797" w:type="dxa"/>
            <w:vAlign w:val="center"/>
          </w:tcPr>
          <w:p w14:paraId="293B4D77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C78" w14:paraId="5738AF7D" w14:textId="77777777" w:rsidTr="00F14596">
        <w:trPr>
          <w:trHeight w:val="288"/>
        </w:trPr>
        <w:tc>
          <w:tcPr>
            <w:tcW w:w="4842" w:type="dxa"/>
            <w:vAlign w:val="center"/>
          </w:tcPr>
          <w:p w14:paraId="1D584F0F" w14:textId="77777777" w:rsidR="00533C78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Diarrhea </w:t>
            </w:r>
          </w:p>
        </w:tc>
        <w:tc>
          <w:tcPr>
            <w:tcW w:w="1797" w:type="dxa"/>
            <w:vAlign w:val="center"/>
          </w:tcPr>
          <w:p w14:paraId="5FDDB369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(46.8)</w:t>
            </w:r>
          </w:p>
        </w:tc>
      </w:tr>
      <w:tr w:rsidR="00533C78" w14:paraId="27428E9B" w14:textId="77777777" w:rsidTr="00F14596">
        <w:trPr>
          <w:trHeight w:val="288"/>
        </w:trPr>
        <w:tc>
          <w:tcPr>
            <w:tcW w:w="4842" w:type="dxa"/>
            <w:vAlign w:val="center"/>
          </w:tcPr>
          <w:p w14:paraId="34B14147" w14:textId="77777777" w:rsidR="00533C78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Nausea</w:t>
            </w:r>
          </w:p>
        </w:tc>
        <w:tc>
          <w:tcPr>
            <w:tcW w:w="1797" w:type="dxa"/>
            <w:vAlign w:val="center"/>
          </w:tcPr>
          <w:p w14:paraId="0F2205BB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(46.8)</w:t>
            </w:r>
          </w:p>
        </w:tc>
      </w:tr>
      <w:tr w:rsidR="00533C78" w14:paraId="4FD88301" w14:textId="77777777" w:rsidTr="00F14596">
        <w:trPr>
          <w:trHeight w:val="288"/>
        </w:trPr>
        <w:tc>
          <w:tcPr>
            <w:tcW w:w="4842" w:type="dxa"/>
            <w:vAlign w:val="center"/>
          </w:tcPr>
          <w:p w14:paraId="3F65A893" w14:textId="77777777" w:rsidR="00533C78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Hypokalemia</w:t>
            </w:r>
          </w:p>
        </w:tc>
        <w:tc>
          <w:tcPr>
            <w:tcW w:w="1797" w:type="dxa"/>
            <w:vAlign w:val="center"/>
          </w:tcPr>
          <w:p w14:paraId="3A00E831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 (44.7)</w:t>
            </w:r>
          </w:p>
        </w:tc>
      </w:tr>
      <w:tr w:rsidR="00533C78" w14:paraId="12DEE527" w14:textId="77777777" w:rsidTr="00F14596">
        <w:trPr>
          <w:trHeight w:val="288"/>
        </w:trPr>
        <w:tc>
          <w:tcPr>
            <w:tcW w:w="4842" w:type="dxa"/>
            <w:vAlign w:val="center"/>
          </w:tcPr>
          <w:p w14:paraId="4026AA16" w14:textId="77777777" w:rsidR="00533C78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Abdominal pain</w:t>
            </w:r>
          </w:p>
        </w:tc>
        <w:tc>
          <w:tcPr>
            <w:tcW w:w="1797" w:type="dxa"/>
            <w:vAlign w:val="center"/>
          </w:tcPr>
          <w:p w14:paraId="2657D6F9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(42.6)</w:t>
            </w:r>
          </w:p>
        </w:tc>
      </w:tr>
      <w:tr w:rsidR="00533C78" w14:paraId="5621FC91" w14:textId="77777777" w:rsidTr="00F14596">
        <w:trPr>
          <w:trHeight w:val="288"/>
        </w:trPr>
        <w:tc>
          <w:tcPr>
            <w:tcW w:w="4842" w:type="dxa"/>
            <w:vAlign w:val="center"/>
          </w:tcPr>
          <w:p w14:paraId="0C09C2B7" w14:textId="77777777" w:rsidR="00533C78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Vomiting</w:t>
            </w:r>
          </w:p>
        </w:tc>
        <w:tc>
          <w:tcPr>
            <w:tcW w:w="1797" w:type="dxa"/>
            <w:vAlign w:val="center"/>
          </w:tcPr>
          <w:p w14:paraId="6D7FAD23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 (38.3)</w:t>
            </w:r>
          </w:p>
        </w:tc>
      </w:tr>
      <w:tr w:rsidR="00533C78" w14:paraId="0AF6C51D" w14:textId="77777777" w:rsidTr="00F14596">
        <w:trPr>
          <w:trHeight w:val="288"/>
        </w:trPr>
        <w:tc>
          <w:tcPr>
            <w:tcW w:w="4842" w:type="dxa"/>
            <w:vAlign w:val="center"/>
          </w:tcPr>
          <w:p w14:paraId="70E33365" w14:textId="77777777" w:rsidR="00533C78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ALT increased</w:t>
            </w:r>
          </w:p>
        </w:tc>
        <w:tc>
          <w:tcPr>
            <w:tcW w:w="1797" w:type="dxa"/>
            <w:vAlign w:val="center"/>
          </w:tcPr>
          <w:p w14:paraId="57379909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(29.8)</w:t>
            </w:r>
          </w:p>
        </w:tc>
      </w:tr>
      <w:tr w:rsidR="00533C78" w14:paraId="147C7C0A" w14:textId="77777777" w:rsidTr="00F14596">
        <w:trPr>
          <w:trHeight w:val="288"/>
        </w:trPr>
        <w:tc>
          <w:tcPr>
            <w:tcW w:w="4842" w:type="dxa"/>
            <w:vAlign w:val="center"/>
          </w:tcPr>
          <w:p w14:paraId="37F4B104" w14:textId="77777777" w:rsidR="00533C78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Fatigue</w:t>
            </w:r>
          </w:p>
        </w:tc>
        <w:tc>
          <w:tcPr>
            <w:tcW w:w="1797" w:type="dxa"/>
            <w:vAlign w:val="center"/>
          </w:tcPr>
          <w:p w14:paraId="4137CB3B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 (27.7)</w:t>
            </w:r>
          </w:p>
        </w:tc>
      </w:tr>
      <w:tr w:rsidR="00533C78" w14:paraId="4BD14CCD" w14:textId="77777777" w:rsidTr="00F14596">
        <w:trPr>
          <w:trHeight w:val="288"/>
        </w:trPr>
        <w:tc>
          <w:tcPr>
            <w:tcW w:w="4842" w:type="dxa"/>
            <w:vAlign w:val="center"/>
          </w:tcPr>
          <w:p w14:paraId="06AF4ACD" w14:textId="77777777" w:rsidR="00533C78" w:rsidRPr="008D0D3F" w:rsidRDefault="00533C78" w:rsidP="00533C78">
            <w:pPr>
              <w:spacing w:after="0" w:line="240" w:lineRule="auto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   Hyperbilirubinemia</w:t>
            </w:r>
            <w:r>
              <w:rPr>
                <w:rFonts w:ascii="Arial" w:hAnsi="Arial" w:cs="Arial"/>
                <w:vertAlign w:val="superscript"/>
              </w:rPr>
              <w:t>a</w:t>
            </w:r>
          </w:p>
        </w:tc>
        <w:tc>
          <w:tcPr>
            <w:tcW w:w="1797" w:type="dxa"/>
            <w:vAlign w:val="center"/>
          </w:tcPr>
          <w:p w14:paraId="0DD552AC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(25.5)</w:t>
            </w:r>
          </w:p>
        </w:tc>
      </w:tr>
      <w:tr w:rsidR="00533C78" w14:paraId="5F4AB754" w14:textId="77777777" w:rsidTr="00F14596">
        <w:trPr>
          <w:trHeight w:val="288"/>
        </w:trPr>
        <w:tc>
          <w:tcPr>
            <w:tcW w:w="4842" w:type="dxa"/>
            <w:vAlign w:val="center"/>
          </w:tcPr>
          <w:p w14:paraId="377C36C8" w14:textId="77777777" w:rsidR="00533C78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Insomnia </w:t>
            </w:r>
          </w:p>
        </w:tc>
        <w:tc>
          <w:tcPr>
            <w:tcW w:w="1797" w:type="dxa"/>
            <w:vAlign w:val="center"/>
          </w:tcPr>
          <w:p w14:paraId="334E561F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(25.5)</w:t>
            </w:r>
          </w:p>
        </w:tc>
      </w:tr>
      <w:tr w:rsidR="00533C78" w14:paraId="2CD91D7F" w14:textId="77777777" w:rsidTr="00F14596">
        <w:trPr>
          <w:trHeight w:val="288"/>
        </w:trPr>
        <w:tc>
          <w:tcPr>
            <w:tcW w:w="4842" w:type="dxa"/>
            <w:vAlign w:val="center"/>
          </w:tcPr>
          <w:p w14:paraId="50680A13" w14:textId="77777777" w:rsidR="00533C78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Pyrexia</w:t>
            </w:r>
          </w:p>
        </w:tc>
        <w:tc>
          <w:tcPr>
            <w:tcW w:w="1797" w:type="dxa"/>
            <w:vAlign w:val="center"/>
          </w:tcPr>
          <w:p w14:paraId="42575EB5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(25.5)</w:t>
            </w:r>
          </w:p>
        </w:tc>
      </w:tr>
      <w:tr w:rsidR="00533C78" w14:paraId="2508D3E5" w14:textId="77777777" w:rsidTr="00F14596">
        <w:trPr>
          <w:trHeight w:val="288"/>
        </w:trPr>
        <w:tc>
          <w:tcPr>
            <w:tcW w:w="4842" w:type="dxa"/>
            <w:vAlign w:val="center"/>
          </w:tcPr>
          <w:p w14:paraId="204D5F84" w14:textId="77777777" w:rsidR="00533C78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Back pain</w:t>
            </w:r>
          </w:p>
        </w:tc>
        <w:tc>
          <w:tcPr>
            <w:tcW w:w="1797" w:type="dxa"/>
            <w:vAlign w:val="center"/>
          </w:tcPr>
          <w:p w14:paraId="5355FE47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(23.4)</w:t>
            </w:r>
          </w:p>
        </w:tc>
      </w:tr>
      <w:tr w:rsidR="00533C78" w14:paraId="0A6599C5" w14:textId="77777777" w:rsidTr="00F14596">
        <w:trPr>
          <w:trHeight w:val="288"/>
        </w:trPr>
        <w:tc>
          <w:tcPr>
            <w:tcW w:w="4842" w:type="dxa"/>
            <w:vAlign w:val="center"/>
          </w:tcPr>
          <w:p w14:paraId="5EB5B375" w14:textId="77777777" w:rsidR="00533C78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Decreased appetite</w:t>
            </w:r>
          </w:p>
        </w:tc>
        <w:tc>
          <w:tcPr>
            <w:tcW w:w="1797" w:type="dxa"/>
            <w:vAlign w:val="center"/>
          </w:tcPr>
          <w:p w14:paraId="7BB28357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(23.4)</w:t>
            </w:r>
          </w:p>
        </w:tc>
      </w:tr>
      <w:tr w:rsidR="00533C78" w14:paraId="66A90E79" w14:textId="77777777" w:rsidTr="00F14596">
        <w:trPr>
          <w:trHeight w:val="288"/>
        </w:trPr>
        <w:tc>
          <w:tcPr>
            <w:tcW w:w="4842" w:type="dxa"/>
            <w:vAlign w:val="center"/>
          </w:tcPr>
          <w:p w14:paraId="76C8C319" w14:textId="77777777" w:rsidR="00533C78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Edema peripheral</w:t>
            </w:r>
          </w:p>
        </w:tc>
        <w:tc>
          <w:tcPr>
            <w:tcW w:w="1797" w:type="dxa"/>
            <w:vAlign w:val="center"/>
          </w:tcPr>
          <w:p w14:paraId="0EF1A08E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(23.4)</w:t>
            </w:r>
          </w:p>
        </w:tc>
      </w:tr>
      <w:tr w:rsidR="00533C78" w14:paraId="58BAA0EC" w14:textId="77777777" w:rsidTr="00F14596">
        <w:trPr>
          <w:trHeight w:val="288"/>
        </w:trPr>
        <w:tc>
          <w:tcPr>
            <w:tcW w:w="4842" w:type="dxa"/>
            <w:vAlign w:val="center"/>
          </w:tcPr>
          <w:p w14:paraId="7E9D1C35" w14:textId="77777777" w:rsidR="00533C78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AST increased</w:t>
            </w:r>
          </w:p>
        </w:tc>
        <w:tc>
          <w:tcPr>
            <w:tcW w:w="1797" w:type="dxa"/>
            <w:vAlign w:val="center"/>
          </w:tcPr>
          <w:p w14:paraId="6C501ECD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(21.3)</w:t>
            </w:r>
          </w:p>
        </w:tc>
      </w:tr>
      <w:tr w:rsidR="00533C78" w14:paraId="13984CF5" w14:textId="77777777" w:rsidTr="00F14596">
        <w:trPr>
          <w:trHeight w:val="288"/>
        </w:trPr>
        <w:tc>
          <w:tcPr>
            <w:tcW w:w="4842" w:type="dxa"/>
            <w:vAlign w:val="center"/>
          </w:tcPr>
          <w:p w14:paraId="0ABC60B8" w14:textId="77777777" w:rsidR="00533C78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Hypocalcemia</w:t>
            </w:r>
          </w:p>
        </w:tc>
        <w:tc>
          <w:tcPr>
            <w:tcW w:w="1797" w:type="dxa"/>
            <w:vAlign w:val="center"/>
          </w:tcPr>
          <w:p w14:paraId="77D7244B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(21.3)</w:t>
            </w:r>
          </w:p>
        </w:tc>
      </w:tr>
      <w:tr w:rsidR="00533C78" w14:paraId="65F54892" w14:textId="77777777" w:rsidTr="00F14596">
        <w:trPr>
          <w:trHeight w:val="288"/>
        </w:trPr>
        <w:tc>
          <w:tcPr>
            <w:tcW w:w="4842" w:type="dxa"/>
            <w:vAlign w:val="center"/>
          </w:tcPr>
          <w:p w14:paraId="54CD0248" w14:textId="77777777" w:rsidR="00533C78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Hyponatremia</w:t>
            </w:r>
          </w:p>
        </w:tc>
        <w:tc>
          <w:tcPr>
            <w:tcW w:w="1797" w:type="dxa"/>
            <w:vAlign w:val="center"/>
          </w:tcPr>
          <w:p w14:paraId="57DD7599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(21.3)</w:t>
            </w:r>
          </w:p>
        </w:tc>
      </w:tr>
      <w:tr w:rsidR="00533C78" w14:paraId="3C28A61E" w14:textId="77777777" w:rsidTr="00F14596">
        <w:trPr>
          <w:trHeight w:val="288"/>
        </w:trPr>
        <w:tc>
          <w:tcPr>
            <w:tcW w:w="4842" w:type="dxa"/>
            <w:vAlign w:val="center"/>
          </w:tcPr>
          <w:p w14:paraId="0DEDE8A7" w14:textId="77777777" w:rsidR="00533C78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Sinus tachycardia</w:t>
            </w:r>
          </w:p>
        </w:tc>
        <w:tc>
          <w:tcPr>
            <w:tcW w:w="1797" w:type="dxa"/>
            <w:vAlign w:val="center"/>
          </w:tcPr>
          <w:p w14:paraId="7B02F973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(21.3)</w:t>
            </w:r>
          </w:p>
        </w:tc>
      </w:tr>
      <w:tr w:rsidR="00533C78" w14:paraId="6E712F08" w14:textId="77777777" w:rsidTr="00F14596">
        <w:trPr>
          <w:trHeight w:val="288"/>
        </w:trPr>
        <w:tc>
          <w:tcPr>
            <w:tcW w:w="4842" w:type="dxa"/>
            <w:vAlign w:val="center"/>
          </w:tcPr>
          <w:p w14:paraId="7E7991C1" w14:textId="77777777" w:rsidR="00533C78" w:rsidRPr="00603E11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Anxiety</w:t>
            </w:r>
          </w:p>
        </w:tc>
        <w:tc>
          <w:tcPr>
            <w:tcW w:w="1797" w:type="dxa"/>
            <w:vAlign w:val="center"/>
          </w:tcPr>
          <w:p w14:paraId="18D9968C" w14:textId="77777777" w:rsidR="00533C78" w:rsidRPr="00603E1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(19.1)</w:t>
            </w:r>
          </w:p>
        </w:tc>
      </w:tr>
      <w:tr w:rsidR="00533C78" w14:paraId="72A95051" w14:textId="77777777" w:rsidTr="00F14596">
        <w:trPr>
          <w:trHeight w:val="288"/>
        </w:trPr>
        <w:tc>
          <w:tcPr>
            <w:tcW w:w="4842" w:type="dxa"/>
            <w:vAlign w:val="center"/>
          </w:tcPr>
          <w:p w14:paraId="07262C43" w14:textId="77777777" w:rsidR="00533C78" w:rsidRPr="00603E11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Constipation</w:t>
            </w:r>
          </w:p>
        </w:tc>
        <w:tc>
          <w:tcPr>
            <w:tcW w:w="1797" w:type="dxa"/>
            <w:vAlign w:val="center"/>
          </w:tcPr>
          <w:p w14:paraId="5E7CBE9C" w14:textId="77777777" w:rsidR="00533C78" w:rsidRPr="00603E1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(19.1)</w:t>
            </w:r>
          </w:p>
        </w:tc>
      </w:tr>
      <w:tr w:rsidR="00533C78" w14:paraId="55C3D0D0" w14:textId="77777777" w:rsidTr="00F14596">
        <w:trPr>
          <w:trHeight w:val="288"/>
        </w:trPr>
        <w:tc>
          <w:tcPr>
            <w:tcW w:w="4842" w:type="dxa"/>
            <w:vAlign w:val="center"/>
          </w:tcPr>
          <w:p w14:paraId="647B37F9" w14:textId="77777777" w:rsidR="00533C78" w:rsidRPr="00603E11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Headache</w:t>
            </w:r>
          </w:p>
        </w:tc>
        <w:tc>
          <w:tcPr>
            <w:tcW w:w="1797" w:type="dxa"/>
            <w:vAlign w:val="center"/>
          </w:tcPr>
          <w:p w14:paraId="661F31BB" w14:textId="77777777" w:rsidR="00533C78" w:rsidRPr="00603E1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(19.1)</w:t>
            </w:r>
          </w:p>
        </w:tc>
      </w:tr>
      <w:tr w:rsidR="00533C78" w14:paraId="438EFD00" w14:textId="77777777" w:rsidTr="00F14596">
        <w:trPr>
          <w:trHeight w:val="288"/>
        </w:trPr>
        <w:tc>
          <w:tcPr>
            <w:tcW w:w="4842" w:type="dxa"/>
            <w:vAlign w:val="center"/>
          </w:tcPr>
          <w:p w14:paraId="542E9B65" w14:textId="77777777" w:rsidR="00533C78" w:rsidRPr="00603E11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Hyperglycemia </w:t>
            </w:r>
          </w:p>
        </w:tc>
        <w:tc>
          <w:tcPr>
            <w:tcW w:w="1797" w:type="dxa"/>
            <w:vAlign w:val="center"/>
          </w:tcPr>
          <w:p w14:paraId="1B0C57BF" w14:textId="77777777" w:rsidR="00533C78" w:rsidRPr="00603E1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(19.1)</w:t>
            </w:r>
          </w:p>
        </w:tc>
      </w:tr>
      <w:tr w:rsidR="00533C78" w14:paraId="552AD1E0" w14:textId="77777777" w:rsidTr="00F14596">
        <w:trPr>
          <w:trHeight w:val="288"/>
        </w:trPr>
        <w:tc>
          <w:tcPr>
            <w:tcW w:w="4842" w:type="dxa"/>
            <w:vAlign w:val="center"/>
          </w:tcPr>
          <w:p w14:paraId="5F8CAED5" w14:textId="77777777" w:rsidR="00533C78" w:rsidRPr="00603E11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Hypomagnesemia </w:t>
            </w:r>
          </w:p>
        </w:tc>
        <w:tc>
          <w:tcPr>
            <w:tcW w:w="1797" w:type="dxa"/>
            <w:vAlign w:val="center"/>
          </w:tcPr>
          <w:p w14:paraId="331C064F" w14:textId="77777777" w:rsidR="00533C78" w:rsidRPr="00603E1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(19.1)</w:t>
            </w:r>
          </w:p>
        </w:tc>
      </w:tr>
      <w:tr w:rsidR="00533C78" w14:paraId="343C7207" w14:textId="77777777" w:rsidTr="00F14596">
        <w:trPr>
          <w:trHeight w:val="288"/>
        </w:trPr>
        <w:tc>
          <w:tcPr>
            <w:tcW w:w="4842" w:type="dxa"/>
            <w:vAlign w:val="center"/>
          </w:tcPr>
          <w:p w14:paraId="66C25BA9" w14:textId="77777777" w:rsidR="00533C78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Sepsis</w:t>
            </w:r>
          </w:p>
        </w:tc>
        <w:tc>
          <w:tcPr>
            <w:tcW w:w="1797" w:type="dxa"/>
            <w:vAlign w:val="center"/>
          </w:tcPr>
          <w:p w14:paraId="494341B4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(19.1)</w:t>
            </w:r>
          </w:p>
        </w:tc>
      </w:tr>
      <w:tr w:rsidR="00533C78" w14:paraId="26D2099F" w14:textId="77777777" w:rsidTr="00F14596">
        <w:trPr>
          <w:trHeight w:val="288"/>
        </w:trPr>
        <w:tc>
          <w:tcPr>
            <w:tcW w:w="4842" w:type="dxa"/>
            <w:vAlign w:val="center"/>
          </w:tcPr>
          <w:p w14:paraId="0DEF5601" w14:textId="77777777" w:rsidR="00533C78" w:rsidRPr="00603E11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Pneumonia</w:t>
            </w:r>
          </w:p>
        </w:tc>
        <w:tc>
          <w:tcPr>
            <w:tcW w:w="1797" w:type="dxa"/>
            <w:vAlign w:val="center"/>
          </w:tcPr>
          <w:p w14:paraId="31C32793" w14:textId="77777777" w:rsidR="00533C78" w:rsidRPr="00603E1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(17.0)</w:t>
            </w:r>
          </w:p>
        </w:tc>
      </w:tr>
      <w:tr w:rsidR="00533C78" w14:paraId="3D82F1B7" w14:textId="77777777" w:rsidTr="00F14596">
        <w:trPr>
          <w:trHeight w:val="288"/>
        </w:trPr>
        <w:tc>
          <w:tcPr>
            <w:tcW w:w="4842" w:type="dxa"/>
            <w:tcBorders>
              <w:bottom w:val="single" w:sz="4" w:space="0" w:color="auto"/>
            </w:tcBorders>
            <w:vAlign w:val="center"/>
          </w:tcPr>
          <w:p w14:paraId="62C7DCB8" w14:textId="77777777" w:rsidR="00533C78" w:rsidRPr="00603E11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Dyspnea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14:paraId="286B7562" w14:textId="77777777" w:rsidR="00533C78" w:rsidRPr="00603E1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(17.0)</w:t>
            </w:r>
          </w:p>
        </w:tc>
      </w:tr>
      <w:tr w:rsidR="00533C78" w14:paraId="10A854E6" w14:textId="77777777" w:rsidTr="00F14596">
        <w:trPr>
          <w:trHeight w:val="288"/>
        </w:trPr>
        <w:tc>
          <w:tcPr>
            <w:tcW w:w="4842" w:type="dxa"/>
            <w:tcBorders>
              <w:bottom w:val="single" w:sz="4" w:space="0" w:color="auto"/>
            </w:tcBorders>
            <w:vAlign w:val="center"/>
          </w:tcPr>
          <w:p w14:paraId="637FCD66" w14:textId="77777777" w:rsidR="00533C78" w:rsidRPr="00603E11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Epistaxis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14:paraId="38F7ACAE" w14:textId="77777777" w:rsidR="00533C78" w:rsidRPr="00603E1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(17.0)</w:t>
            </w:r>
          </w:p>
        </w:tc>
      </w:tr>
    </w:tbl>
    <w:bookmarkEnd w:id="0"/>
    <w:p w14:paraId="24CDAC2F" w14:textId="77777777" w:rsidR="00533C78" w:rsidRDefault="00533C78" w:rsidP="00533C7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274C89">
        <w:rPr>
          <w:rFonts w:ascii="Arial" w:hAnsi="Arial" w:cs="Arial"/>
          <w:sz w:val="20"/>
          <w:szCs w:val="20"/>
          <w:vertAlign w:val="superscript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Pr="00274C89">
        <w:rPr>
          <w:rFonts w:ascii="Arial" w:hAnsi="Arial" w:cs="Arial"/>
          <w:sz w:val="20"/>
          <w:szCs w:val="20"/>
        </w:rPr>
        <w:t xml:space="preserve">Combined </w:t>
      </w:r>
      <w:r>
        <w:rPr>
          <w:rFonts w:ascii="Arial" w:hAnsi="Arial" w:cs="Arial"/>
          <w:sz w:val="20"/>
          <w:szCs w:val="20"/>
        </w:rPr>
        <w:t xml:space="preserve">preferred terms </w:t>
      </w:r>
      <w:r w:rsidRPr="00274C89">
        <w:rPr>
          <w:rFonts w:ascii="Arial" w:hAnsi="Arial" w:cs="Arial"/>
          <w:sz w:val="20"/>
          <w:szCs w:val="20"/>
        </w:rPr>
        <w:t>are presented for neutropenia (neutropenia and neutrophil count decreased)</w:t>
      </w:r>
      <w:r>
        <w:rPr>
          <w:rFonts w:ascii="Arial" w:hAnsi="Arial" w:cs="Arial"/>
          <w:sz w:val="20"/>
          <w:szCs w:val="20"/>
        </w:rPr>
        <w:t xml:space="preserve">, </w:t>
      </w:r>
      <w:r w:rsidRPr="00274C89">
        <w:rPr>
          <w:rFonts w:ascii="Arial" w:hAnsi="Arial" w:cs="Arial"/>
          <w:sz w:val="20"/>
          <w:szCs w:val="20"/>
        </w:rPr>
        <w:t>anemia (anemia and hemoglobin decreased)</w:t>
      </w:r>
      <w:r>
        <w:rPr>
          <w:rFonts w:ascii="Arial" w:hAnsi="Arial" w:cs="Arial"/>
          <w:sz w:val="20"/>
          <w:szCs w:val="20"/>
        </w:rPr>
        <w:t xml:space="preserve">, </w:t>
      </w:r>
      <w:r w:rsidRPr="00274C89">
        <w:rPr>
          <w:rFonts w:ascii="Arial" w:hAnsi="Arial" w:cs="Arial"/>
          <w:sz w:val="20"/>
          <w:szCs w:val="20"/>
        </w:rPr>
        <w:t>thrombocytopenia (thrombocytopenia and platelet count decreased)</w:t>
      </w:r>
      <w:r>
        <w:rPr>
          <w:rFonts w:ascii="Arial" w:hAnsi="Arial" w:cs="Arial"/>
          <w:sz w:val="20"/>
          <w:szCs w:val="20"/>
        </w:rPr>
        <w:t>, and hyperbilirubinemia (hyperbilirubinemia and blood bilirubin increased).</w:t>
      </w:r>
    </w:p>
    <w:p w14:paraId="01535C7F" w14:textId="77777777" w:rsidR="00533C78" w:rsidRPr="00382D3A" w:rsidRDefault="00533C78" w:rsidP="00533C7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C1F88">
        <w:rPr>
          <w:rFonts w:ascii="Arial" w:hAnsi="Arial" w:cs="Arial"/>
          <w:sz w:val="20"/>
          <w:szCs w:val="20"/>
        </w:rPr>
        <w:t xml:space="preserve">Abbreviations: </w:t>
      </w:r>
      <w:r>
        <w:rPr>
          <w:rFonts w:ascii="Arial" w:hAnsi="Arial" w:cs="Arial"/>
          <w:sz w:val="20"/>
          <w:szCs w:val="20"/>
        </w:rPr>
        <w:t>ALT, a</w:t>
      </w:r>
      <w:r w:rsidRPr="00D75FEB">
        <w:rPr>
          <w:rFonts w:ascii="Arial" w:hAnsi="Arial" w:cs="Arial"/>
          <w:sz w:val="20"/>
          <w:szCs w:val="20"/>
        </w:rPr>
        <w:t>lanine aminotransferase</w:t>
      </w:r>
      <w:r>
        <w:rPr>
          <w:rFonts w:ascii="Arial" w:hAnsi="Arial" w:cs="Arial"/>
          <w:sz w:val="20"/>
          <w:szCs w:val="20"/>
        </w:rPr>
        <w:t>;</w:t>
      </w:r>
      <w:r w:rsidRPr="00D75F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AST, a</w:t>
      </w:r>
      <w:r w:rsidRPr="00D75FEB">
        <w:rPr>
          <w:rFonts w:ascii="Arial" w:hAnsi="Arial" w:cs="Arial"/>
          <w:sz w:val="20"/>
          <w:szCs w:val="20"/>
        </w:rPr>
        <w:t>spartate aminotransferase</w:t>
      </w:r>
      <w:r>
        <w:rPr>
          <w:rFonts w:ascii="Arial" w:hAnsi="Arial" w:cs="Arial"/>
          <w:sz w:val="20"/>
          <w:szCs w:val="20"/>
        </w:rPr>
        <w:t>;</w:t>
      </w:r>
      <w:r w:rsidRPr="00D75F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TEAE, treatment-emergent adverse event.</w:t>
      </w:r>
    </w:p>
    <w:p w14:paraId="76102A4F" w14:textId="77777777" w:rsidR="00533C78" w:rsidRDefault="00533C78" w:rsidP="00533C78">
      <w:pPr>
        <w:spacing w:after="0" w:line="360" w:lineRule="auto"/>
        <w:rPr>
          <w:rFonts w:ascii="Arial" w:hAnsi="Arial" w:cs="Arial"/>
          <w:b/>
          <w:bCs/>
        </w:rPr>
        <w:sectPr w:rsidR="00533C78" w:rsidSect="008E360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533FF0D" w14:textId="77777777" w:rsidR="00533C78" w:rsidRPr="003A6FD2" w:rsidRDefault="00533C78" w:rsidP="00533C78">
      <w:pPr>
        <w:spacing w:after="0" w:line="360" w:lineRule="auto"/>
        <w:rPr>
          <w:rFonts w:ascii="Arial" w:hAnsi="Arial" w:cs="Arial"/>
        </w:rPr>
      </w:pPr>
      <w:r w:rsidRPr="003A6FD2">
        <w:rPr>
          <w:rFonts w:ascii="Arial" w:hAnsi="Arial" w:cs="Arial"/>
          <w:b/>
          <w:bCs/>
        </w:rPr>
        <w:lastRenderedPageBreak/>
        <w:t>Supplementary Table S</w:t>
      </w:r>
      <w:r>
        <w:rPr>
          <w:rFonts w:ascii="Arial" w:hAnsi="Arial" w:cs="Arial"/>
          <w:b/>
          <w:bCs/>
        </w:rPr>
        <w:t>4</w:t>
      </w:r>
      <w:r w:rsidRPr="003A6FD2">
        <w:rPr>
          <w:rFonts w:ascii="Arial" w:hAnsi="Arial" w:cs="Arial"/>
          <w:b/>
          <w:bCs/>
        </w:rPr>
        <w:t>.</w:t>
      </w:r>
      <w:r w:rsidRPr="003A6F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Safety by dose level</w:t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3456"/>
        <w:gridCol w:w="1728"/>
        <w:gridCol w:w="1728"/>
        <w:gridCol w:w="1728"/>
        <w:gridCol w:w="1728"/>
      </w:tblGrid>
      <w:tr w:rsidR="00533C78" w:rsidRPr="00603E11" w14:paraId="0173AC0D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16CC7FC0" w14:textId="77777777" w:rsidR="00533C78" w:rsidRDefault="00533C78" w:rsidP="00533C78">
            <w:pPr>
              <w:tabs>
                <w:tab w:val="left" w:pos="1108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1" w:name="_Hlk37915839"/>
          </w:p>
        </w:tc>
        <w:tc>
          <w:tcPr>
            <w:tcW w:w="1728" w:type="dxa"/>
            <w:vAlign w:val="center"/>
          </w:tcPr>
          <w:p w14:paraId="3E4D9D0D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Dose level 1</w:t>
            </w:r>
            <w:r w:rsidRPr="00D31247">
              <w:rPr>
                <w:rFonts w:ascii="Arial" w:hAnsi="Arial" w:cs="Arial"/>
                <w:b/>
                <w:bCs/>
                <w:vertAlign w:val="superscript"/>
              </w:rPr>
              <w:t>a</w:t>
            </w:r>
          </w:p>
          <w:p w14:paraId="428ECD52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(n = 16)</w:t>
            </w:r>
          </w:p>
        </w:tc>
        <w:tc>
          <w:tcPr>
            <w:tcW w:w="1728" w:type="dxa"/>
            <w:vAlign w:val="center"/>
          </w:tcPr>
          <w:p w14:paraId="7B679535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Dose level 2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b</w:t>
            </w:r>
          </w:p>
          <w:p w14:paraId="4FD40AF6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(n = 11)</w:t>
            </w:r>
          </w:p>
        </w:tc>
        <w:tc>
          <w:tcPr>
            <w:tcW w:w="1728" w:type="dxa"/>
            <w:vAlign w:val="center"/>
          </w:tcPr>
          <w:p w14:paraId="14B57130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Dose level 3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c</w:t>
            </w:r>
          </w:p>
          <w:p w14:paraId="0FC3EE8B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(n = 20)</w:t>
            </w:r>
          </w:p>
        </w:tc>
        <w:tc>
          <w:tcPr>
            <w:tcW w:w="1728" w:type="dxa"/>
            <w:vAlign w:val="center"/>
          </w:tcPr>
          <w:p w14:paraId="6AA3157F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All patients</w:t>
            </w:r>
          </w:p>
          <w:p w14:paraId="0D7CA286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(N = 47)</w:t>
            </w:r>
          </w:p>
        </w:tc>
      </w:tr>
      <w:tr w:rsidR="00533C78" w:rsidRPr="00603E11" w14:paraId="403EAB53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4D9C1922" w14:textId="77777777" w:rsidR="00533C78" w:rsidRPr="0021393C" w:rsidRDefault="00533C78" w:rsidP="00533C78">
            <w:pPr>
              <w:tabs>
                <w:tab w:val="left" w:pos="1108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1393C">
              <w:rPr>
                <w:rFonts w:ascii="Arial" w:hAnsi="Arial" w:cs="Arial"/>
                <w:b/>
                <w:bCs/>
              </w:rPr>
              <w:t>DLT evaluable, n</w:t>
            </w:r>
            <w:r w:rsidRPr="005277AA">
              <w:rPr>
                <w:rFonts w:ascii="Arial" w:hAnsi="Arial" w:cs="Arial"/>
                <w:b/>
                <w:bCs/>
                <w:vertAlign w:val="superscript"/>
              </w:rPr>
              <w:t>d</w:t>
            </w:r>
          </w:p>
        </w:tc>
        <w:tc>
          <w:tcPr>
            <w:tcW w:w="1728" w:type="dxa"/>
            <w:vAlign w:val="center"/>
          </w:tcPr>
          <w:p w14:paraId="787CFFD8" w14:textId="77777777" w:rsidR="00533C78" w:rsidRPr="0005592E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728" w:type="dxa"/>
            <w:vAlign w:val="center"/>
          </w:tcPr>
          <w:p w14:paraId="6E700C9C" w14:textId="77777777" w:rsidR="00533C78" w:rsidRPr="0005592E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92E">
              <w:rPr>
                <w:rFonts w:ascii="Arial" w:hAnsi="Arial" w:cs="Arial"/>
              </w:rPr>
              <w:t>11</w:t>
            </w:r>
          </w:p>
        </w:tc>
        <w:tc>
          <w:tcPr>
            <w:tcW w:w="1728" w:type="dxa"/>
            <w:vAlign w:val="center"/>
          </w:tcPr>
          <w:p w14:paraId="5BA0A259" w14:textId="77777777" w:rsidR="00533C78" w:rsidRPr="0005592E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92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1728" w:type="dxa"/>
            <w:vAlign w:val="center"/>
          </w:tcPr>
          <w:p w14:paraId="3C811CE7" w14:textId="77777777" w:rsidR="00533C78" w:rsidRPr="0005592E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  <w:tr w:rsidR="00533C78" w:rsidRPr="00603E11" w14:paraId="003EDFB0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3F3F6E16" w14:textId="77777777" w:rsidR="00533C78" w:rsidRPr="0021393C" w:rsidRDefault="00533C78" w:rsidP="00533C78">
            <w:pPr>
              <w:tabs>
                <w:tab w:val="left" w:pos="1108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1393C">
              <w:rPr>
                <w:rFonts w:ascii="Arial" w:hAnsi="Arial" w:cs="Arial"/>
                <w:b/>
                <w:bCs/>
              </w:rPr>
              <w:t>DLTs, n (%)</w:t>
            </w:r>
            <w:r>
              <w:rPr>
                <w:rFonts w:ascii="Arial" w:hAnsi="Arial" w:cs="Arial"/>
                <w:b/>
                <w:bCs/>
                <w:vertAlign w:val="superscript"/>
              </w:rPr>
              <w:t>e</w:t>
            </w:r>
          </w:p>
        </w:tc>
        <w:tc>
          <w:tcPr>
            <w:tcW w:w="1728" w:type="dxa"/>
            <w:vAlign w:val="center"/>
          </w:tcPr>
          <w:p w14:paraId="7F6F2126" w14:textId="77777777" w:rsidR="00533C78" w:rsidRPr="0005592E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(6.3)</w:t>
            </w:r>
          </w:p>
        </w:tc>
        <w:tc>
          <w:tcPr>
            <w:tcW w:w="1728" w:type="dxa"/>
            <w:vAlign w:val="center"/>
          </w:tcPr>
          <w:p w14:paraId="6557A2DE" w14:textId="77777777" w:rsidR="00533C78" w:rsidRPr="0005592E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(18.2)</w:t>
            </w:r>
          </w:p>
        </w:tc>
        <w:tc>
          <w:tcPr>
            <w:tcW w:w="1728" w:type="dxa"/>
            <w:vAlign w:val="center"/>
          </w:tcPr>
          <w:p w14:paraId="6E10066C" w14:textId="77777777" w:rsidR="00533C78" w:rsidRPr="0005592E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(20.0)</w:t>
            </w:r>
          </w:p>
        </w:tc>
        <w:tc>
          <w:tcPr>
            <w:tcW w:w="1728" w:type="dxa"/>
            <w:vAlign w:val="center"/>
          </w:tcPr>
          <w:p w14:paraId="77D34D06" w14:textId="77777777" w:rsidR="00533C78" w:rsidRPr="0005592E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(14.9)</w:t>
            </w:r>
          </w:p>
        </w:tc>
      </w:tr>
      <w:tr w:rsidR="00533C78" w:rsidRPr="00603E11" w14:paraId="2191F18A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071803D6" w14:textId="77777777" w:rsidR="00533C78" w:rsidRDefault="00533C78" w:rsidP="00533C78">
            <w:pPr>
              <w:tabs>
                <w:tab w:val="left" w:pos="1108"/>
              </w:tabs>
              <w:spacing w:after="0" w:line="240" w:lineRule="auto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Delayed count recovery</w:t>
            </w:r>
            <w:r>
              <w:rPr>
                <w:rFonts w:ascii="Arial" w:hAnsi="Arial" w:cs="Arial"/>
                <w:vertAlign w:val="superscript"/>
              </w:rPr>
              <w:t>f</w:t>
            </w:r>
          </w:p>
        </w:tc>
        <w:tc>
          <w:tcPr>
            <w:tcW w:w="1728" w:type="dxa"/>
            <w:vAlign w:val="center"/>
          </w:tcPr>
          <w:p w14:paraId="3F57D241" w14:textId="77777777" w:rsidR="00533C78" w:rsidRPr="0005592E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(6.3)</w:t>
            </w:r>
          </w:p>
        </w:tc>
        <w:tc>
          <w:tcPr>
            <w:tcW w:w="1728" w:type="dxa"/>
            <w:vAlign w:val="center"/>
          </w:tcPr>
          <w:p w14:paraId="2729E198" w14:textId="77777777" w:rsidR="00533C78" w:rsidRPr="0005592E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(9.1)</w:t>
            </w:r>
          </w:p>
        </w:tc>
        <w:tc>
          <w:tcPr>
            <w:tcW w:w="1728" w:type="dxa"/>
            <w:vAlign w:val="center"/>
          </w:tcPr>
          <w:p w14:paraId="0CC0548C" w14:textId="77777777" w:rsidR="00533C78" w:rsidRPr="0005592E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(10.0)</w:t>
            </w:r>
          </w:p>
        </w:tc>
        <w:tc>
          <w:tcPr>
            <w:tcW w:w="1728" w:type="dxa"/>
            <w:vAlign w:val="center"/>
          </w:tcPr>
          <w:p w14:paraId="4978278C" w14:textId="77777777" w:rsidR="00533C78" w:rsidRPr="0005592E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(8.5)</w:t>
            </w:r>
          </w:p>
        </w:tc>
      </w:tr>
      <w:tr w:rsidR="00533C78" w:rsidRPr="00603E11" w14:paraId="3083939C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76EC0024" w14:textId="77777777" w:rsidR="00533C78" w:rsidRDefault="00533C78" w:rsidP="00533C78">
            <w:pPr>
              <w:tabs>
                <w:tab w:val="left" w:pos="1108"/>
              </w:tabs>
              <w:spacing w:after="0" w:line="240" w:lineRule="auto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Drug-induced liver injury</w:t>
            </w:r>
          </w:p>
        </w:tc>
        <w:tc>
          <w:tcPr>
            <w:tcW w:w="1728" w:type="dxa"/>
            <w:vAlign w:val="center"/>
          </w:tcPr>
          <w:p w14:paraId="56CE4A15" w14:textId="77777777" w:rsidR="00533C78" w:rsidRPr="0005592E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42FCDBC6" w14:textId="77777777" w:rsidR="00533C78" w:rsidRPr="0005592E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(9.1)</w:t>
            </w:r>
          </w:p>
        </w:tc>
        <w:tc>
          <w:tcPr>
            <w:tcW w:w="1728" w:type="dxa"/>
            <w:vAlign w:val="center"/>
          </w:tcPr>
          <w:p w14:paraId="79881417" w14:textId="77777777" w:rsidR="00533C78" w:rsidRPr="0005592E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7477BC66" w14:textId="77777777" w:rsidR="00533C78" w:rsidRPr="0005592E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(2.1)</w:t>
            </w:r>
          </w:p>
        </w:tc>
      </w:tr>
      <w:tr w:rsidR="00533C78" w:rsidRPr="00603E11" w14:paraId="29D9FB33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42C29992" w14:textId="77777777" w:rsidR="00533C78" w:rsidRDefault="00533C78" w:rsidP="00533C78">
            <w:pPr>
              <w:tabs>
                <w:tab w:val="left" w:pos="1108"/>
              </w:tabs>
              <w:spacing w:after="0" w:line="240" w:lineRule="auto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Intestinal ischemia</w:t>
            </w:r>
          </w:p>
        </w:tc>
        <w:tc>
          <w:tcPr>
            <w:tcW w:w="1728" w:type="dxa"/>
            <w:vAlign w:val="center"/>
          </w:tcPr>
          <w:p w14:paraId="3E8A3DF8" w14:textId="77777777" w:rsidR="00533C78" w:rsidRPr="0005592E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58783B51" w14:textId="77777777" w:rsidR="00533C78" w:rsidRPr="0005592E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178885AB" w14:textId="77777777" w:rsidR="00533C78" w:rsidRPr="0005592E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(5.0)</w:t>
            </w:r>
          </w:p>
        </w:tc>
        <w:tc>
          <w:tcPr>
            <w:tcW w:w="1728" w:type="dxa"/>
            <w:vAlign w:val="center"/>
          </w:tcPr>
          <w:p w14:paraId="6B7CB288" w14:textId="77777777" w:rsidR="00533C78" w:rsidRPr="0005592E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(2.1)</w:t>
            </w:r>
          </w:p>
        </w:tc>
      </w:tr>
      <w:tr w:rsidR="00533C78" w:rsidRPr="00603E11" w14:paraId="78D888A7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2A86ADAB" w14:textId="77777777" w:rsidR="00533C78" w:rsidRDefault="00533C78" w:rsidP="00533C78">
            <w:pPr>
              <w:tabs>
                <w:tab w:val="left" w:pos="1108"/>
              </w:tabs>
              <w:spacing w:after="0" w:line="240" w:lineRule="auto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Hyperbilirubinemia</w:t>
            </w:r>
          </w:p>
        </w:tc>
        <w:tc>
          <w:tcPr>
            <w:tcW w:w="1728" w:type="dxa"/>
            <w:vAlign w:val="center"/>
          </w:tcPr>
          <w:p w14:paraId="0BC1404E" w14:textId="77777777" w:rsidR="00533C78" w:rsidRPr="0005592E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0FCCB93F" w14:textId="77777777" w:rsidR="00533C78" w:rsidRPr="0005592E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3BEB4F3F" w14:textId="77777777" w:rsidR="00533C78" w:rsidRPr="0005592E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(5.0)</w:t>
            </w:r>
          </w:p>
        </w:tc>
        <w:tc>
          <w:tcPr>
            <w:tcW w:w="1728" w:type="dxa"/>
            <w:vAlign w:val="center"/>
          </w:tcPr>
          <w:p w14:paraId="4D4C07EA" w14:textId="77777777" w:rsidR="00533C78" w:rsidRPr="0005592E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5592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 xml:space="preserve"> (2.1)</w:t>
            </w:r>
          </w:p>
        </w:tc>
      </w:tr>
      <w:tr w:rsidR="00533C78" w:rsidRPr="00603E11" w14:paraId="326D1893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25FF570C" w14:textId="77777777" w:rsidR="00533C78" w:rsidRDefault="00533C78" w:rsidP="00533C78">
            <w:pPr>
              <w:tabs>
                <w:tab w:val="left" w:pos="1108"/>
              </w:tabs>
              <w:spacing w:after="0" w:line="240" w:lineRule="auto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Sepsis</w:t>
            </w:r>
          </w:p>
        </w:tc>
        <w:tc>
          <w:tcPr>
            <w:tcW w:w="1728" w:type="dxa"/>
            <w:vAlign w:val="center"/>
          </w:tcPr>
          <w:p w14:paraId="4FBB1BE2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5829939A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4E10675E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(5.0)</w:t>
            </w:r>
            <w:r w:rsidRPr="005277AA">
              <w:rPr>
                <w:rFonts w:ascii="Arial" w:hAnsi="Arial" w:cs="Arial"/>
                <w:vertAlign w:val="superscript"/>
              </w:rPr>
              <w:t>g</w:t>
            </w:r>
          </w:p>
        </w:tc>
        <w:tc>
          <w:tcPr>
            <w:tcW w:w="1728" w:type="dxa"/>
            <w:vAlign w:val="center"/>
          </w:tcPr>
          <w:p w14:paraId="665A549E" w14:textId="77777777" w:rsidR="00533C78" w:rsidRPr="0005592E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(2.1)</w:t>
            </w:r>
            <w:r w:rsidRPr="005277AA">
              <w:rPr>
                <w:rFonts w:ascii="Arial" w:hAnsi="Arial" w:cs="Arial"/>
                <w:vertAlign w:val="superscript"/>
              </w:rPr>
              <w:t>g</w:t>
            </w:r>
          </w:p>
        </w:tc>
      </w:tr>
      <w:tr w:rsidR="00533C78" w14:paraId="38BC2C91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1E549DD0" w14:textId="77777777" w:rsidR="00533C78" w:rsidRPr="0021393C" w:rsidRDefault="00533C78" w:rsidP="00533C7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1393C">
              <w:rPr>
                <w:rFonts w:ascii="Arial" w:hAnsi="Arial" w:cs="Arial"/>
                <w:b/>
                <w:bCs/>
              </w:rPr>
              <w:t>TEAEs leading to venetoclax or navitoclax discontinuation, n (%)</w:t>
            </w:r>
          </w:p>
        </w:tc>
        <w:tc>
          <w:tcPr>
            <w:tcW w:w="1728" w:type="dxa"/>
            <w:vAlign w:val="center"/>
          </w:tcPr>
          <w:p w14:paraId="2F37094F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DA4845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 xml:space="preserve">31.3) </w:t>
            </w:r>
          </w:p>
        </w:tc>
        <w:tc>
          <w:tcPr>
            <w:tcW w:w="1728" w:type="dxa"/>
            <w:vAlign w:val="center"/>
          </w:tcPr>
          <w:p w14:paraId="6D6CDFE2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4845">
              <w:rPr>
                <w:rFonts w:ascii="Arial" w:hAnsi="Arial" w:cs="Arial"/>
              </w:rPr>
              <w:t>2 (18.1)</w:t>
            </w:r>
          </w:p>
        </w:tc>
        <w:tc>
          <w:tcPr>
            <w:tcW w:w="1728" w:type="dxa"/>
            <w:vAlign w:val="center"/>
          </w:tcPr>
          <w:p w14:paraId="04D5C62F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DA4845">
              <w:rPr>
                <w:rFonts w:ascii="Arial" w:hAnsi="Arial" w:cs="Arial"/>
              </w:rPr>
              <w:t>5 (25</w:t>
            </w:r>
            <w:r>
              <w:rPr>
                <w:rFonts w:ascii="Arial" w:hAnsi="Arial" w:cs="Arial"/>
              </w:rPr>
              <w:t>.0</w:t>
            </w:r>
            <w:r w:rsidRPr="00DA4845">
              <w:rPr>
                <w:rFonts w:ascii="Arial" w:hAnsi="Arial" w:cs="Arial"/>
              </w:rPr>
              <w:t>)</w:t>
            </w:r>
          </w:p>
        </w:tc>
        <w:tc>
          <w:tcPr>
            <w:tcW w:w="1728" w:type="dxa"/>
            <w:vAlign w:val="center"/>
          </w:tcPr>
          <w:p w14:paraId="1820ADE7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(25.5) </w:t>
            </w:r>
          </w:p>
        </w:tc>
      </w:tr>
      <w:tr w:rsidR="00533C78" w14:paraId="0C780097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2606929D" w14:textId="77777777" w:rsidR="00533C78" w:rsidRDefault="00533C78" w:rsidP="00533C78">
            <w:pPr>
              <w:spacing w:after="0" w:line="240" w:lineRule="auto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Sepsis</w:t>
            </w:r>
          </w:p>
        </w:tc>
        <w:tc>
          <w:tcPr>
            <w:tcW w:w="1728" w:type="dxa"/>
            <w:vAlign w:val="center"/>
          </w:tcPr>
          <w:p w14:paraId="65336600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(6.3)</w:t>
            </w:r>
          </w:p>
        </w:tc>
        <w:tc>
          <w:tcPr>
            <w:tcW w:w="1728" w:type="dxa"/>
            <w:vAlign w:val="center"/>
          </w:tcPr>
          <w:p w14:paraId="7FDD0D73" w14:textId="77777777" w:rsidR="00533C78" w:rsidRPr="00DA4845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5E59F3DB" w14:textId="77777777" w:rsidR="00533C78" w:rsidRPr="00DA4845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(10.0)</w:t>
            </w:r>
            <w:r>
              <w:rPr>
                <w:rFonts w:ascii="Arial" w:hAnsi="Arial" w:cs="Arial"/>
                <w:vertAlign w:val="superscript"/>
              </w:rPr>
              <w:t>h</w:t>
            </w:r>
          </w:p>
        </w:tc>
        <w:tc>
          <w:tcPr>
            <w:tcW w:w="1728" w:type="dxa"/>
            <w:vAlign w:val="center"/>
          </w:tcPr>
          <w:p w14:paraId="3BECF4CC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(6.4)</w:t>
            </w:r>
          </w:p>
        </w:tc>
      </w:tr>
      <w:tr w:rsidR="00533C78" w14:paraId="4E232750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72BB6975" w14:textId="77777777" w:rsidR="00533C78" w:rsidRDefault="00533C78" w:rsidP="00533C78">
            <w:pPr>
              <w:spacing w:after="0" w:line="240" w:lineRule="auto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Febrile neutropenia</w:t>
            </w:r>
          </w:p>
        </w:tc>
        <w:tc>
          <w:tcPr>
            <w:tcW w:w="1728" w:type="dxa"/>
            <w:vAlign w:val="center"/>
          </w:tcPr>
          <w:p w14:paraId="1AC9AE15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(6.3)</w:t>
            </w:r>
            <w:r>
              <w:rPr>
                <w:rFonts w:ascii="Arial" w:hAnsi="Arial" w:cs="Arial"/>
                <w:vertAlign w:val="superscript"/>
              </w:rPr>
              <w:t>i</w:t>
            </w:r>
          </w:p>
        </w:tc>
        <w:tc>
          <w:tcPr>
            <w:tcW w:w="1728" w:type="dxa"/>
            <w:vAlign w:val="center"/>
          </w:tcPr>
          <w:p w14:paraId="462829C7" w14:textId="77777777" w:rsidR="00533C78" w:rsidRPr="00DA4845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(9.1)</w:t>
            </w:r>
            <w:r>
              <w:rPr>
                <w:rFonts w:ascii="Arial" w:hAnsi="Arial" w:cs="Arial"/>
                <w:vertAlign w:val="superscript"/>
              </w:rPr>
              <w:t>i</w:t>
            </w:r>
          </w:p>
        </w:tc>
        <w:tc>
          <w:tcPr>
            <w:tcW w:w="1728" w:type="dxa"/>
            <w:vAlign w:val="center"/>
          </w:tcPr>
          <w:p w14:paraId="0DD7A272" w14:textId="77777777" w:rsidR="00533C78" w:rsidRPr="00DA4845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247F9927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(4.3)</w:t>
            </w:r>
          </w:p>
        </w:tc>
      </w:tr>
      <w:tr w:rsidR="00533C78" w14:paraId="13B7161C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35A8001B" w14:textId="77777777" w:rsidR="00533C78" w:rsidRDefault="00533C78" w:rsidP="00533C78">
            <w:pPr>
              <w:spacing w:after="0" w:line="240" w:lineRule="auto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Septic shock</w:t>
            </w:r>
          </w:p>
        </w:tc>
        <w:tc>
          <w:tcPr>
            <w:tcW w:w="1728" w:type="dxa"/>
            <w:vAlign w:val="center"/>
          </w:tcPr>
          <w:p w14:paraId="0918CFB3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(6.3)</w:t>
            </w:r>
          </w:p>
        </w:tc>
        <w:tc>
          <w:tcPr>
            <w:tcW w:w="1728" w:type="dxa"/>
            <w:vAlign w:val="center"/>
          </w:tcPr>
          <w:p w14:paraId="17E4A8DF" w14:textId="77777777" w:rsidR="00533C78" w:rsidRPr="00DA4845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3A2F383F" w14:textId="77777777" w:rsidR="00533C78" w:rsidRPr="00DA4845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(5.0)</w:t>
            </w:r>
            <w:r>
              <w:rPr>
                <w:rFonts w:ascii="Arial" w:hAnsi="Arial" w:cs="Arial"/>
                <w:vertAlign w:val="superscript"/>
              </w:rPr>
              <w:t>h</w:t>
            </w:r>
          </w:p>
        </w:tc>
        <w:tc>
          <w:tcPr>
            <w:tcW w:w="1728" w:type="dxa"/>
            <w:vAlign w:val="center"/>
          </w:tcPr>
          <w:p w14:paraId="408D9C6F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(4.3)</w:t>
            </w:r>
          </w:p>
        </w:tc>
      </w:tr>
      <w:tr w:rsidR="00533C78" w14:paraId="6413A76B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71D7E418" w14:textId="77777777" w:rsidR="00533C78" w:rsidRDefault="00533C78" w:rsidP="00533C78">
            <w:pPr>
              <w:spacing w:after="0" w:line="240" w:lineRule="auto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Cardiac arrest</w:t>
            </w:r>
          </w:p>
        </w:tc>
        <w:tc>
          <w:tcPr>
            <w:tcW w:w="1728" w:type="dxa"/>
            <w:vAlign w:val="center"/>
          </w:tcPr>
          <w:p w14:paraId="02566834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(6.3)</w:t>
            </w:r>
          </w:p>
        </w:tc>
        <w:tc>
          <w:tcPr>
            <w:tcW w:w="1728" w:type="dxa"/>
            <w:vAlign w:val="center"/>
          </w:tcPr>
          <w:p w14:paraId="47E8538E" w14:textId="77777777" w:rsidR="00533C78" w:rsidRPr="00DA4845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36DA3F10" w14:textId="77777777" w:rsidR="00533C78" w:rsidRPr="00DA4845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6DB21670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(2.1)</w:t>
            </w:r>
          </w:p>
        </w:tc>
      </w:tr>
      <w:tr w:rsidR="00533C78" w14:paraId="50702070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610AA0E4" w14:textId="77777777" w:rsidR="00533C78" w:rsidRDefault="00533C78" w:rsidP="00533C78">
            <w:pPr>
              <w:spacing w:after="0" w:line="240" w:lineRule="auto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Death not otherwise specified</w:t>
            </w:r>
          </w:p>
        </w:tc>
        <w:tc>
          <w:tcPr>
            <w:tcW w:w="1728" w:type="dxa"/>
            <w:vAlign w:val="center"/>
          </w:tcPr>
          <w:p w14:paraId="6FCB2FAE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60F112C8" w14:textId="77777777" w:rsidR="00533C78" w:rsidRPr="00DA4845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1B6A6424" w14:textId="77777777" w:rsidR="00533C78" w:rsidRPr="00DA4845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(5.0)</w:t>
            </w:r>
          </w:p>
        </w:tc>
        <w:tc>
          <w:tcPr>
            <w:tcW w:w="1728" w:type="dxa"/>
          </w:tcPr>
          <w:p w14:paraId="5B90789E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61F9">
              <w:rPr>
                <w:rFonts w:ascii="Arial" w:hAnsi="Arial" w:cs="Arial"/>
              </w:rPr>
              <w:t>1 (2.1)</w:t>
            </w:r>
          </w:p>
        </w:tc>
      </w:tr>
      <w:tr w:rsidR="00533C78" w14:paraId="2B70F7E1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789936C2" w14:textId="77777777" w:rsidR="00533C78" w:rsidRDefault="00533C78" w:rsidP="00533C78">
            <w:pPr>
              <w:spacing w:after="0" w:line="240" w:lineRule="auto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Drug-induced liver injury</w:t>
            </w:r>
          </w:p>
        </w:tc>
        <w:tc>
          <w:tcPr>
            <w:tcW w:w="1728" w:type="dxa"/>
            <w:vAlign w:val="center"/>
          </w:tcPr>
          <w:p w14:paraId="28D6BB05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50D1831C" w14:textId="77777777" w:rsidR="00533C78" w:rsidRPr="00DA4845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(9.1)</w:t>
            </w:r>
            <w:r>
              <w:rPr>
                <w:rFonts w:ascii="Arial" w:hAnsi="Arial" w:cs="Arial"/>
                <w:vertAlign w:val="superscript"/>
              </w:rPr>
              <w:t>i</w:t>
            </w:r>
          </w:p>
        </w:tc>
        <w:tc>
          <w:tcPr>
            <w:tcW w:w="1728" w:type="dxa"/>
            <w:vAlign w:val="center"/>
          </w:tcPr>
          <w:p w14:paraId="109FB047" w14:textId="77777777" w:rsidR="00533C78" w:rsidRPr="00DA4845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</w:tcPr>
          <w:p w14:paraId="593A44DF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961F9">
              <w:rPr>
                <w:rFonts w:ascii="Arial" w:hAnsi="Arial" w:cs="Arial"/>
              </w:rPr>
              <w:t>1 (2.1)</w:t>
            </w:r>
          </w:p>
        </w:tc>
      </w:tr>
      <w:tr w:rsidR="00533C78" w14:paraId="7540B386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27E2368D" w14:textId="77777777" w:rsidR="00533C78" w:rsidRDefault="00533C78" w:rsidP="00533C78">
            <w:pPr>
              <w:spacing w:after="0" w:line="240" w:lineRule="auto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Intestinal ischemia</w:t>
            </w:r>
          </w:p>
        </w:tc>
        <w:tc>
          <w:tcPr>
            <w:tcW w:w="1728" w:type="dxa"/>
            <w:vAlign w:val="center"/>
          </w:tcPr>
          <w:p w14:paraId="2C538176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1A9A5539" w14:textId="77777777" w:rsidR="00533C78" w:rsidRPr="00DA4845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2DC43EE1" w14:textId="77777777" w:rsidR="00533C78" w:rsidRPr="00DA4845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(5.0)</w:t>
            </w:r>
            <w:r>
              <w:rPr>
                <w:rFonts w:ascii="Arial" w:hAnsi="Arial" w:cs="Arial"/>
                <w:vertAlign w:val="superscript"/>
              </w:rPr>
              <w:t>i</w:t>
            </w:r>
          </w:p>
        </w:tc>
        <w:tc>
          <w:tcPr>
            <w:tcW w:w="1728" w:type="dxa"/>
            <w:vAlign w:val="center"/>
          </w:tcPr>
          <w:p w14:paraId="5CAD090A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(2.1)</w:t>
            </w:r>
          </w:p>
        </w:tc>
      </w:tr>
      <w:tr w:rsidR="00533C78" w14:paraId="012994D6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4E34154A" w14:textId="77777777" w:rsidR="00533C78" w:rsidRDefault="00533C78" w:rsidP="00533C78">
            <w:pPr>
              <w:spacing w:after="0" w:line="240" w:lineRule="auto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Pancreatitis acute</w:t>
            </w:r>
          </w:p>
        </w:tc>
        <w:tc>
          <w:tcPr>
            <w:tcW w:w="1728" w:type="dxa"/>
            <w:vAlign w:val="center"/>
          </w:tcPr>
          <w:p w14:paraId="3F218A3B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(6.3)</w:t>
            </w:r>
            <w:r>
              <w:rPr>
                <w:rFonts w:ascii="Arial" w:hAnsi="Arial" w:cs="Arial"/>
                <w:vertAlign w:val="superscript"/>
              </w:rPr>
              <w:t>j</w:t>
            </w:r>
          </w:p>
        </w:tc>
        <w:tc>
          <w:tcPr>
            <w:tcW w:w="1728" w:type="dxa"/>
            <w:vAlign w:val="center"/>
          </w:tcPr>
          <w:p w14:paraId="04C0C4D1" w14:textId="77777777" w:rsidR="00533C78" w:rsidRPr="00DA4845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724B2F0F" w14:textId="77777777" w:rsidR="00533C78" w:rsidRPr="00DA4845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495947F0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(2.1)</w:t>
            </w:r>
          </w:p>
        </w:tc>
      </w:tr>
      <w:tr w:rsidR="00533C78" w14:paraId="4DC5FD3A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333F96A2" w14:textId="77777777" w:rsidR="00533C78" w:rsidRDefault="00533C78" w:rsidP="00533C78">
            <w:pPr>
              <w:spacing w:after="0" w:line="240" w:lineRule="auto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Pulmonary embolism</w:t>
            </w:r>
          </w:p>
        </w:tc>
        <w:tc>
          <w:tcPr>
            <w:tcW w:w="1728" w:type="dxa"/>
            <w:vAlign w:val="center"/>
          </w:tcPr>
          <w:p w14:paraId="298283DE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(6.3)</w:t>
            </w:r>
            <w:r>
              <w:rPr>
                <w:rFonts w:ascii="Arial" w:hAnsi="Arial" w:cs="Arial"/>
                <w:vertAlign w:val="superscript"/>
              </w:rPr>
              <w:t>j</w:t>
            </w:r>
          </w:p>
        </w:tc>
        <w:tc>
          <w:tcPr>
            <w:tcW w:w="1728" w:type="dxa"/>
            <w:vAlign w:val="center"/>
          </w:tcPr>
          <w:p w14:paraId="0F09B7C7" w14:textId="77777777" w:rsidR="00533C78" w:rsidRPr="00DA4845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02DBFA24" w14:textId="77777777" w:rsidR="00533C78" w:rsidRPr="00DA4845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4C17F2AF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(2.1)</w:t>
            </w:r>
          </w:p>
        </w:tc>
      </w:tr>
      <w:tr w:rsidR="00533C78" w14:paraId="3CDC2209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3F908478" w14:textId="77777777" w:rsidR="00533C78" w:rsidRDefault="00533C78" w:rsidP="00533C78">
            <w:pPr>
              <w:spacing w:after="0" w:line="240" w:lineRule="auto"/>
              <w:ind w:left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Spinal cord compression</w:t>
            </w:r>
          </w:p>
        </w:tc>
        <w:tc>
          <w:tcPr>
            <w:tcW w:w="1728" w:type="dxa"/>
            <w:vAlign w:val="center"/>
          </w:tcPr>
          <w:p w14:paraId="2636C6BD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1E72FDA7" w14:textId="77777777" w:rsidR="00533C78" w:rsidRPr="00DA4845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3C79C3F6" w14:textId="77777777" w:rsidR="00533C78" w:rsidRPr="00DA4845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(5.0)</w:t>
            </w:r>
          </w:p>
        </w:tc>
        <w:tc>
          <w:tcPr>
            <w:tcW w:w="1728" w:type="dxa"/>
            <w:vAlign w:val="center"/>
          </w:tcPr>
          <w:p w14:paraId="265F9B78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(2.1)</w:t>
            </w:r>
          </w:p>
        </w:tc>
      </w:tr>
      <w:tr w:rsidR="00533C78" w14:paraId="79FFC224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64128C22" w14:textId="77777777" w:rsidR="00533C78" w:rsidRPr="0021393C" w:rsidRDefault="00533C78" w:rsidP="00533C7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21393C">
              <w:rPr>
                <w:rFonts w:ascii="Arial" w:hAnsi="Arial" w:cs="Arial"/>
                <w:b/>
                <w:bCs/>
              </w:rPr>
              <w:t xml:space="preserve">Grade 3/4 TEAEs reported in ≥10% of patients in any </w:t>
            </w:r>
            <w:r>
              <w:rPr>
                <w:rFonts w:ascii="Arial" w:hAnsi="Arial" w:cs="Arial"/>
                <w:b/>
                <w:bCs/>
              </w:rPr>
              <w:t>dose level</w:t>
            </w:r>
            <w:r w:rsidRPr="0021393C">
              <w:rPr>
                <w:rFonts w:ascii="Arial" w:hAnsi="Arial" w:cs="Arial"/>
                <w:b/>
                <w:bCs/>
              </w:rPr>
              <w:t>, n (%)</w:t>
            </w:r>
          </w:p>
        </w:tc>
        <w:tc>
          <w:tcPr>
            <w:tcW w:w="1728" w:type="dxa"/>
            <w:vAlign w:val="center"/>
          </w:tcPr>
          <w:p w14:paraId="3696DE87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vAlign w:val="center"/>
          </w:tcPr>
          <w:p w14:paraId="54E3A347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vAlign w:val="center"/>
          </w:tcPr>
          <w:p w14:paraId="3BFBCA83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vAlign w:val="center"/>
          </w:tcPr>
          <w:p w14:paraId="4594D6C3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C78" w14:paraId="3F7AA392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63C7CDF8" w14:textId="77777777" w:rsidR="00533C78" w:rsidRPr="0021393C" w:rsidRDefault="00533C78" w:rsidP="00533C78">
            <w:pPr>
              <w:spacing w:after="0" w:line="240" w:lineRule="auto"/>
              <w:ind w:left="173"/>
              <w:rPr>
                <w:rFonts w:ascii="Arial" w:hAnsi="Arial" w:cs="Arial"/>
                <w:b/>
                <w:bCs/>
              </w:rPr>
            </w:pPr>
            <w:r w:rsidRPr="0021393C">
              <w:rPr>
                <w:rFonts w:ascii="Arial" w:hAnsi="Arial" w:cs="Arial"/>
                <w:b/>
                <w:bCs/>
              </w:rPr>
              <w:t>Hematologic</w:t>
            </w:r>
          </w:p>
        </w:tc>
        <w:tc>
          <w:tcPr>
            <w:tcW w:w="1728" w:type="dxa"/>
            <w:vAlign w:val="center"/>
          </w:tcPr>
          <w:p w14:paraId="03359CB5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vAlign w:val="center"/>
          </w:tcPr>
          <w:p w14:paraId="3AC977AA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vAlign w:val="center"/>
          </w:tcPr>
          <w:p w14:paraId="5E00792B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vAlign w:val="center"/>
          </w:tcPr>
          <w:p w14:paraId="5335513E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C78" w14:paraId="6AEA2FDC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5EE1EF07" w14:textId="77777777" w:rsidR="00533C78" w:rsidRPr="00274C89" w:rsidRDefault="00533C78" w:rsidP="00533C78">
            <w:pPr>
              <w:spacing w:after="0" w:line="240" w:lineRule="auto"/>
              <w:ind w:left="346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Febrile neutropenia</w:t>
            </w:r>
          </w:p>
        </w:tc>
        <w:tc>
          <w:tcPr>
            <w:tcW w:w="1728" w:type="dxa"/>
            <w:vAlign w:val="center"/>
          </w:tcPr>
          <w:p w14:paraId="1C9BDB54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8 (50.0)</w:t>
            </w:r>
          </w:p>
        </w:tc>
        <w:tc>
          <w:tcPr>
            <w:tcW w:w="1728" w:type="dxa"/>
            <w:vAlign w:val="center"/>
          </w:tcPr>
          <w:p w14:paraId="2239DBB1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6 (54.5)</w:t>
            </w:r>
          </w:p>
        </w:tc>
        <w:tc>
          <w:tcPr>
            <w:tcW w:w="1728" w:type="dxa"/>
            <w:vAlign w:val="center"/>
          </w:tcPr>
          <w:p w14:paraId="20ADD54B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8 (40.0)</w:t>
            </w:r>
          </w:p>
        </w:tc>
        <w:tc>
          <w:tcPr>
            <w:tcW w:w="1728" w:type="dxa"/>
            <w:vAlign w:val="center"/>
          </w:tcPr>
          <w:p w14:paraId="47DC565E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22 (46.8)</w:t>
            </w:r>
          </w:p>
        </w:tc>
      </w:tr>
      <w:tr w:rsidR="00533C78" w14:paraId="6E2A910D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353AF15A" w14:textId="77777777" w:rsidR="00533C78" w:rsidRPr="00274C89" w:rsidRDefault="00533C78" w:rsidP="00533C78">
            <w:pPr>
              <w:spacing w:after="0" w:line="240" w:lineRule="auto"/>
              <w:ind w:left="346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Neutropenia</w:t>
            </w:r>
            <w:r w:rsidRPr="00274C89">
              <w:rPr>
                <w:rFonts w:ascii="Arial" w:hAnsi="Arial" w:cs="Arial"/>
                <w:vertAlign w:val="superscript"/>
              </w:rPr>
              <w:t>k</w:t>
            </w:r>
          </w:p>
        </w:tc>
        <w:tc>
          <w:tcPr>
            <w:tcW w:w="1728" w:type="dxa"/>
            <w:vAlign w:val="center"/>
          </w:tcPr>
          <w:p w14:paraId="3149C8DC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8 (50.0)</w:t>
            </w:r>
          </w:p>
        </w:tc>
        <w:tc>
          <w:tcPr>
            <w:tcW w:w="1728" w:type="dxa"/>
            <w:vAlign w:val="center"/>
          </w:tcPr>
          <w:p w14:paraId="76AB7E7A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4 (36.4)</w:t>
            </w:r>
          </w:p>
        </w:tc>
        <w:tc>
          <w:tcPr>
            <w:tcW w:w="1728" w:type="dxa"/>
            <w:vAlign w:val="center"/>
          </w:tcPr>
          <w:p w14:paraId="2C20175E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6 (30.0)</w:t>
            </w:r>
          </w:p>
        </w:tc>
        <w:tc>
          <w:tcPr>
            <w:tcW w:w="1728" w:type="dxa"/>
            <w:vAlign w:val="center"/>
          </w:tcPr>
          <w:p w14:paraId="662D2D2A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18 (38.3)</w:t>
            </w:r>
          </w:p>
        </w:tc>
      </w:tr>
      <w:tr w:rsidR="00533C78" w14:paraId="10D9B757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720B9608" w14:textId="77777777" w:rsidR="00533C78" w:rsidRPr="00274C89" w:rsidRDefault="00533C78" w:rsidP="00533C78">
            <w:pPr>
              <w:spacing w:after="0" w:line="240" w:lineRule="auto"/>
              <w:ind w:left="346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Thrombocytopenia</w:t>
            </w:r>
            <w:r w:rsidRPr="00274C89">
              <w:rPr>
                <w:rFonts w:ascii="Arial" w:hAnsi="Arial" w:cs="Arial"/>
                <w:vertAlign w:val="superscript"/>
              </w:rPr>
              <w:t>k</w:t>
            </w:r>
            <w:r w:rsidRPr="00274C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28" w:type="dxa"/>
            <w:vAlign w:val="center"/>
          </w:tcPr>
          <w:p w14:paraId="4187A9EA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3 (18.8)</w:t>
            </w:r>
          </w:p>
        </w:tc>
        <w:tc>
          <w:tcPr>
            <w:tcW w:w="1728" w:type="dxa"/>
            <w:vAlign w:val="center"/>
          </w:tcPr>
          <w:p w14:paraId="0C8E5D56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3 (27.3)</w:t>
            </w:r>
          </w:p>
        </w:tc>
        <w:tc>
          <w:tcPr>
            <w:tcW w:w="1728" w:type="dxa"/>
            <w:vAlign w:val="center"/>
          </w:tcPr>
          <w:p w14:paraId="4C9F723A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6 (30.0)</w:t>
            </w:r>
          </w:p>
        </w:tc>
        <w:tc>
          <w:tcPr>
            <w:tcW w:w="1728" w:type="dxa"/>
            <w:vAlign w:val="center"/>
          </w:tcPr>
          <w:p w14:paraId="1BEDE793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12 (25.5)</w:t>
            </w:r>
          </w:p>
        </w:tc>
      </w:tr>
      <w:tr w:rsidR="00533C78" w14:paraId="27A2EF35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0B5B3C48" w14:textId="77777777" w:rsidR="00533C78" w:rsidRPr="00274C89" w:rsidRDefault="00533C78" w:rsidP="00533C78">
            <w:pPr>
              <w:spacing w:after="0" w:line="240" w:lineRule="auto"/>
              <w:ind w:left="346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Anemia</w:t>
            </w:r>
            <w:r w:rsidRPr="00274C89">
              <w:rPr>
                <w:rFonts w:ascii="Arial" w:hAnsi="Arial" w:cs="Arial"/>
                <w:vertAlign w:val="superscript"/>
              </w:rPr>
              <w:t>k</w:t>
            </w:r>
          </w:p>
        </w:tc>
        <w:tc>
          <w:tcPr>
            <w:tcW w:w="1728" w:type="dxa"/>
            <w:vAlign w:val="center"/>
          </w:tcPr>
          <w:p w14:paraId="4624480F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4 (25.0)</w:t>
            </w:r>
          </w:p>
        </w:tc>
        <w:tc>
          <w:tcPr>
            <w:tcW w:w="1728" w:type="dxa"/>
            <w:vAlign w:val="center"/>
          </w:tcPr>
          <w:p w14:paraId="78ED403C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1 (9.1)</w:t>
            </w:r>
          </w:p>
        </w:tc>
        <w:tc>
          <w:tcPr>
            <w:tcW w:w="1728" w:type="dxa"/>
            <w:vAlign w:val="center"/>
          </w:tcPr>
          <w:p w14:paraId="40C6475E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4 (20.0)</w:t>
            </w:r>
          </w:p>
        </w:tc>
        <w:tc>
          <w:tcPr>
            <w:tcW w:w="1728" w:type="dxa"/>
            <w:vAlign w:val="center"/>
          </w:tcPr>
          <w:p w14:paraId="11ACA782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9 (19.1)</w:t>
            </w:r>
          </w:p>
        </w:tc>
      </w:tr>
      <w:tr w:rsidR="00533C78" w14:paraId="6263F727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30BF9AF2" w14:textId="77777777" w:rsidR="00533C78" w:rsidRPr="00274C89" w:rsidRDefault="00533C78" w:rsidP="00533C78">
            <w:pPr>
              <w:spacing w:after="0" w:line="240" w:lineRule="auto"/>
              <w:ind w:left="346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Leukopenia</w:t>
            </w:r>
            <w:r w:rsidRPr="00274C89">
              <w:rPr>
                <w:rFonts w:ascii="Arial" w:hAnsi="Arial" w:cs="Arial"/>
                <w:vertAlign w:val="superscript"/>
              </w:rPr>
              <w:t>k</w:t>
            </w:r>
          </w:p>
        </w:tc>
        <w:tc>
          <w:tcPr>
            <w:tcW w:w="1728" w:type="dxa"/>
            <w:vAlign w:val="center"/>
          </w:tcPr>
          <w:p w14:paraId="41A815D3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4C89">
              <w:rPr>
                <w:rFonts w:ascii="Arial" w:hAnsi="Arial" w:cs="Arial"/>
              </w:rPr>
              <w:t>3 (18.8)</w:t>
            </w:r>
          </w:p>
        </w:tc>
        <w:tc>
          <w:tcPr>
            <w:tcW w:w="1728" w:type="dxa"/>
            <w:vAlign w:val="center"/>
          </w:tcPr>
          <w:p w14:paraId="685A064F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274C89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18.2</w:t>
            </w:r>
            <w:r w:rsidRPr="00274C89">
              <w:rPr>
                <w:rFonts w:ascii="Arial" w:hAnsi="Arial" w:cs="Arial"/>
              </w:rPr>
              <w:t>)</w:t>
            </w:r>
          </w:p>
        </w:tc>
        <w:tc>
          <w:tcPr>
            <w:tcW w:w="1728" w:type="dxa"/>
            <w:vAlign w:val="center"/>
          </w:tcPr>
          <w:p w14:paraId="60B0E98D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274C89">
              <w:rPr>
                <w:rFonts w:ascii="Arial" w:hAnsi="Arial" w:cs="Arial"/>
              </w:rPr>
              <w:t xml:space="preserve"> (1</w:t>
            </w:r>
            <w:r>
              <w:rPr>
                <w:rFonts w:ascii="Arial" w:hAnsi="Arial" w:cs="Arial"/>
              </w:rPr>
              <w:t>5</w:t>
            </w:r>
            <w:r w:rsidRPr="00274C89">
              <w:rPr>
                <w:rFonts w:ascii="Arial" w:hAnsi="Arial" w:cs="Arial"/>
              </w:rPr>
              <w:t>.0)</w:t>
            </w:r>
          </w:p>
        </w:tc>
        <w:tc>
          <w:tcPr>
            <w:tcW w:w="1728" w:type="dxa"/>
            <w:vAlign w:val="center"/>
          </w:tcPr>
          <w:p w14:paraId="7DFCB2CA" w14:textId="77777777" w:rsidR="00533C78" w:rsidRPr="00274C89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274C89">
              <w:rPr>
                <w:rFonts w:ascii="Arial" w:hAnsi="Arial" w:cs="Arial"/>
              </w:rPr>
              <w:t xml:space="preserve"> (1</w:t>
            </w:r>
            <w:r>
              <w:rPr>
                <w:rFonts w:ascii="Arial" w:hAnsi="Arial" w:cs="Arial"/>
              </w:rPr>
              <w:t>7.0</w:t>
            </w:r>
            <w:r w:rsidRPr="00274C89">
              <w:rPr>
                <w:rFonts w:ascii="Arial" w:hAnsi="Arial" w:cs="Arial"/>
              </w:rPr>
              <w:t>)</w:t>
            </w:r>
          </w:p>
        </w:tc>
      </w:tr>
      <w:tr w:rsidR="00533C78" w14:paraId="0A5D1D7F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300D721A" w14:textId="77777777" w:rsidR="00533C78" w:rsidRPr="0021393C" w:rsidRDefault="00533C78" w:rsidP="00533C78">
            <w:pPr>
              <w:spacing w:after="0" w:line="240" w:lineRule="auto"/>
              <w:ind w:left="173"/>
              <w:rPr>
                <w:rFonts w:ascii="Arial" w:hAnsi="Arial" w:cs="Arial"/>
                <w:b/>
                <w:bCs/>
              </w:rPr>
            </w:pPr>
            <w:r w:rsidRPr="0021393C">
              <w:rPr>
                <w:rFonts w:ascii="Arial" w:hAnsi="Arial" w:cs="Arial"/>
                <w:b/>
                <w:bCs/>
              </w:rPr>
              <w:t>Nonhematologic</w:t>
            </w:r>
          </w:p>
        </w:tc>
        <w:tc>
          <w:tcPr>
            <w:tcW w:w="1728" w:type="dxa"/>
            <w:vAlign w:val="center"/>
          </w:tcPr>
          <w:p w14:paraId="0EDF2E9C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vAlign w:val="center"/>
          </w:tcPr>
          <w:p w14:paraId="230BBE03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vAlign w:val="center"/>
          </w:tcPr>
          <w:p w14:paraId="14853A6E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28" w:type="dxa"/>
            <w:vAlign w:val="center"/>
          </w:tcPr>
          <w:p w14:paraId="561F506C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C78" w14:paraId="5BF13436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314157F2" w14:textId="77777777" w:rsidR="00533C78" w:rsidRDefault="00533C78" w:rsidP="00533C78">
            <w:pPr>
              <w:spacing w:after="0" w:line="240" w:lineRule="auto"/>
              <w:ind w:left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Hypokalemia</w:t>
            </w:r>
          </w:p>
        </w:tc>
        <w:tc>
          <w:tcPr>
            <w:tcW w:w="1728" w:type="dxa"/>
            <w:vAlign w:val="center"/>
          </w:tcPr>
          <w:p w14:paraId="32D7AB58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(31.3)</w:t>
            </w:r>
          </w:p>
        </w:tc>
        <w:tc>
          <w:tcPr>
            <w:tcW w:w="1728" w:type="dxa"/>
            <w:vAlign w:val="center"/>
          </w:tcPr>
          <w:p w14:paraId="16D50CF0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(27.3)</w:t>
            </w:r>
          </w:p>
        </w:tc>
        <w:tc>
          <w:tcPr>
            <w:tcW w:w="1728" w:type="dxa"/>
            <w:vAlign w:val="center"/>
          </w:tcPr>
          <w:p w14:paraId="065E0EFC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(15.0)</w:t>
            </w:r>
          </w:p>
        </w:tc>
        <w:tc>
          <w:tcPr>
            <w:tcW w:w="1728" w:type="dxa"/>
            <w:vAlign w:val="center"/>
          </w:tcPr>
          <w:p w14:paraId="61718B13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(23.4)</w:t>
            </w:r>
          </w:p>
        </w:tc>
      </w:tr>
      <w:tr w:rsidR="00533C78" w14:paraId="3C2E08F9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4F6CF36D" w14:textId="77777777" w:rsidR="00533C78" w:rsidRDefault="00533C78" w:rsidP="00533C78">
            <w:pPr>
              <w:spacing w:after="0" w:line="240" w:lineRule="auto"/>
              <w:ind w:left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 increased</w:t>
            </w:r>
          </w:p>
        </w:tc>
        <w:tc>
          <w:tcPr>
            <w:tcW w:w="1728" w:type="dxa"/>
            <w:vAlign w:val="center"/>
          </w:tcPr>
          <w:p w14:paraId="21C38773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(25.0)</w:t>
            </w:r>
          </w:p>
        </w:tc>
        <w:tc>
          <w:tcPr>
            <w:tcW w:w="1728" w:type="dxa"/>
            <w:vAlign w:val="center"/>
          </w:tcPr>
          <w:p w14:paraId="652FFB00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(18.2)</w:t>
            </w:r>
          </w:p>
        </w:tc>
        <w:tc>
          <w:tcPr>
            <w:tcW w:w="1728" w:type="dxa"/>
            <w:vAlign w:val="center"/>
          </w:tcPr>
          <w:p w14:paraId="7CBD1FFD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(15.0)</w:t>
            </w:r>
          </w:p>
        </w:tc>
        <w:tc>
          <w:tcPr>
            <w:tcW w:w="1728" w:type="dxa"/>
            <w:vAlign w:val="center"/>
          </w:tcPr>
          <w:p w14:paraId="7E8129D0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(19.1)</w:t>
            </w:r>
          </w:p>
        </w:tc>
      </w:tr>
      <w:tr w:rsidR="00533C78" w14:paraId="27BE1E4E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4D1B0E66" w14:textId="77777777" w:rsidR="00533C78" w:rsidRPr="00FC0048" w:rsidRDefault="00533C78" w:rsidP="00533C78">
            <w:pPr>
              <w:spacing w:after="0" w:line="240" w:lineRule="auto"/>
              <w:ind w:left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Hyperbilirubinemia</w:t>
            </w:r>
            <w:r>
              <w:rPr>
                <w:rFonts w:ascii="Arial" w:hAnsi="Arial" w:cs="Arial"/>
                <w:vertAlign w:val="superscript"/>
              </w:rPr>
              <w:t>k</w:t>
            </w:r>
          </w:p>
        </w:tc>
        <w:tc>
          <w:tcPr>
            <w:tcW w:w="1728" w:type="dxa"/>
            <w:vAlign w:val="center"/>
          </w:tcPr>
          <w:p w14:paraId="22044602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(18.8)</w:t>
            </w:r>
          </w:p>
        </w:tc>
        <w:tc>
          <w:tcPr>
            <w:tcW w:w="1728" w:type="dxa"/>
            <w:vAlign w:val="center"/>
          </w:tcPr>
          <w:p w14:paraId="18FE843C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(18.2)</w:t>
            </w:r>
          </w:p>
        </w:tc>
        <w:tc>
          <w:tcPr>
            <w:tcW w:w="1728" w:type="dxa"/>
            <w:vAlign w:val="center"/>
          </w:tcPr>
          <w:p w14:paraId="7723AC8A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(20.0)</w:t>
            </w:r>
          </w:p>
        </w:tc>
        <w:tc>
          <w:tcPr>
            <w:tcW w:w="1728" w:type="dxa"/>
            <w:vAlign w:val="center"/>
          </w:tcPr>
          <w:p w14:paraId="2E9F138F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(19.1)</w:t>
            </w:r>
          </w:p>
        </w:tc>
      </w:tr>
      <w:tr w:rsidR="00533C78" w14:paraId="148697FF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439D6982" w14:textId="77777777" w:rsidR="00533C78" w:rsidRDefault="00533C78" w:rsidP="00533C78">
            <w:pPr>
              <w:spacing w:after="0" w:line="240" w:lineRule="auto"/>
              <w:ind w:left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Sepsis</w:t>
            </w:r>
          </w:p>
        </w:tc>
        <w:tc>
          <w:tcPr>
            <w:tcW w:w="1728" w:type="dxa"/>
            <w:vAlign w:val="center"/>
          </w:tcPr>
          <w:p w14:paraId="08E56B88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(25.0)</w:t>
            </w:r>
          </w:p>
        </w:tc>
        <w:tc>
          <w:tcPr>
            <w:tcW w:w="1728" w:type="dxa"/>
            <w:vAlign w:val="center"/>
          </w:tcPr>
          <w:p w14:paraId="645B08EF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(9.1)</w:t>
            </w:r>
          </w:p>
        </w:tc>
        <w:tc>
          <w:tcPr>
            <w:tcW w:w="1728" w:type="dxa"/>
            <w:vAlign w:val="center"/>
          </w:tcPr>
          <w:p w14:paraId="1372B270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(20.0)</w:t>
            </w:r>
          </w:p>
        </w:tc>
        <w:tc>
          <w:tcPr>
            <w:tcW w:w="1728" w:type="dxa"/>
            <w:vAlign w:val="center"/>
          </w:tcPr>
          <w:p w14:paraId="32341E99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(19.1)</w:t>
            </w:r>
          </w:p>
        </w:tc>
      </w:tr>
      <w:tr w:rsidR="00533C78" w14:paraId="41CF0B9E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0A81BEE6" w14:textId="77777777" w:rsidR="00533C78" w:rsidRDefault="00533C78" w:rsidP="00533C78">
            <w:pPr>
              <w:spacing w:after="0" w:line="240" w:lineRule="auto"/>
              <w:ind w:left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Pneumonia</w:t>
            </w:r>
          </w:p>
        </w:tc>
        <w:tc>
          <w:tcPr>
            <w:tcW w:w="1728" w:type="dxa"/>
            <w:vAlign w:val="center"/>
          </w:tcPr>
          <w:p w14:paraId="2E8525F1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(12.5)</w:t>
            </w:r>
          </w:p>
        </w:tc>
        <w:tc>
          <w:tcPr>
            <w:tcW w:w="1728" w:type="dxa"/>
            <w:vAlign w:val="center"/>
          </w:tcPr>
          <w:p w14:paraId="450D64B8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(18.2)</w:t>
            </w:r>
          </w:p>
        </w:tc>
        <w:tc>
          <w:tcPr>
            <w:tcW w:w="1728" w:type="dxa"/>
            <w:vAlign w:val="center"/>
          </w:tcPr>
          <w:p w14:paraId="2DDDBC57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(15.0)</w:t>
            </w:r>
          </w:p>
        </w:tc>
        <w:tc>
          <w:tcPr>
            <w:tcW w:w="1728" w:type="dxa"/>
            <w:vAlign w:val="center"/>
          </w:tcPr>
          <w:p w14:paraId="2E8F12C0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(14.9)</w:t>
            </w:r>
          </w:p>
        </w:tc>
      </w:tr>
      <w:tr w:rsidR="00533C78" w14:paraId="09DF8A5D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3EFD8B42" w14:textId="77777777" w:rsidR="00533C78" w:rsidRDefault="00533C78" w:rsidP="00533C78">
            <w:pPr>
              <w:spacing w:after="0" w:line="240" w:lineRule="auto"/>
              <w:ind w:left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AST increased</w:t>
            </w:r>
          </w:p>
        </w:tc>
        <w:tc>
          <w:tcPr>
            <w:tcW w:w="1728" w:type="dxa"/>
            <w:vAlign w:val="center"/>
          </w:tcPr>
          <w:p w14:paraId="1FD43B2B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(25.0)</w:t>
            </w:r>
          </w:p>
        </w:tc>
        <w:tc>
          <w:tcPr>
            <w:tcW w:w="1728" w:type="dxa"/>
            <w:vAlign w:val="center"/>
          </w:tcPr>
          <w:p w14:paraId="2BEEB272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7F408060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(10.0)</w:t>
            </w:r>
          </w:p>
        </w:tc>
        <w:tc>
          <w:tcPr>
            <w:tcW w:w="1728" w:type="dxa"/>
            <w:vAlign w:val="center"/>
          </w:tcPr>
          <w:p w14:paraId="6889CF38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(12.8)</w:t>
            </w:r>
          </w:p>
        </w:tc>
      </w:tr>
      <w:tr w:rsidR="00533C78" w14:paraId="7B4279E1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5FCBBE4A" w14:textId="77777777" w:rsidR="00533C78" w:rsidRDefault="00533C78" w:rsidP="00533C78">
            <w:pPr>
              <w:spacing w:after="0" w:line="240" w:lineRule="auto"/>
              <w:ind w:left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Hyperglycemia</w:t>
            </w:r>
          </w:p>
        </w:tc>
        <w:tc>
          <w:tcPr>
            <w:tcW w:w="1728" w:type="dxa"/>
            <w:vAlign w:val="center"/>
          </w:tcPr>
          <w:p w14:paraId="2650190A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(18.8)</w:t>
            </w:r>
          </w:p>
        </w:tc>
        <w:tc>
          <w:tcPr>
            <w:tcW w:w="1728" w:type="dxa"/>
            <w:vAlign w:val="center"/>
          </w:tcPr>
          <w:p w14:paraId="69DD6DA5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6EC44B0D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(15.0)</w:t>
            </w:r>
          </w:p>
        </w:tc>
        <w:tc>
          <w:tcPr>
            <w:tcW w:w="1728" w:type="dxa"/>
            <w:vAlign w:val="center"/>
          </w:tcPr>
          <w:p w14:paraId="7B801214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(12.8)</w:t>
            </w:r>
          </w:p>
        </w:tc>
      </w:tr>
      <w:tr w:rsidR="00533C78" w14:paraId="1E86EF1D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404AAD3E" w14:textId="77777777" w:rsidR="00533C78" w:rsidRDefault="00533C78" w:rsidP="00533C78">
            <w:pPr>
              <w:spacing w:after="0" w:line="240" w:lineRule="auto"/>
              <w:ind w:left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Hyponatremia</w:t>
            </w:r>
          </w:p>
        </w:tc>
        <w:tc>
          <w:tcPr>
            <w:tcW w:w="1728" w:type="dxa"/>
            <w:vAlign w:val="center"/>
          </w:tcPr>
          <w:p w14:paraId="0BE4EAC9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(25.0)</w:t>
            </w:r>
          </w:p>
        </w:tc>
        <w:tc>
          <w:tcPr>
            <w:tcW w:w="1728" w:type="dxa"/>
            <w:vAlign w:val="center"/>
          </w:tcPr>
          <w:p w14:paraId="680FCA87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(9.1)</w:t>
            </w:r>
          </w:p>
        </w:tc>
        <w:tc>
          <w:tcPr>
            <w:tcW w:w="1728" w:type="dxa"/>
            <w:vAlign w:val="center"/>
          </w:tcPr>
          <w:p w14:paraId="40D98F02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(5.0)</w:t>
            </w:r>
          </w:p>
        </w:tc>
        <w:tc>
          <w:tcPr>
            <w:tcW w:w="1728" w:type="dxa"/>
            <w:vAlign w:val="center"/>
          </w:tcPr>
          <w:p w14:paraId="75502421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(12.8)</w:t>
            </w:r>
          </w:p>
        </w:tc>
      </w:tr>
      <w:tr w:rsidR="00533C78" w14:paraId="52EE865D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398FFF61" w14:textId="77777777" w:rsidR="00533C78" w:rsidRDefault="00533C78" w:rsidP="00533C78">
            <w:pPr>
              <w:spacing w:after="0" w:line="240" w:lineRule="auto"/>
              <w:ind w:left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Diarrhea</w:t>
            </w:r>
          </w:p>
        </w:tc>
        <w:tc>
          <w:tcPr>
            <w:tcW w:w="1728" w:type="dxa"/>
            <w:vAlign w:val="center"/>
          </w:tcPr>
          <w:p w14:paraId="64450FE4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(12.5)</w:t>
            </w:r>
          </w:p>
        </w:tc>
        <w:tc>
          <w:tcPr>
            <w:tcW w:w="1728" w:type="dxa"/>
            <w:vAlign w:val="center"/>
          </w:tcPr>
          <w:p w14:paraId="487F8DFF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(9.1)</w:t>
            </w:r>
          </w:p>
        </w:tc>
        <w:tc>
          <w:tcPr>
            <w:tcW w:w="1728" w:type="dxa"/>
            <w:vAlign w:val="center"/>
          </w:tcPr>
          <w:p w14:paraId="60774641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(10.0)</w:t>
            </w:r>
          </w:p>
        </w:tc>
        <w:tc>
          <w:tcPr>
            <w:tcW w:w="1728" w:type="dxa"/>
            <w:vAlign w:val="center"/>
          </w:tcPr>
          <w:p w14:paraId="5ACF048D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(10.6)</w:t>
            </w:r>
          </w:p>
        </w:tc>
      </w:tr>
      <w:tr w:rsidR="00533C78" w14:paraId="78DE50D7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23A58244" w14:textId="77777777" w:rsidR="00533C78" w:rsidRDefault="00533C78" w:rsidP="00533C78">
            <w:pPr>
              <w:spacing w:after="0" w:line="240" w:lineRule="auto"/>
              <w:ind w:left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Back pain</w:t>
            </w:r>
          </w:p>
        </w:tc>
        <w:tc>
          <w:tcPr>
            <w:tcW w:w="1728" w:type="dxa"/>
            <w:vAlign w:val="center"/>
          </w:tcPr>
          <w:p w14:paraId="1F83346F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(18.8)</w:t>
            </w:r>
          </w:p>
        </w:tc>
        <w:tc>
          <w:tcPr>
            <w:tcW w:w="1728" w:type="dxa"/>
            <w:vAlign w:val="center"/>
          </w:tcPr>
          <w:p w14:paraId="077F55FA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(9.1)</w:t>
            </w:r>
          </w:p>
        </w:tc>
        <w:tc>
          <w:tcPr>
            <w:tcW w:w="1728" w:type="dxa"/>
            <w:vAlign w:val="center"/>
          </w:tcPr>
          <w:p w14:paraId="3B120E85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3EC3CEB8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(8.5)</w:t>
            </w:r>
          </w:p>
        </w:tc>
      </w:tr>
      <w:tr w:rsidR="00533C78" w14:paraId="0D964FC5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03D04CCF" w14:textId="77777777" w:rsidR="00533C78" w:rsidRDefault="00533C78" w:rsidP="00533C78">
            <w:pPr>
              <w:spacing w:after="0" w:line="240" w:lineRule="auto"/>
              <w:ind w:left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Hypotension</w:t>
            </w:r>
          </w:p>
        </w:tc>
        <w:tc>
          <w:tcPr>
            <w:tcW w:w="1728" w:type="dxa"/>
            <w:vAlign w:val="center"/>
          </w:tcPr>
          <w:p w14:paraId="691F48AF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(6.3)</w:t>
            </w:r>
          </w:p>
        </w:tc>
        <w:tc>
          <w:tcPr>
            <w:tcW w:w="1728" w:type="dxa"/>
            <w:vAlign w:val="center"/>
          </w:tcPr>
          <w:p w14:paraId="70345736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(9.1)</w:t>
            </w:r>
          </w:p>
        </w:tc>
        <w:tc>
          <w:tcPr>
            <w:tcW w:w="1728" w:type="dxa"/>
            <w:vAlign w:val="center"/>
          </w:tcPr>
          <w:p w14:paraId="23029334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(10.0)</w:t>
            </w:r>
          </w:p>
        </w:tc>
        <w:tc>
          <w:tcPr>
            <w:tcW w:w="1728" w:type="dxa"/>
            <w:vAlign w:val="center"/>
          </w:tcPr>
          <w:p w14:paraId="34D5EA9D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(8.5)</w:t>
            </w:r>
          </w:p>
        </w:tc>
      </w:tr>
      <w:tr w:rsidR="00533C78" w14:paraId="748D48CE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5A7EFE06" w14:textId="77777777" w:rsidR="00533C78" w:rsidRDefault="00533C78" w:rsidP="00533C78">
            <w:pPr>
              <w:spacing w:after="0" w:line="240" w:lineRule="auto"/>
              <w:ind w:left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Sinus tachycardia</w:t>
            </w:r>
          </w:p>
        </w:tc>
        <w:tc>
          <w:tcPr>
            <w:tcW w:w="1728" w:type="dxa"/>
            <w:vAlign w:val="center"/>
          </w:tcPr>
          <w:p w14:paraId="54E414A1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(12.5)</w:t>
            </w:r>
          </w:p>
        </w:tc>
        <w:tc>
          <w:tcPr>
            <w:tcW w:w="1728" w:type="dxa"/>
            <w:vAlign w:val="center"/>
          </w:tcPr>
          <w:p w14:paraId="4CF84645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(9.1)</w:t>
            </w:r>
          </w:p>
        </w:tc>
        <w:tc>
          <w:tcPr>
            <w:tcW w:w="1728" w:type="dxa"/>
            <w:vAlign w:val="center"/>
          </w:tcPr>
          <w:p w14:paraId="6BACA07A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(5.0)</w:t>
            </w:r>
          </w:p>
        </w:tc>
        <w:tc>
          <w:tcPr>
            <w:tcW w:w="1728" w:type="dxa"/>
            <w:vAlign w:val="center"/>
          </w:tcPr>
          <w:p w14:paraId="5895593C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(8.5)</w:t>
            </w:r>
          </w:p>
        </w:tc>
      </w:tr>
      <w:tr w:rsidR="00533C78" w14:paraId="2D980D2E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6B2F0A42" w14:textId="77777777" w:rsidR="00533C78" w:rsidRDefault="00533C78" w:rsidP="00533C78">
            <w:pPr>
              <w:spacing w:after="0" w:line="240" w:lineRule="auto"/>
              <w:ind w:left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Vomiting</w:t>
            </w:r>
          </w:p>
        </w:tc>
        <w:tc>
          <w:tcPr>
            <w:tcW w:w="1728" w:type="dxa"/>
            <w:vAlign w:val="center"/>
          </w:tcPr>
          <w:p w14:paraId="06A976E6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(6.3)</w:t>
            </w:r>
          </w:p>
        </w:tc>
        <w:tc>
          <w:tcPr>
            <w:tcW w:w="1728" w:type="dxa"/>
            <w:vAlign w:val="center"/>
          </w:tcPr>
          <w:p w14:paraId="2E42FED7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(18.2)</w:t>
            </w:r>
          </w:p>
        </w:tc>
        <w:tc>
          <w:tcPr>
            <w:tcW w:w="1728" w:type="dxa"/>
            <w:vAlign w:val="center"/>
          </w:tcPr>
          <w:p w14:paraId="5B375B2A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(5.0)</w:t>
            </w:r>
          </w:p>
        </w:tc>
        <w:tc>
          <w:tcPr>
            <w:tcW w:w="1728" w:type="dxa"/>
            <w:vAlign w:val="center"/>
          </w:tcPr>
          <w:p w14:paraId="75B14B06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(8.5)</w:t>
            </w:r>
          </w:p>
        </w:tc>
      </w:tr>
      <w:tr w:rsidR="00533C78" w14:paraId="76C9DCEC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3D3E7C0C" w14:textId="77777777" w:rsidR="00533C78" w:rsidRDefault="00533C78" w:rsidP="00533C78">
            <w:pPr>
              <w:spacing w:after="0" w:line="240" w:lineRule="auto"/>
              <w:ind w:left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Abdominal pain</w:t>
            </w:r>
          </w:p>
        </w:tc>
        <w:tc>
          <w:tcPr>
            <w:tcW w:w="1728" w:type="dxa"/>
            <w:vAlign w:val="center"/>
          </w:tcPr>
          <w:p w14:paraId="2129A623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(12.5)</w:t>
            </w:r>
          </w:p>
        </w:tc>
        <w:tc>
          <w:tcPr>
            <w:tcW w:w="1728" w:type="dxa"/>
            <w:vAlign w:val="center"/>
          </w:tcPr>
          <w:p w14:paraId="55D75505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(9.1)</w:t>
            </w:r>
          </w:p>
        </w:tc>
        <w:tc>
          <w:tcPr>
            <w:tcW w:w="1728" w:type="dxa"/>
            <w:vAlign w:val="center"/>
          </w:tcPr>
          <w:p w14:paraId="40E58585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40401DF3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(6.4)</w:t>
            </w:r>
          </w:p>
        </w:tc>
      </w:tr>
      <w:tr w:rsidR="00533C78" w14:paraId="2D81B5EC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392D4E49" w14:textId="77777777" w:rsidR="00533C78" w:rsidRDefault="00533C78" w:rsidP="00533C78">
            <w:pPr>
              <w:spacing w:after="0" w:line="240" w:lineRule="auto"/>
              <w:ind w:left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Bacteremia</w:t>
            </w:r>
          </w:p>
        </w:tc>
        <w:tc>
          <w:tcPr>
            <w:tcW w:w="1728" w:type="dxa"/>
            <w:vAlign w:val="center"/>
          </w:tcPr>
          <w:p w14:paraId="1A210670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0000A7D8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(18.2)</w:t>
            </w:r>
          </w:p>
        </w:tc>
        <w:tc>
          <w:tcPr>
            <w:tcW w:w="1728" w:type="dxa"/>
            <w:vAlign w:val="center"/>
          </w:tcPr>
          <w:p w14:paraId="3433C2F1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(5.0)</w:t>
            </w:r>
          </w:p>
        </w:tc>
        <w:tc>
          <w:tcPr>
            <w:tcW w:w="1728" w:type="dxa"/>
            <w:vAlign w:val="center"/>
          </w:tcPr>
          <w:p w14:paraId="40CA573E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(6.4)</w:t>
            </w:r>
          </w:p>
        </w:tc>
      </w:tr>
      <w:tr w:rsidR="00533C78" w14:paraId="7C14B4DD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642CF4C0" w14:textId="77777777" w:rsidR="00533C78" w:rsidRDefault="00533C78" w:rsidP="00533C78">
            <w:pPr>
              <w:spacing w:after="0" w:line="240" w:lineRule="auto"/>
              <w:ind w:left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Bone pain</w:t>
            </w:r>
          </w:p>
        </w:tc>
        <w:tc>
          <w:tcPr>
            <w:tcW w:w="1728" w:type="dxa"/>
            <w:vAlign w:val="center"/>
          </w:tcPr>
          <w:p w14:paraId="2BB657AC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(12.5)</w:t>
            </w:r>
          </w:p>
        </w:tc>
        <w:tc>
          <w:tcPr>
            <w:tcW w:w="1728" w:type="dxa"/>
            <w:vAlign w:val="center"/>
          </w:tcPr>
          <w:p w14:paraId="0D4E26DF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0A35F422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(5.0)</w:t>
            </w:r>
          </w:p>
        </w:tc>
        <w:tc>
          <w:tcPr>
            <w:tcW w:w="1728" w:type="dxa"/>
            <w:vAlign w:val="center"/>
          </w:tcPr>
          <w:p w14:paraId="52E37BE4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(6.4)</w:t>
            </w:r>
          </w:p>
        </w:tc>
      </w:tr>
      <w:tr w:rsidR="00533C78" w14:paraId="76383527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416B76B9" w14:textId="77777777" w:rsidR="00533C78" w:rsidRDefault="00533C78" w:rsidP="00533C78">
            <w:pPr>
              <w:spacing w:after="0" w:line="240" w:lineRule="auto"/>
              <w:ind w:left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Hypocalcemia</w:t>
            </w:r>
          </w:p>
        </w:tc>
        <w:tc>
          <w:tcPr>
            <w:tcW w:w="1728" w:type="dxa"/>
            <w:vAlign w:val="center"/>
          </w:tcPr>
          <w:p w14:paraId="52B67B89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(12.5)</w:t>
            </w:r>
          </w:p>
        </w:tc>
        <w:tc>
          <w:tcPr>
            <w:tcW w:w="1728" w:type="dxa"/>
            <w:vAlign w:val="center"/>
          </w:tcPr>
          <w:p w14:paraId="3DAE18ED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5AFF13FD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(5.0)</w:t>
            </w:r>
          </w:p>
        </w:tc>
        <w:tc>
          <w:tcPr>
            <w:tcW w:w="1728" w:type="dxa"/>
            <w:vAlign w:val="center"/>
          </w:tcPr>
          <w:p w14:paraId="06AEAD3A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(6.4)</w:t>
            </w:r>
          </w:p>
        </w:tc>
      </w:tr>
      <w:tr w:rsidR="00533C78" w14:paraId="273F483B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655C0404" w14:textId="77777777" w:rsidR="00533C78" w:rsidRDefault="00533C78" w:rsidP="00533C78">
            <w:pPr>
              <w:spacing w:after="0" w:line="240" w:lineRule="auto"/>
              <w:ind w:left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Respiratory failure</w:t>
            </w:r>
          </w:p>
        </w:tc>
        <w:tc>
          <w:tcPr>
            <w:tcW w:w="1728" w:type="dxa"/>
            <w:vAlign w:val="center"/>
          </w:tcPr>
          <w:p w14:paraId="1612E832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(18.8)</w:t>
            </w:r>
          </w:p>
        </w:tc>
        <w:tc>
          <w:tcPr>
            <w:tcW w:w="1728" w:type="dxa"/>
            <w:vAlign w:val="center"/>
          </w:tcPr>
          <w:p w14:paraId="6E62785D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52B07C73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57A31A92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(6.4)</w:t>
            </w:r>
          </w:p>
        </w:tc>
      </w:tr>
      <w:tr w:rsidR="00533C78" w14:paraId="6EF03298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41C2B635" w14:textId="77777777" w:rsidR="00533C78" w:rsidRDefault="00533C78" w:rsidP="00533C78">
            <w:pPr>
              <w:spacing w:after="0" w:line="240" w:lineRule="auto"/>
              <w:ind w:left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Dyspnea</w:t>
            </w:r>
          </w:p>
        </w:tc>
        <w:tc>
          <w:tcPr>
            <w:tcW w:w="1728" w:type="dxa"/>
            <w:vAlign w:val="center"/>
          </w:tcPr>
          <w:p w14:paraId="65D4E0A0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(12.5)</w:t>
            </w:r>
          </w:p>
        </w:tc>
        <w:tc>
          <w:tcPr>
            <w:tcW w:w="1728" w:type="dxa"/>
            <w:vAlign w:val="center"/>
          </w:tcPr>
          <w:p w14:paraId="32BA3E01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2DE98B13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73892227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(4.3)</w:t>
            </w:r>
          </w:p>
        </w:tc>
      </w:tr>
      <w:tr w:rsidR="00533C78" w14:paraId="14634C54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0FD1D7F3" w14:textId="77777777" w:rsidR="00533C78" w:rsidRDefault="00533C78" w:rsidP="00533C78">
            <w:pPr>
              <w:spacing w:after="0" w:line="240" w:lineRule="auto"/>
              <w:ind w:left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Muscular weakness</w:t>
            </w:r>
          </w:p>
        </w:tc>
        <w:tc>
          <w:tcPr>
            <w:tcW w:w="1728" w:type="dxa"/>
            <w:vAlign w:val="center"/>
          </w:tcPr>
          <w:p w14:paraId="005639F5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06FA13B8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42D337A9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(10.0)</w:t>
            </w:r>
          </w:p>
        </w:tc>
        <w:tc>
          <w:tcPr>
            <w:tcW w:w="1728" w:type="dxa"/>
            <w:vAlign w:val="center"/>
          </w:tcPr>
          <w:p w14:paraId="3C0B30FE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(4.3)</w:t>
            </w:r>
          </w:p>
        </w:tc>
      </w:tr>
      <w:tr w:rsidR="00533C78" w14:paraId="58E548A8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4073F401" w14:textId="77777777" w:rsidR="00533C78" w:rsidRDefault="00533C78" w:rsidP="00533C78">
            <w:pPr>
              <w:spacing w:after="0" w:line="240" w:lineRule="auto"/>
              <w:ind w:left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Noncardiac chest pain</w:t>
            </w:r>
          </w:p>
        </w:tc>
        <w:tc>
          <w:tcPr>
            <w:tcW w:w="1728" w:type="dxa"/>
            <w:vAlign w:val="center"/>
          </w:tcPr>
          <w:p w14:paraId="3B649AC3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(12.5)</w:t>
            </w:r>
          </w:p>
        </w:tc>
        <w:tc>
          <w:tcPr>
            <w:tcW w:w="1728" w:type="dxa"/>
            <w:vAlign w:val="center"/>
          </w:tcPr>
          <w:p w14:paraId="1D9200DC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0537BF7B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46B99711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(4.3)</w:t>
            </w:r>
          </w:p>
        </w:tc>
      </w:tr>
      <w:tr w:rsidR="00533C78" w14:paraId="23AE8198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6F213AEE" w14:textId="77777777" w:rsidR="00533C78" w:rsidRDefault="00533C78" w:rsidP="00533C78">
            <w:pPr>
              <w:spacing w:after="0" w:line="240" w:lineRule="auto"/>
              <w:ind w:left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Pain</w:t>
            </w:r>
          </w:p>
        </w:tc>
        <w:tc>
          <w:tcPr>
            <w:tcW w:w="1728" w:type="dxa"/>
            <w:vAlign w:val="center"/>
          </w:tcPr>
          <w:p w14:paraId="68DEBDDC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(12.5)</w:t>
            </w:r>
          </w:p>
        </w:tc>
        <w:tc>
          <w:tcPr>
            <w:tcW w:w="1728" w:type="dxa"/>
            <w:vAlign w:val="center"/>
          </w:tcPr>
          <w:p w14:paraId="4426956F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173FAE79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0115280F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(4.3)</w:t>
            </w:r>
          </w:p>
        </w:tc>
      </w:tr>
      <w:tr w:rsidR="00533C78" w14:paraId="2A2CB275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78AE7C42" w14:textId="77777777" w:rsidR="00533C78" w:rsidRDefault="00533C78" w:rsidP="00533C78">
            <w:pPr>
              <w:spacing w:after="0" w:line="240" w:lineRule="auto"/>
              <w:ind w:left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Pulmonary embolism</w:t>
            </w:r>
          </w:p>
        </w:tc>
        <w:tc>
          <w:tcPr>
            <w:tcW w:w="1728" w:type="dxa"/>
            <w:vAlign w:val="center"/>
          </w:tcPr>
          <w:p w14:paraId="58E1E5BA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(12.5)</w:t>
            </w:r>
          </w:p>
        </w:tc>
        <w:tc>
          <w:tcPr>
            <w:tcW w:w="1728" w:type="dxa"/>
            <w:vAlign w:val="center"/>
          </w:tcPr>
          <w:p w14:paraId="6D36E875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6E80D32D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5F325D28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(4.3)</w:t>
            </w:r>
          </w:p>
        </w:tc>
      </w:tr>
      <w:tr w:rsidR="00533C78" w14:paraId="3624FD9C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0FC6EDB3" w14:textId="77777777" w:rsidR="00533C78" w:rsidRDefault="00533C78" w:rsidP="00533C78">
            <w:pPr>
              <w:spacing w:after="0" w:line="240" w:lineRule="auto"/>
              <w:ind w:left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Respiratory distress</w:t>
            </w:r>
          </w:p>
        </w:tc>
        <w:tc>
          <w:tcPr>
            <w:tcW w:w="1728" w:type="dxa"/>
            <w:vAlign w:val="center"/>
          </w:tcPr>
          <w:p w14:paraId="5D99B289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6C6308AF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2E511664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(10.0)</w:t>
            </w:r>
          </w:p>
        </w:tc>
        <w:tc>
          <w:tcPr>
            <w:tcW w:w="1728" w:type="dxa"/>
            <w:vAlign w:val="center"/>
          </w:tcPr>
          <w:p w14:paraId="77D4B4B2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(4.3)</w:t>
            </w:r>
          </w:p>
        </w:tc>
      </w:tr>
      <w:tr w:rsidR="00533C78" w14:paraId="2DBA15EF" w14:textId="77777777" w:rsidTr="00F14596">
        <w:trPr>
          <w:trHeight w:val="288"/>
        </w:trPr>
        <w:tc>
          <w:tcPr>
            <w:tcW w:w="3456" w:type="dxa"/>
            <w:vAlign w:val="center"/>
          </w:tcPr>
          <w:p w14:paraId="442227B5" w14:textId="77777777" w:rsidR="00533C78" w:rsidRDefault="00533C78" w:rsidP="00533C78">
            <w:pPr>
              <w:spacing w:after="0" w:line="240" w:lineRule="auto"/>
              <w:ind w:left="34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Vascular device infection</w:t>
            </w:r>
          </w:p>
        </w:tc>
        <w:tc>
          <w:tcPr>
            <w:tcW w:w="1728" w:type="dxa"/>
            <w:vAlign w:val="center"/>
          </w:tcPr>
          <w:p w14:paraId="6D5A2304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35FE4F9B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728" w:type="dxa"/>
            <w:vAlign w:val="center"/>
          </w:tcPr>
          <w:p w14:paraId="7840D096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(10.0)</w:t>
            </w:r>
          </w:p>
        </w:tc>
        <w:tc>
          <w:tcPr>
            <w:tcW w:w="1728" w:type="dxa"/>
            <w:vAlign w:val="center"/>
          </w:tcPr>
          <w:p w14:paraId="698EFE2E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(4.3)</w:t>
            </w:r>
          </w:p>
        </w:tc>
      </w:tr>
    </w:tbl>
    <w:bookmarkEnd w:id="1"/>
    <w:p w14:paraId="56E848E4" w14:textId="77777777" w:rsidR="00533C78" w:rsidRDefault="00533C78" w:rsidP="00533C7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Venetoclax with 25 mg navitoclax for patients ≥45 kg. </w:t>
      </w:r>
    </w:p>
    <w:p w14:paraId="28412F37" w14:textId="77777777" w:rsidR="00533C78" w:rsidRDefault="00533C78" w:rsidP="00533C7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b </w:t>
      </w:r>
      <w:r>
        <w:rPr>
          <w:rFonts w:ascii="Arial" w:hAnsi="Arial" w:cs="Arial"/>
          <w:sz w:val="20"/>
          <w:szCs w:val="20"/>
        </w:rPr>
        <w:t xml:space="preserve">Venetoclax with 50 mg navitoclax for patients ≥45 kg and 25 mg navitoclax for patients &lt;45 kg. </w:t>
      </w:r>
    </w:p>
    <w:p w14:paraId="67BD2965" w14:textId="77777777" w:rsidR="00533C78" w:rsidRDefault="00533C78" w:rsidP="00533C7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c </w:t>
      </w:r>
      <w:r>
        <w:rPr>
          <w:rFonts w:ascii="Arial" w:hAnsi="Arial" w:cs="Arial"/>
          <w:sz w:val="20"/>
          <w:szCs w:val="20"/>
        </w:rPr>
        <w:t xml:space="preserve">Venetoclax with 100 mg navitoclax for patients ≥45 kg and 50 mg navitoclax for patients &lt;45 kg. </w:t>
      </w:r>
    </w:p>
    <w:p w14:paraId="5EE9EE6B" w14:textId="77777777" w:rsidR="00533C78" w:rsidRDefault="00533C78" w:rsidP="00533C7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7F66AF">
        <w:rPr>
          <w:rFonts w:ascii="Arial" w:hAnsi="Arial" w:cs="Arial"/>
          <w:sz w:val="20"/>
          <w:szCs w:val="20"/>
          <w:vertAlign w:val="superscript"/>
        </w:rPr>
        <w:t>d</w:t>
      </w:r>
      <w:r w:rsidDel="006503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At the time of dose escalation assessment.</w:t>
      </w:r>
    </w:p>
    <w:p w14:paraId="4F6C59D5" w14:textId="77777777" w:rsidR="00533C78" w:rsidRPr="00EE45D9" w:rsidRDefault="00533C78" w:rsidP="00533C7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e</w:t>
      </w:r>
      <w:r w:rsidRPr="00EE45D9">
        <w:rPr>
          <w:rFonts w:ascii="Arial" w:hAnsi="Arial" w:cs="Arial"/>
          <w:sz w:val="20"/>
          <w:szCs w:val="20"/>
        </w:rPr>
        <w:t xml:space="preserve"> All DLTs are listed. For dose escalation purposes, DLTs were assessed in DLT evaluable patients (ie</w:t>
      </w:r>
      <w:r>
        <w:rPr>
          <w:rFonts w:ascii="Arial" w:hAnsi="Arial" w:cs="Arial"/>
          <w:sz w:val="20"/>
          <w:szCs w:val="20"/>
        </w:rPr>
        <w:t xml:space="preserve">, </w:t>
      </w:r>
      <w:r w:rsidRPr="00EE45D9">
        <w:rPr>
          <w:rFonts w:ascii="Arial" w:hAnsi="Arial" w:cs="Arial"/>
          <w:sz w:val="20"/>
          <w:szCs w:val="20"/>
        </w:rPr>
        <w:t xml:space="preserve">those who received </w:t>
      </w:r>
      <w:r>
        <w:rPr>
          <w:rFonts w:ascii="Arial" w:hAnsi="Arial" w:cs="Arial"/>
          <w:sz w:val="20"/>
          <w:szCs w:val="20"/>
        </w:rPr>
        <w:t>≥</w:t>
      </w:r>
      <w:r w:rsidRPr="00EE45D9">
        <w:rPr>
          <w:rFonts w:ascii="Arial" w:hAnsi="Arial" w:cs="Arial"/>
          <w:sz w:val="20"/>
          <w:szCs w:val="20"/>
        </w:rPr>
        <w:t xml:space="preserve">75% </w:t>
      </w:r>
      <w:r>
        <w:rPr>
          <w:rFonts w:ascii="Arial" w:hAnsi="Arial" w:cs="Arial"/>
          <w:sz w:val="20"/>
          <w:szCs w:val="20"/>
        </w:rPr>
        <w:t xml:space="preserve">of </w:t>
      </w:r>
      <w:r w:rsidRPr="00EE45D9">
        <w:rPr>
          <w:rFonts w:ascii="Arial" w:hAnsi="Arial" w:cs="Arial"/>
          <w:sz w:val="20"/>
          <w:szCs w:val="20"/>
        </w:rPr>
        <w:t>study drug administration during the first 28 days) by weight group.</w:t>
      </w:r>
      <w:r>
        <w:rPr>
          <w:rFonts w:ascii="Arial" w:hAnsi="Arial" w:cs="Arial"/>
          <w:sz w:val="20"/>
          <w:szCs w:val="20"/>
        </w:rPr>
        <w:t xml:space="preserve"> Percentages are based on the total number of patients in each dose level. </w:t>
      </w:r>
      <w:r w:rsidRPr="00EE45D9">
        <w:rPr>
          <w:rFonts w:ascii="Arial" w:hAnsi="Arial" w:cs="Arial"/>
          <w:sz w:val="20"/>
          <w:szCs w:val="20"/>
        </w:rPr>
        <w:t xml:space="preserve"> </w:t>
      </w:r>
    </w:p>
    <w:p w14:paraId="0ABF2DDA" w14:textId="77777777" w:rsidR="00533C78" w:rsidRPr="007F66AF" w:rsidRDefault="00533C78" w:rsidP="00533C7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f</w:t>
      </w:r>
      <w:r w:rsidRPr="007F66AF">
        <w:rPr>
          <w:rFonts w:ascii="Arial" w:hAnsi="Arial" w:cs="Arial"/>
          <w:sz w:val="20"/>
          <w:szCs w:val="20"/>
        </w:rPr>
        <w:t xml:space="preserve"> Includes adverse events of neutropenia, neutrophil count decreased, and pancytopenia that persisted. One additional DLT of delayed count recovery was </w:t>
      </w:r>
      <w:r>
        <w:rPr>
          <w:rFonts w:ascii="Arial" w:hAnsi="Arial" w:cs="Arial"/>
          <w:sz w:val="20"/>
          <w:szCs w:val="20"/>
        </w:rPr>
        <w:t xml:space="preserve">observed but was not collected as an AE (ie, </w:t>
      </w:r>
      <w:r w:rsidRPr="001538FF">
        <w:rPr>
          <w:rFonts w:ascii="Arial" w:hAnsi="Arial" w:cs="Arial"/>
          <w:sz w:val="20"/>
          <w:szCs w:val="20"/>
        </w:rPr>
        <w:t>grade 4 absolute neutrophil count persisting beyond</w:t>
      </w:r>
      <w:r>
        <w:rPr>
          <w:rFonts w:ascii="Arial" w:hAnsi="Arial" w:cs="Arial"/>
          <w:sz w:val="20"/>
          <w:szCs w:val="20"/>
        </w:rPr>
        <w:t xml:space="preserve"> day 50/week 8).</w:t>
      </w:r>
    </w:p>
    <w:p w14:paraId="634EC621" w14:textId="77777777" w:rsidR="00533C78" w:rsidRDefault="00533C78" w:rsidP="00533C7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77AA">
        <w:rPr>
          <w:rFonts w:ascii="Arial" w:hAnsi="Arial" w:cs="Arial"/>
          <w:sz w:val="20"/>
          <w:szCs w:val="20"/>
          <w:vertAlign w:val="superscript"/>
        </w:rPr>
        <w:t>g</w:t>
      </w:r>
      <w:r>
        <w:rPr>
          <w:rFonts w:ascii="Arial" w:hAnsi="Arial" w:cs="Arial"/>
          <w:sz w:val="20"/>
          <w:szCs w:val="20"/>
        </w:rPr>
        <w:t xml:space="preserve"> Event was considered a DLT due to prolonged cytopenia but was not captured as a DLT in the clinical database as of the data cutoff date.</w:t>
      </w:r>
    </w:p>
    <w:p w14:paraId="6013DA32" w14:textId="77777777" w:rsidR="00533C78" w:rsidRDefault="00533C78" w:rsidP="00533C7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h</w:t>
      </w:r>
      <w:r>
        <w:rPr>
          <w:rFonts w:ascii="Arial" w:hAnsi="Arial" w:cs="Arial"/>
          <w:sz w:val="20"/>
          <w:szCs w:val="20"/>
        </w:rPr>
        <w:t xml:space="preserve"> Both events were considered related to venetoclax. One patient also reported the intestinal ischemia event leading to study drug discontinuation. </w:t>
      </w:r>
    </w:p>
    <w:p w14:paraId="74A693D1" w14:textId="77777777" w:rsidR="00533C78" w:rsidRDefault="00533C78" w:rsidP="00533C7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i</w:t>
      </w:r>
      <w:r>
        <w:rPr>
          <w:rFonts w:ascii="Arial" w:hAnsi="Arial" w:cs="Arial"/>
          <w:sz w:val="20"/>
          <w:szCs w:val="20"/>
        </w:rPr>
        <w:t xml:space="preserve"> Considered related to venetoclax or navitoclax. </w:t>
      </w:r>
    </w:p>
    <w:p w14:paraId="3581A918" w14:textId="77777777" w:rsidR="00533C78" w:rsidRDefault="00533C78" w:rsidP="00533C7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j</w:t>
      </w:r>
      <w:r>
        <w:rPr>
          <w:rFonts w:ascii="Arial" w:hAnsi="Arial" w:cs="Arial"/>
          <w:sz w:val="20"/>
          <w:szCs w:val="20"/>
        </w:rPr>
        <w:t xml:space="preserve"> Reported in the same patient.</w:t>
      </w:r>
    </w:p>
    <w:p w14:paraId="4A40D469" w14:textId="77777777" w:rsidR="00533C78" w:rsidRDefault="00533C78" w:rsidP="00533C7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k</w:t>
      </w:r>
      <w:r>
        <w:rPr>
          <w:rFonts w:ascii="Arial" w:hAnsi="Arial" w:cs="Arial"/>
          <w:sz w:val="20"/>
          <w:szCs w:val="20"/>
        </w:rPr>
        <w:t xml:space="preserve"> </w:t>
      </w:r>
      <w:r w:rsidRPr="00274C89">
        <w:rPr>
          <w:rFonts w:ascii="Arial" w:hAnsi="Arial" w:cs="Arial"/>
          <w:sz w:val="20"/>
          <w:szCs w:val="20"/>
        </w:rPr>
        <w:t xml:space="preserve">Combined </w:t>
      </w:r>
      <w:r>
        <w:rPr>
          <w:rFonts w:ascii="Arial" w:hAnsi="Arial" w:cs="Arial"/>
          <w:sz w:val="20"/>
          <w:szCs w:val="20"/>
        </w:rPr>
        <w:t xml:space="preserve">preferred terms </w:t>
      </w:r>
      <w:r w:rsidRPr="00274C89">
        <w:rPr>
          <w:rFonts w:ascii="Arial" w:hAnsi="Arial" w:cs="Arial"/>
          <w:sz w:val="20"/>
          <w:szCs w:val="20"/>
        </w:rPr>
        <w:t>are presented for neutropenia (neutropenia and neutrophil count decreased)</w:t>
      </w:r>
      <w:r>
        <w:rPr>
          <w:rFonts w:ascii="Arial" w:hAnsi="Arial" w:cs="Arial"/>
          <w:sz w:val="20"/>
          <w:szCs w:val="20"/>
        </w:rPr>
        <w:t>,</w:t>
      </w:r>
      <w:r w:rsidRPr="00274C89">
        <w:rPr>
          <w:rFonts w:ascii="Arial" w:hAnsi="Arial" w:cs="Arial"/>
          <w:sz w:val="20"/>
          <w:szCs w:val="20"/>
        </w:rPr>
        <w:t xml:space="preserve"> thrombocytopenia (thrombocytopenia and platelet count decreased)</w:t>
      </w:r>
      <w:r>
        <w:rPr>
          <w:rFonts w:ascii="Arial" w:hAnsi="Arial" w:cs="Arial"/>
          <w:sz w:val="20"/>
          <w:szCs w:val="20"/>
        </w:rPr>
        <w:t>,</w:t>
      </w:r>
      <w:r w:rsidRPr="00274C89">
        <w:rPr>
          <w:rFonts w:ascii="Arial" w:hAnsi="Arial" w:cs="Arial"/>
          <w:sz w:val="20"/>
          <w:szCs w:val="20"/>
        </w:rPr>
        <w:t xml:space="preserve"> anemia (anemia and hemoglobin decreased)</w:t>
      </w:r>
      <w:r>
        <w:rPr>
          <w:rFonts w:ascii="Arial" w:hAnsi="Arial" w:cs="Arial"/>
          <w:sz w:val="20"/>
          <w:szCs w:val="20"/>
        </w:rPr>
        <w:t>, leukopenia (leukopenia and white blood cell count decreased), and hyperbilirubinemia (hyperbilirubinemia and blood bilirubin increased).</w:t>
      </w:r>
    </w:p>
    <w:p w14:paraId="3421A00E" w14:textId="77777777" w:rsidR="00533C78" w:rsidRPr="00382D3A" w:rsidRDefault="00533C78" w:rsidP="00533C7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C1F88">
        <w:rPr>
          <w:rFonts w:ascii="Arial" w:hAnsi="Arial" w:cs="Arial"/>
          <w:sz w:val="20"/>
          <w:szCs w:val="20"/>
        </w:rPr>
        <w:t xml:space="preserve">Abbreviations: </w:t>
      </w:r>
      <w:r>
        <w:rPr>
          <w:rFonts w:ascii="Arial" w:hAnsi="Arial" w:cs="Arial"/>
          <w:sz w:val="20"/>
          <w:szCs w:val="20"/>
        </w:rPr>
        <w:t>ALT, a</w:t>
      </w:r>
      <w:r w:rsidRPr="00D75FEB">
        <w:rPr>
          <w:rFonts w:ascii="Arial" w:hAnsi="Arial" w:cs="Arial"/>
          <w:sz w:val="20"/>
          <w:szCs w:val="20"/>
        </w:rPr>
        <w:t>lanine aminotransferase</w:t>
      </w:r>
      <w:r>
        <w:rPr>
          <w:rFonts w:ascii="Arial" w:hAnsi="Arial" w:cs="Arial"/>
          <w:sz w:val="20"/>
          <w:szCs w:val="20"/>
        </w:rPr>
        <w:t>;</w:t>
      </w:r>
      <w:r w:rsidRPr="00D75F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AST, a</w:t>
      </w:r>
      <w:r w:rsidRPr="00D75FEB">
        <w:rPr>
          <w:rFonts w:ascii="Arial" w:hAnsi="Arial" w:cs="Arial"/>
          <w:sz w:val="20"/>
          <w:szCs w:val="20"/>
        </w:rPr>
        <w:t>spartate aminotransferase</w:t>
      </w:r>
      <w:r>
        <w:rPr>
          <w:rFonts w:ascii="Arial" w:hAnsi="Arial" w:cs="Arial"/>
          <w:sz w:val="20"/>
          <w:szCs w:val="20"/>
        </w:rPr>
        <w:t>;</w:t>
      </w:r>
      <w:r w:rsidRPr="00D75FE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DLT, dose-limiting toxicity; TEAE, treatment-emergent adverse event.</w:t>
      </w:r>
    </w:p>
    <w:p w14:paraId="0905FFBF" w14:textId="77777777" w:rsidR="00533C78" w:rsidRDefault="00533C78" w:rsidP="00533C78">
      <w:pPr>
        <w:spacing w:after="0" w:line="240" w:lineRule="auto"/>
        <w:rPr>
          <w:rFonts w:ascii="Arial" w:hAnsi="Arial" w:cs="Arial"/>
          <w:b/>
          <w:bCs/>
        </w:rPr>
        <w:sectPr w:rsidR="00533C78" w:rsidSect="00533C7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2" w:name="_Hlk36105790"/>
    </w:p>
    <w:bookmarkEnd w:id="2"/>
    <w:p w14:paraId="463100E0" w14:textId="77777777" w:rsidR="00533C78" w:rsidRPr="0034145B" w:rsidRDefault="00533C78" w:rsidP="00533C78">
      <w:pPr>
        <w:pStyle w:val="CommentText"/>
        <w:rPr>
          <w:rFonts w:ascii="Arial" w:hAnsi="Arial" w:cs="Arial"/>
          <w:sz w:val="22"/>
          <w:szCs w:val="22"/>
        </w:rPr>
      </w:pPr>
      <w:r w:rsidRPr="0034145B">
        <w:rPr>
          <w:rFonts w:ascii="Arial" w:hAnsi="Arial" w:cs="Arial"/>
          <w:b/>
          <w:bCs/>
          <w:sz w:val="22"/>
          <w:szCs w:val="22"/>
        </w:rPr>
        <w:lastRenderedPageBreak/>
        <w:t>Supplementary Table S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34145B">
        <w:rPr>
          <w:rFonts w:ascii="Arial" w:hAnsi="Arial" w:cs="Arial"/>
          <w:b/>
          <w:bCs/>
          <w:sz w:val="22"/>
          <w:szCs w:val="22"/>
        </w:rPr>
        <w:t xml:space="preserve">. </w:t>
      </w:r>
      <w:r w:rsidRPr="0034145B">
        <w:rPr>
          <w:rFonts w:ascii="Arial" w:hAnsi="Arial" w:cs="Arial"/>
          <w:sz w:val="22"/>
          <w:szCs w:val="22"/>
        </w:rPr>
        <w:t>Summary of platelet and neutrophil counts by dose level</w:t>
      </w:r>
    </w:p>
    <w:tbl>
      <w:tblPr>
        <w:tblStyle w:val="TableGrid"/>
        <w:tblW w:w="13968" w:type="dxa"/>
        <w:tblLook w:val="04A0" w:firstRow="1" w:lastRow="0" w:firstColumn="1" w:lastColumn="0" w:noHBand="0" w:noVBand="1"/>
      </w:tblPr>
      <w:tblGrid>
        <w:gridCol w:w="6480"/>
        <w:gridCol w:w="1872"/>
        <w:gridCol w:w="1872"/>
        <w:gridCol w:w="1872"/>
        <w:gridCol w:w="1872"/>
      </w:tblGrid>
      <w:tr w:rsidR="00533C78" w:rsidRPr="00603E11" w14:paraId="18CD0563" w14:textId="77777777" w:rsidTr="00F14596">
        <w:trPr>
          <w:trHeight w:val="288"/>
        </w:trPr>
        <w:tc>
          <w:tcPr>
            <w:tcW w:w="6480" w:type="dxa"/>
            <w:vAlign w:val="center"/>
          </w:tcPr>
          <w:p w14:paraId="60FB7DF2" w14:textId="77777777" w:rsidR="00533C78" w:rsidRPr="000C3341" w:rsidRDefault="00533C78" w:rsidP="00533C78">
            <w:pPr>
              <w:tabs>
                <w:tab w:val="left" w:pos="1108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  <w:bookmarkStart w:id="3" w:name="_Hlk45011679"/>
            <w:r w:rsidRPr="000C3341">
              <w:rPr>
                <w:rFonts w:ascii="Arial" w:hAnsi="Arial" w:cs="Arial"/>
                <w:b/>
                <w:bCs/>
              </w:rPr>
              <w:t>n (%)</w:t>
            </w:r>
          </w:p>
        </w:tc>
        <w:tc>
          <w:tcPr>
            <w:tcW w:w="1872" w:type="dxa"/>
            <w:vAlign w:val="center"/>
          </w:tcPr>
          <w:p w14:paraId="2B1B8E53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C3341">
              <w:rPr>
                <w:rFonts w:ascii="Arial" w:hAnsi="Arial" w:cs="Arial"/>
                <w:b/>
                <w:bCs/>
              </w:rPr>
              <w:t>Dose level 1</w:t>
            </w:r>
            <w:r w:rsidRPr="000C3341">
              <w:rPr>
                <w:rFonts w:ascii="Arial" w:hAnsi="Arial" w:cs="Arial"/>
                <w:b/>
                <w:bCs/>
                <w:vertAlign w:val="superscript"/>
              </w:rPr>
              <w:t>a</w:t>
            </w:r>
          </w:p>
          <w:p w14:paraId="5B2FBEB9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C3341">
              <w:rPr>
                <w:rFonts w:ascii="Arial" w:hAnsi="Arial" w:cs="Arial"/>
                <w:b/>
                <w:bCs/>
              </w:rPr>
              <w:t>(n = 16)</w:t>
            </w:r>
          </w:p>
        </w:tc>
        <w:tc>
          <w:tcPr>
            <w:tcW w:w="1872" w:type="dxa"/>
            <w:vAlign w:val="center"/>
          </w:tcPr>
          <w:p w14:paraId="51B49E5D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C3341">
              <w:rPr>
                <w:rFonts w:ascii="Arial" w:hAnsi="Arial" w:cs="Arial"/>
                <w:b/>
                <w:bCs/>
              </w:rPr>
              <w:t>Dose level 2</w:t>
            </w:r>
            <w:r w:rsidRPr="000C3341">
              <w:rPr>
                <w:rFonts w:ascii="Arial" w:hAnsi="Arial" w:cs="Arial"/>
                <w:b/>
                <w:bCs/>
                <w:vertAlign w:val="superscript"/>
              </w:rPr>
              <w:t>b</w:t>
            </w:r>
          </w:p>
          <w:p w14:paraId="192C49DA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C3341">
              <w:rPr>
                <w:rFonts w:ascii="Arial" w:hAnsi="Arial" w:cs="Arial"/>
                <w:b/>
                <w:bCs/>
              </w:rPr>
              <w:t>(n = 11)</w:t>
            </w:r>
          </w:p>
        </w:tc>
        <w:tc>
          <w:tcPr>
            <w:tcW w:w="1872" w:type="dxa"/>
            <w:vAlign w:val="center"/>
          </w:tcPr>
          <w:p w14:paraId="5319F188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C3341">
              <w:rPr>
                <w:rFonts w:ascii="Arial" w:hAnsi="Arial" w:cs="Arial"/>
                <w:b/>
                <w:bCs/>
              </w:rPr>
              <w:t>Dose level 3</w:t>
            </w:r>
            <w:r w:rsidRPr="000C3341">
              <w:rPr>
                <w:rFonts w:ascii="Arial" w:hAnsi="Arial" w:cs="Arial"/>
                <w:b/>
                <w:bCs/>
                <w:vertAlign w:val="superscript"/>
              </w:rPr>
              <w:t>c</w:t>
            </w:r>
          </w:p>
          <w:p w14:paraId="2553D73C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C3341">
              <w:rPr>
                <w:rFonts w:ascii="Arial" w:hAnsi="Arial" w:cs="Arial"/>
                <w:b/>
                <w:bCs/>
              </w:rPr>
              <w:t>(n = 20)</w:t>
            </w:r>
          </w:p>
        </w:tc>
        <w:tc>
          <w:tcPr>
            <w:tcW w:w="1872" w:type="dxa"/>
            <w:vAlign w:val="center"/>
          </w:tcPr>
          <w:p w14:paraId="1C74D0B2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C3341">
              <w:rPr>
                <w:rFonts w:ascii="Arial" w:hAnsi="Arial" w:cs="Arial"/>
                <w:b/>
                <w:bCs/>
              </w:rPr>
              <w:t>All patients</w:t>
            </w:r>
          </w:p>
          <w:p w14:paraId="48770379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0C3341">
              <w:rPr>
                <w:rFonts w:ascii="Arial" w:hAnsi="Arial" w:cs="Arial"/>
                <w:b/>
                <w:bCs/>
              </w:rPr>
              <w:t>(N = 47)</w:t>
            </w:r>
          </w:p>
        </w:tc>
      </w:tr>
      <w:tr w:rsidR="00533C78" w14:paraId="7B994284" w14:textId="77777777" w:rsidTr="00F14596">
        <w:trPr>
          <w:trHeight w:val="288"/>
        </w:trPr>
        <w:tc>
          <w:tcPr>
            <w:tcW w:w="6480" w:type="dxa"/>
            <w:vAlign w:val="center"/>
          </w:tcPr>
          <w:p w14:paraId="0C5464EF" w14:textId="77777777" w:rsidR="00533C78" w:rsidRPr="000C3341" w:rsidRDefault="00533C78" w:rsidP="00533C7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C3341">
              <w:rPr>
                <w:rFonts w:ascii="Arial" w:hAnsi="Arial" w:cs="Arial"/>
                <w:b/>
                <w:bCs/>
              </w:rPr>
              <w:t>Platelets</w:t>
            </w:r>
          </w:p>
        </w:tc>
        <w:tc>
          <w:tcPr>
            <w:tcW w:w="1872" w:type="dxa"/>
            <w:vAlign w:val="center"/>
          </w:tcPr>
          <w:p w14:paraId="1CB0E09F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vAlign w:val="center"/>
          </w:tcPr>
          <w:p w14:paraId="48A5E54A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vAlign w:val="center"/>
          </w:tcPr>
          <w:p w14:paraId="1F5A2432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vAlign w:val="center"/>
          </w:tcPr>
          <w:p w14:paraId="602B639C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C78" w14:paraId="7D198877" w14:textId="77777777" w:rsidTr="00F14596">
        <w:trPr>
          <w:trHeight w:val="288"/>
        </w:trPr>
        <w:tc>
          <w:tcPr>
            <w:tcW w:w="6480" w:type="dxa"/>
            <w:vAlign w:val="center"/>
          </w:tcPr>
          <w:p w14:paraId="4199C2E8" w14:textId="77777777" w:rsidR="00533C78" w:rsidRPr="000C3341" w:rsidRDefault="00533C78" w:rsidP="00533C78">
            <w:pPr>
              <w:spacing w:after="0" w:line="240" w:lineRule="auto"/>
              <w:ind w:left="216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Baseline</w:t>
            </w:r>
          </w:p>
        </w:tc>
        <w:tc>
          <w:tcPr>
            <w:tcW w:w="1872" w:type="dxa"/>
            <w:vAlign w:val="center"/>
          </w:tcPr>
          <w:p w14:paraId="42D708FC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vAlign w:val="center"/>
          </w:tcPr>
          <w:p w14:paraId="4E80890F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vAlign w:val="center"/>
          </w:tcPr>
          <w:p w14:paraId="3416D24D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vAlign w:val="center"/>
          </w:tcPr>
          <w:p w14:paraId="6A8EA33F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C78" w14:paraId="7FA5784F" w14:textId="77777777" w:rsidTr="00F14596">
        <w:trPr>
          <w:trHeight w:val="288"/>
        </w:trPr>
        <w:tc>
          <w:tcPr>
            <w:tcW w:w="6480" w:type="dxa"/>
            <w:vAlign w:val="center"/>
          </w:tcPr>
          <w:p w14:paraId="5795429A" w14:textId="77777777" w:rsidR="00533C78" w:rsidRPr="000C3341" w:rsidRDefault="00533C78" w:rsidP="00533C78">
            <w:pPr>
              <w:spacing w:after="0" w:line="240" w:lineRule="auto"/>
              <w:ind w:left="432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 xml:space="preserve">Grade 3/4 </w:t>
            </w:r>
          </w:p>
        </w:tc>
        <w:tc>
          <w:tcPr>
            <w:tcW w:w="1872" w:type="dxa"/>
            <w:vAlign w:val="center"/>
          </w:tcPr>
          <w:p w14:paraId="1428F413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9 (56.3)</w:t>
            </w:r>
          </w:p>
        </w:tc>
        <w:tc>
          <w:tcPr>
            <w:tcW w:w="1872" w:type="dxa"/>
            <w:vAlign w:val="center"/>
          </w:tcPr>
          <w:p w14:paraId="0228467C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3 (27.3)</w:t>
            </w:r>
          </w:p>
        </w:tc>
        <w:tc>
          <w:tcPr>
            <w:tcW w:w="1872" w:type="dxa"/>
            <w:vAlign w:val="center"/>
          </w:tcPr>
          <w:p w14:paraId="5E24C4C2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8 (40.0)</w:t>
            </w:r>
          </w:p>
        </w:tc>
        <w:tc>
          <w:tcPr>
            <w:tcW w:w="1872" w:type="dxa"/>
            <w:vAlign w:val="center"/>
          </w:tcPr>
          <w:p w14:paraId="439D2BC8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20 (42.6)</w:t>
            </w:r>
          </w:p>
        </w:tc>
      </w:tr>
      <w:tr w:rsidR="00533C78" w14:paraId="012E7314" w14:textId="77777777" w:rsidTr="00F14596">
        <w:trPr>
          <w:trHeight w:val="288"/>
        </w:trPr>
        <w:tc>
          <w:tcPr>
            <w:tcW w:w="6480" w:type="dxa"/>
            <w:vAlign w:val="center"/>
          </w:tcPr>
          <w:p w14:paraId="0A057B0B" w14:textId="77777777" w:rsidR="00533C78" w:rsidRPr="000C3341" w:rsidRDefault="00533C78" w:rsidP="00533C78">
            <w:pPr>
              <w:spacing w:after="0" w:line="240" w:lineRule="auto"/>
              <w:ind w:left="216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On study</w:t>
            </w:r>
          </w:p>
        </w:tc>
        <w:tc>
          <w:tcPr>
            <w:tcW w:w="1872" w:type="dxa"/>
            <w:vAlign w:val="center"/>
          </w:tcPr>
          <w:p w14:paraId="0F4E10B8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vAlign w:val="center"/>
          </w:tcPr>
          <w:p w14:paraId="40E40D67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vAlign w:val="center"/>
          </w:tcPr>
          <w:p w14:paraId="07E308DB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vAlign w:val="center"/>
          </w:tcPr>
          <w:p w14:paraId="2BD76445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C78" w14:paraId="13CC6DA6" w14:textId="77777777" w:rsidTr="00F14596">
        <w:trPr>
          <w:trHeight w:val="288"/>
        </w:trPr>
        <w:tc>
          <w:tcPr>
            <w:tcW w:w="6480" w:type="dxa"/>
            <w:vAlign w:val="center"/>
          </w:tcPr>
          <w:p w14:paraId="6E0168BB" w14:textId="77777777" w:rsidR="00533C78" w:rsidRPr="000C3341" w:rsidRDefault="00533C78" w:rsidP="00533C78">
            <w:pPr>
              <w:spacing w:after="0" w:line="240" w:lineRule="auto"/>
              <w:ind w:left="432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Grade 3/4</w:t>
            </w:r>
          </w:p>
        </w:tc>
        <w:tc>
          <w:tcPr>
            <w:tcW w:w="1872" w:type="dxa"/>
            <w:vAlign w:val="center"/>
          </w:tcPr>
          <w:p w14:paraId="471BBD0E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15 (93.8)</w:t>
            </w:r>
          </w:p>
        </w:tc>
        <w:tc>
          <w:tcPr>
            <w:tcW w:w="1872" w:type="dxa"/>
            <w:vAlign w:val="center"/>
          </w:tcPr>
          <w:p w14:paraId="0E308F7D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7 (63.6)</w:t>
            </w:r>
          </w:p>
        </w:tc>
        <w:tc>
          <w:tcPr>
            <w:tcW w:w="1872" w:type="dxa"/>
            <w:vAlign w:val="center"/>
          </w:tcPr>
          <w:p w14:paraId="77FD7A3C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18 (90.0)</w:t>
            </w:r>
          </w:p>
        </w:tc>
        <w:tc>
          <w:tcPr>
            <w:tcW w:w="1872" w:type="dxa"/>
            <w:vAlign w:val="center"/>
          </w:tcPr>
          <w:p w14:paraId="5247491B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40 (85.1)</w:t>
            </w:r>
          </w:p>
        </w:tc>
      </w:tr>
      <w:tr w:rsidR="00533C78" w14:paraId="1CEC58A3" w14:textId="77777777" w:rsidTr="00F14596">
        <w:trPr>
          <w:trHeight w:val="288"/>
        </w:trPr>
        <w:tc>
          <w:tcPr>
            <w:tcW w:w="6480" w:type="dxa"/>
            <w:vAlign w:val="center"/>
          </w:tcPr>
          <w:p w14:paraId="24972ECE" w14:textId="77777777" w:rsidR="00533C78" w:rsidRPr="000C3341" w:rsidRDefault="00533C78" w:rsidP="00533C78">
            <w:pPr>
              <w:spacing w:after="0" w:line="240" w:lineRule="auto"/>
              <w:ind w:left="432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Upward shift from grade ≤2 at baseline to grade 3/4</w:t>
            </w:r>
          </w:p>
        </w:tc>
        <w:tc>
          <w:tcPr>
            <w:tcW w:w="1872" w:type="dxa"/>
            <w:vAlign w:val="center"/>
          </w:tcPr>
          <w:p w14:paraId="56EB62D6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6/7 (85.7)</w:t>
            </w:r>
          </w:p>
        </w:tc>
        <w:tc>
          <w:tcPr>
            <w:tcW w:w="1872" w:type="dxa"/>
            <w:vAlign w:val="center"/>
          </w:tcPr>
          <w:p w14:paraId="1F3B88F5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4/8 (50.0)</w:t>
            </w:r>
          </w:p>
        </w:tc>
        <w:tc>
          <w:tcPr>
            <w:tcW w:w="1872" w:type="dxa"/>
            <w:vAlign w:val="center"/>
          </w:tcPr>
          <w:p w14:paraId="4A01D0FB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7/8 (87.5)</w:t>
            </w:r>
          </w:p>
        </w:tc>
        <w:tc>
          <w:tcPr>
            <w:tcW w:w="1872" w:type="dxa"/>
            <w:vAlign w:val="center"/>
          </w:tcPr>
          <w:p w14:paraId="42BB0CF1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17/23 (73.9)</w:t>
            </w:r>
          </w:p>
        </w:tc>
      </w:tr>
      <w:tr w:rsidR="00533C78" w14:paraId="2D48F7D3" w14:textId="77777777" w:rsidTr="00F14596">
        <w:trPr>
          <w:trHeight w:val="288"/>
        </w:trPr>
        <w:tc>
          <w:tcPr>
            <w:tcW w:w="6480" w:type="dxa"/>
            <w:vAlign w:val="center"/>
          </w:tcPr>
          <w:p w14:paraId="32112BF3" w14:textId="77777777" w:rsidR="00533C78" w:rsidRPr="000C3341" w:rsidRDefault="00533C78" w:rsidP="00533C78">
            <w:pPr>
              <w:spacing w:after="0" w:line="240" w:lineRule="auto"/>
              <w:ind w:left="216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Duration of grade 3/4 values, days</w:t>
            </w:r>
          </w:p>
        </w:tc>
        <w:tc>
          <w:tcPr>
            <w:tcW w:w="1872" w:type="dxa"/>
            <w:vAlign w:val="center"/>
          </w:tcPr>
          <w:p w14:paraId="57CFCEBC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vAlign w:val="center"/>
          </w:tcPr>
          <w:p w14:paraId="5A3AEABF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vAlign w:val="center"/>
          </w:tcPr>
          <w:p w14:paraId="214C832C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vAlign w:val="center"/>
          </w:tcPr>
          <w:p w14:paraId="0F50E409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C78" w14:paraId="5ABE5A78" w14:textId="77777777" w:rsidTr="00F14596">
        <w:trPr>
          <w:trHeight w:val="288"/>
        </w:trPr>
        <w:tc>
          <w:tcPr>
            <w:tcW w:w="6480" w:type="dxa"/>
            <w:vAlign w:val="center"/>
          </w:tcPr>
          <w:p w14:paraId="63582939" w14:textId="77777777" w:rsidR="00533C78" w:rsidRPr="000C3341" w:rsidRDefault="00533C78" w:rsidP="00533C78">
            <w:pPr>
              <w:spacing w:after="0" w:line="240" w:lineRule="auto"/>
              <w:ind w:left="432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 xml:space="preserve">0–7 </w:t>
            </w:r>
          </w:p>
        </w:tc>
        <w:tc>
          <w:tcPr>
            <w:tcW w:w="1872" w:type="dxa"/>
            <w:vAlign w:val="center"/>
          </w:tcPr>
          <w:p w14:paraId="48326C2A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5 (31.3)</w:t>
            </w:r>
          </w:p>
        </w:tc>
        <w:tc>
          <w:tcPr>
            <w:tcW w:w="1872" w:type="dxa"/>
            <w:vAlign w:val="center"/>
          </w:tcPr>
          <w:p w14:paraId="516C55C8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3 (27.3)</w:t>
            </w:r>
          </w:p>
        </w:tc>
        <w:tc>
          <w:tcPr>
            <w:tcW w:w="1872" w:type="dxa"/>
            <w:vAlign w:val="center"/>
          </w:tcPr>
          <w:p w14:paraId="4423C148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6 (30.0)</w:t>
            </w:r>
          </w:p>
        </w:tc>
        <w:tc>
          <w:tcPr>
            <w:tcW w:w="1872" w:type="dxa"/>
            <w:vAlign w:val="center"/>
          </w:tcPr>
          <w:p w14:paraId="2ABAC904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14 (29.8)</w:t>
            </w:r>
          </w:p>
        </w:tc>
      </w:tr>
      <w:tr w:rsidR="00533C78" w14:paraId="0F6DADC0" w14:textId="77777777" w:rsidTr="00F14596">
        <w:trPr>
          <w:trHeight w:val="288"/>
        </w:trPr>
        <w:tc>
          <w:tcPr>
            <w:tcW w:w="6480" w:type="dxa"/>
            <w:vAlign w:val="center"/>
          </w:tcPr>
          <w:p w14:paraId="53A19A64" w14:textId="77777777" w:rsidR="00533C78" w:rsidRPr="000C3341" w:rsidRDefault="00533C78" w:rsidP="00533C78">
            <w:pPr>
              <w:spacing w:after="0" w:line="240" w:lineRule="auto"/>
              <w:ind w:left="432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8–14</w:t>
            </w:r>
          </w:p>
        </w:tc>
        <w:tc>
          <w:tcPr>
            <w:tcW w:w="1872" w:type="dxa"/>
            <w:vAlign w:val="center"/>
          </w:tcPr>
          <w:p w14:paraId="79ACBE46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2 (12.5)</w:t>
            </w:r>
          </w:p>
        </w:tc>
        <w:tc>
          <w:tcPr>
            <w:tcW w:w="1872" w:type="dxa"/>
            <w:vAlign w:val="center"/>
          </w:tcPr>
          <w:p w14:paraId="730C7C5C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1 (9.1)</w:t>
            </w:r>
          </w:p>
        </w:tc>
        <w:tc>
          <w:tcPr>
            <w:tcW w:w="1872" w:type="dxa"/>
            <w:vAlign w:val="center"/>
          </w:tcPr>
          <w:p w14:paraId="410BDC38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7 (35.0)</w:t>
            </w:r>
          </w:p>
        </w:tc>
        <w:tc>
          <w:tcPr>
            <w:tcW w:w="1872" w:type="dxa"/>
            <w:vAlign w:val="center"/>
          </w:tcPr>
          <w:p w14:paraId="7F0C217D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10 (21.3)</w:t>
            </w:r>
          </w:p>
        </w:tc>
      </w:tr>
      <w:tr w:rsidR="00533C78" w14:paraId="39BEEF67" w14:textId="77777777" w:rsidTr="00F14596">
        <w:trPr>
          <w:trHeight w:val="288"/>
        </w:trPr>
        <w:tc>
          <w:tcPr>
            <w:tcW w:w="6480" w:type="dxa"/>
            <w:vAlign w:val="center"/>
          </w:tcPr>
          <w:p w14:paraId="7DAF639B" w14:textId="77777777" w:rsidR="00533C78" w:rsidRPr="000C3341" w:rsidRDefault="00533C78" w:rsidP="00533C78">
            <w:pPr>
              <w:spacing w:after="0" w:line="240" w:lineRule="auto"/>
              <w:ind w:left="432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15–21</w:t>
            </w:r>
          </w:p>
        </w:tc>
        <w:tc>
          <w:tcPr>
            <w:tcW w:w="1872" w:type="dxa"/>
            <w:vAlign w:val="center"/>
          </w:tcPr>
          <w:p w14:paraId="4C8D2EBD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3 (18.8)</w:t>
            </w:r>
          </w:p>
        </w:tc>
        <w:tc>
          <w:tcPr>
            <w:tcW w:w="1872" w:type="dxa"/>
            <w:vAlign w:val="center"/>
          </w:tcPr>
          <w:p w14:paraId="5F46E532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1 (9.1)</w:t>
            </w:r>
          </w:p>
        </w:tc>
        <w:tc>
          <w:tcPr>
            <w:tcW w:w="1872" w:type="dxa"/>
            <w:vAlign w:val="center"/>
          </w:tcPr>
          <w:p w14:paraId="3DD39584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3 (15.0)</w:t>
            </w:r>
          </w:p>
        </w:tc>
        <w:tc>
          <w:tcPr>
            <w:tcW w:w="1872" w:type="dxa"/>
            <w:vAlign w:val="center"/>
          </w:tcPr>
          <w:p w14:paraId="791BC76F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7 (14.9)</w:t>
            </w:r>
          </w:p>
        </w:tc>
      </w:tr>
      <w:tr w:rsidR="00533C78" w14:paraId="77384EB1" w14:textId="77777777" w:rsidTr="00F14596">
        <w:trPr>
          <w:trHeight w:val="288"/>
        </w:trPr>
        <w:tc>
          <w:tcPr>
            <w:tcW w:w="6480" w:type="dxa"/>
            <w:vAlign w:val="center"/>
          </w:tcPr>
          <w:p w14:paraId="6CF3027B" w14:textId="77777777" w:rsidR="00533C78" w:rsidRPr="000C3341" w:rsidRDefault="00533C78" w:rsidP="00533C78">
            <w:pPr>
              <w:spacing w:after="0" w:line="240" w:lineRule="auto"/>
              <w:ind w:left="432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22–28</w:t>
            </w:r>
          </w:p>
        </w:tc>
        <w:tc>
          <w:tcPr>
            <w:tcW w:w="1872" w:type="dxa"/>
            <w:vAlign w:val="center"/>
          </w:tcPr>
          <w:p w14:paraId="41B30E23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4 (25.0)</w:t>
            </w:r>
          </w:p>
        </w:tc>
        <w:tc>
          <w:tcPr>
            <w:tcW w:w="1872" w:type="dxa"/>
            <w:vAlign w:val="center"/>
          </w:tcPr>
          <w:p w14:paraId="0D322C76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0</w:t>
            </w:r>
          </w:p>
        </w:tc>
        <w:tc>
          <w:tcPr>
            <w:tcW w:w="1872" w:type="dxa"/>
            <w:vAlign w:val="center"/>
          </w:tcPr>
          <w:p w14:paraId="58E052E1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4 (20.0)</w:t>
            </w:r>
          </w:p>
        </w:tc>
        <w:tc>
          <w:tcPr>
            <w:tcW w:w="1872" w:type="dxa"/>
            <w:vAlign w:val="center"/>
          </w:tcPr>
          <w:p w14:paraId="30D85B6E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8 (17.0)</w:t>
            </w:r>
          </w:p>
        </w:tc>
      </w:tr>
      <w:tr w:rsidR="00533C78" w14:paraId="0E73DA13" w14:textId="77777777" w:rsidTr="00F14596">
        <w:trPr>
          <w:trHeight w:val="288"/>
        </w:trPr>
        <w:tc>
          <w:tcPr>
            <w:tcW w:w="6480" w:type="dxa"/>
            <w:vAlign w:val="center"/>
          </w:tcPr>
          <w:p w14:paraId="462FE44C" w14:textId="77777777" w:rsidR="00533C78" w:rsidRPr="000C3341" w:rsidRDefault="00533C78" w:rsidP="00533C78">
            <w:pPr>
              <w:spacing w:after="0" w:line="240" w:lineRule="auto"/>
              <w:ind w:left="432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29–35</w:t>
            </w:r>
          </w:p>
        </w:tc>
        <w:tc>
          <w:tcPr>
            <w:tcW w:w="1872" w:type="dxa"/>
            <w:vAlign w:val="center"/>
          </w:tcPr>
          <w:p w14:paraId="36560529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5 (31.3)</w:t>
            </w:r>
          </w:p>
        </w:tc>
        <w:tc>
          <w:tcPr>
            <w:tcW w:w="1872" w:type="dxa"/>
            <w:vAlign w:val="center"/>
          </w:tcPr>
          <w:p w14:paraId="1D10CFA9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1 (9.1)</w:t>
            </w:r>
          </w:p>
        </w:tc>
        <w:tc>
          <w:tcPr>
            <w:tcW w:w="1872" w:type="dxa"/>
            <w:vAlign w:val="center"/>
          </w:tcPr>
          <w:p w14:paraId="28FB511A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2 (10.0)</w:t>
            </w:r>
          </w:p>
        </w:tc>
        <w:tc>
          <w:tcPr>
            <w:tcW w:w="1872" w:type="dxa"/>
            <w:vAlign w:val="center"/>
          </w:tcPr>
          <w:p w14:paraId="4C630998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8 (17.0)</w:t>
            </w:r>
          </w:p>
        </w:tc>
      </w:tr>
      <w:tr w:rsidR="00533C78" w14:paraId="4CE676DE" w14:textId="77777777" w:rsidTr="00F14596">
        <w:trPr>
          <w:trHeight w:val="288"/>
        </w:trPr>
        <w:tc>
          <w:tcPr>
            <w:tcW w:w="6480" w:type="dxa"/>
            <w:vAlign w:val="center"/>
          </w:tcPr>
          <w:p w14:paraId="0D81B3D1" w14:textId="77777777" w:rsidR="00533C78" w:rsidRPr="000C3341" w:rsidRDefault="00533C78" w:rsidP="00533C78">
            <w:pPr>
              <w:spacing w:after="0" w:line="240" w:lineRule="auto"/>
              <w:ind w:left="432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≥36</w:t>
            </w:r>
          </w:p>
        </w:tc>
        <w:tc>
          <w:tcPr>
            <w:tcW w:w="1872" w:type="dxa"/>
            <w:vAlign w:val="center"/>
          </w:tcPr>
          <w:p w14:paraId="43DC1325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7 (43.8)</w:t>
            </w:r>
          </w:p>
        </w:tc>
        <w:tc>
          <w:tcPr>
            <w:tcW w:w="1872" w:type="dxa"/>
            <w:vAlign w:val="center"/>
          </w:tcPr>
          <w:p w14:paraId="6CD75173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3 (27.3)</w:t>
            </w:r>
          </w:p>
        </w:tc>
        <w:tc>
          <w:tcPr>
            <w:tcW w:w="1872" w:type="dxa"/>
            <w:vAlign w:val="center"/>
          </w:tcPr>
          <w:p w14:paraId="1B5C8EE8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5 (25.0)</w:t>
            </w:r>
          </w:p>
        </w:tc>
        <w:tc>
          <w:tcPr>
            <w:tcW w:w="1872" w:type="dxa"/>
            <w:vAlign w:val="center"/>
          </w:tcPr>
          <w:p w14:paraId="48E323EF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15 (31.9)</w:t>
            </w:r>
          </w:p>
        </w:tc>
      </w:tr>
      <w:tr w:rsidR="00106BB4" w14:paraId="681F1FCC" w14:textId="77777777" w:rsidTr="00F14596">
        <w:trPr>
          <w:trHeight w:val="288"/>
        </w:trPr>
        <w:tc>
          <w:tcPr>
            <w:tcW w:w="6480" w:type="dxa"/>
            <w:vAlign w:val="center"/>
          </w:tcPr>
          <w:p w14:paraId="403CC2FC" w14:textId="006F29F5" w:rsidR="00106BB4" w:rsidRPr="000C3341" w:rsidRDefault="00106BB4" w:rsidP="00106BB4">
            <w:pPr>
              <w:spacing w:after="0" w:line="240" w:lineRule="auto"/>
              <w:ind w:left="2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Median time to </w:t>
            </w:r>
            <w:r w:rsidR="0022219E">
              <w:rPr>
                <w:rFonts w:ascii="Arial" w:hAnsi="Arial" w:cs="Arial"/>
              </w:rPr>
              <w:t xml:space="preserve">platelet count </w:t>
            </w:r>
            <w:r>
              <w:rPr>
                <w:rFonts w:ascii="Arial" w:hAnsi="Arial" w:cs="Arial"/>
              </w:rPr>
              <w:t>recovery, days</w:t>
            </w:r>
            <w:r w:rsidR="0022219E">
              <w:rPr>
                <w:rFonts w:ascii="Arial" w:hAnsi="Arial" w:cs="Arial"/>
              </w:rPr>
              <w:t xml:space="preserve"> (min, max)</w:t>
            </w:r>
          </w:p>
        </w:tc>
        <w:tc>
          <w:tcPr>
            <w:tcW w:w="1872" w:type="dxa"/>
            <w:vAlign w:val="center"/>
          </w:tcPr>
          <w:p w14:paraId="76112099" w14:textId="74DB7F03" w:rsidR="00106BB4" w:rsidRPr="000C3341" w:rsidRDefault="00106BB4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24.5</w:t>
            </w:r>
            <w:r w:rsidR="0022219E">
              <w:rPr>
                <w:rFonts w:ascii="Arial" w:hAnsi="Arial" w:cs="Arial"/>
              </w:rPr>
              <w:t xml:space="preserve"> (7.0, 45.0)</w:t>
            </w:r>
          </w:p>
        </w:tc>
        <w:tc>
          <w:tcPr>
            <w:tcW w:w="1872" w:type="dxa"/>
            <w:vAlign w:val="center"/>
          </w:tcPr>
          <w:p w14:paraId="0A1C92BC" w14:textId="54000EBC" w:rsidR="00106BB4" w:rsidRPr="000C3341" w:rsidRDefault="00106BB4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010D74">
              <w:rPr>
                <w:rFonts w:ascii="Arial" w:hAnsi="Arial" w:cs="Arial"/>
              </w:rPr>
              <w:t>2</w:t>
            </w:r>
            <w:r w:rsidR="0022219E">
              <w:rPr>
                <w:rFonts w:ascii="Arial" w:hAnsi="Arial" w:cs="Arial"/>
              </w:rPr>
              <w:t xml:space="preserve"> (1.0, 9.0)</w:t>
            </w:r>
          </w:p>
        </w:tc>
        <w:tc>
          <w:tcPr>
            <w:tcW w:w="1872" w:type="dxa"/>
            <w:vAlign w:val="center"/>
          </w:tcPr>
          <w:p w14:paraId="0535E13C" w14:textId="1218216A" w:rsidR="00106BB4" w:rsidRPr="000C3341" w:rsidRDefault="00106BB4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26.0</w:t>
            </w:r>
            <w:r w:rsidR="0022219E">
              <w:rPr>
                <w:rFonts w:ascii="Arial" w:hAnsi="Arial" w:cs="Arial"/>
              </w:rPr>
              <w:t xml:space="preserve"> (3.0, 37.0)</w:t>
            </w:r>
          </w:p>
        </w:tc>
        <w:tc>
          <w:tcPr>
            <w:tcW w:w="1872" w:type="dxa"/>
            <w:vAlign w:val="center"/>
          </w:tcPr>
          <w:p w14:paraId="7F0E7157" w14:textId="41B2AF6B" w:rsidR="00106BB4" w:rsidRPr="000C3341" w:rsidRDefault="00106BB4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21.7</w:t>
            </w:r>
            <w:r w:rsidR="00F33320">
              <w:rPr>
                <w:rFonts w:ascii="Arial" w:hAnsi="Arial" w:cs="Arial"/>
              </w:rPr>
              <w:t xml:space="preserve"> (1.0, 45.0)</w:t>
            </w:r>
          </w:p>
        </w:tc>
      </w:tr>
      <w:tr w:rsidR="00533C78" w14:paraId="22F4DD4D" w14:textId="77777777" w:rsidTr="00F14596">
        <w:trPr>
          <w:trHeight w:val="288"/>
        </w:trPr>
        <w:tc>
          <w:tcPr>
            <w:tcW w:w="6480" w:type="dxa"/>
            <w:vAlign w:val="center"/>
          </w:tcPr>
          <w:p w14:paraId="406B03D5" w14:textId="77777777" w:rsidR="00533C78" w:rsidRPr="000C3341" w:rsidRDefault="00533C78" w:rsidP="00533C7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0C3341">
              <w:rPr>
                <w:rFonts w:ascii="Arial" w:hAnsi="Arial" w:cs="Arial"/>
                <w:b/>
                <w:bCs/>
              </w:rPr>
              <w:t>Neutrophils</w:t>
            </w:r>
          </w:p>
        </w:tc>
        <w:tc>
          <w:tcPr>
            <w:tcW w:w="1872" w:type="dxa"/>
            <w:vAlign w:val="center"/>
          </w:tcPr>
          <w:p w14:paraId="647ECC68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vAlign w:val="center"/>
          </w:tcPr>
          <w:p w14:paraId="6F749D4D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vAlign w:val="center"/>
          </w:tcPr>
          <w:p w14:paraId="67C385E9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vAlign w:val="center"/>
          </w:tcPr>
          <w:p w14:paraId="52F52E0F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C78" w14:paraId="0FC1CEF9" w14:textId="77777777" w:rsidTr="00F14596">
        <w:trPr>
          <w:trHeight w:val="288"/>
        </w:trPr>
        <w:tc>
          <w:tcPr>
            <w:tcW w:w="6480" w:type="dxa"/>
            <w:vAlign w:val="center"/>
          </w:tcPr>
          <w:p w14:paraId="26DAA35F" w14:textId="77777777" w:rsidR="00533C78" w:rsidRPr="000C3341" w:rsidRDefault="00533C78" w:rsidP="00533C78">
            <w:pPr>
              <w:spacing w:after="0" w:line="240" w:lineRule="auto"/>
              <w:ind w:left="216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Baseline</w:t>
            </w:r>
          </w:p>
        </w:tc>
        <w:tc>
          <w:tcPr>
            <w:tcW w:w="1872" w:type="dxa"/>
            <w:vAlign w:val="center"/>
          </w:tcPr>
          <w:p w14:paraId="2CBA4988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vAlign w:val="center"/>
          </w:tcPr>
          <w:p w14:paraId="01A3ADF8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vAlign w:val="center"/>
          </w:tcPr>
          <w:p w14:paraId="7F55A21C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vAlign w:val="center"/>
          </w:tcPr>
          <w:p w14:paraId="13391405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C78" w14:paraId="063F0F62" w14:textId="77777777" w:rsidTr="00F14596">
        <w:trPr>
          <w:trHeight w:val="288"/>
        </w:trPr>
        <w:tc>
          <w:tcPr>
            <w:tcW w:w="6480" w:type="dxa"/>
            <w:vAlign w:val="center"/>
          </w:tcPr>
          <w:p w14:paraId="192DE10E" w14:textId="77777777" w:rsidR="00533C78" w:rsidRPr="000C3341" w:rsidRDefault="00533C78" w:rsidP="00533C78">
            <w:pPr>
              <w:spacing w:after="0" w:line="240" w:lineRule="auto"/>
              <w:ind w:left="432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 xml:space="preserve">Grade 3/4 </w:t>
            </w:r>
          </w:p>
        </w:tc>
        <w:tc>
          <w:tcPr>
            <w:tcW w:w="1872" w:type="dxa"/>
            <w:vAlign w:val="center"/>
          </w:tcPr>
          <w:p w14:paraId="101F8B37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7 (14.9)</w:t>
            </w:r>
          </w:p>
        </w:tc>
        <w:tc>
          <w:tcPr>
            <w:tcW w:w="1872" w:type="dxa"/>
            <w:vAlign w:val="center"/>
          </w:tcPr>
          <w:p w14:paraId="252C6824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6 (12.8)</w:t>
            </w:r>
          </w:p>
        </w:tc>
        <w:tc>
          <w:tcPr>
            <w:tcW w:w="1872" w:type="dxa"/>
            <w:vAlign w:val="center"/>
          </w:tcPr>
          <w:p w14:paraId="33A3F888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7 (35.0)</w:t>
            </w:r>
          </w:p>
        </w:tc>
        <w:tc>
          <w:tcPr>
            <w:tcW w:w="1872" w:type="dxa"/>
            <w:vAlign w:val="center"/>
          </w:tcPr>
          <w:p w14:paraId="34824FE0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20 (42.6)</w:t>
            </w:r>
          </w:p>
        </w:tc>
      </w:tr>
      <w:tr w:rsidR="00533C78" w14:paraId="65100D08" w14:textId="77777777" w:rsidTr="00F14596">
        <w:trPr>
          <w:trHeight w:val="288"/>
        </w:trPr>
        <w:tc>
          <w:tcPr>
            <w:tcW w:w="6480" w:type="dxa"/>
            <w:vAlign w:val="center"/>
          </w:tcPr>
          <w:p w14:paraId="3C3DCF42" w14:textId="77777777" w:rsidR="00533C78" w:rsidRPr="000C3341" w:rsidRDefault="00533C78" w:rsidP="00533C78">
            <w:pPr>
              <w:spacing w:after="0" w:line="240" w:lineRule="auto"/>
              <w:ind w:left="216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On study</w:t>
            </w:r>
          </w:p>
        </w:tc>
        <w:tc>
          <w:tcPr>
            <w:tcW w:w="1872" w:type="dxa"/>
            <w:vAlign w:val="center"/>
          </w:tcPr>
          <w:p w14:paraId="2A44FAB5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vAlign w:val="center"/>
          </w:tcPr>
          <w:p w14:paraId="3352C287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vAlign w:val="center"/>
          </w:tcPr>
          <w:p w14:paraId="08FD878B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vAlign w:val="center"/>
          </w:tcPr>
          <w:p w14:paraId="01459274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C78" w14:paraId="217979B8" w14:textId="77777777" w:rsidTr="00F14596">
        <w:trPr>
          <w:trHeight w:val="288"/>
        </w:trPr>
        <w:tc>
          <w:tcPr>
            <w:tcW w:w="6480" w:type="dxa"/>
            <w:vAlign w:val="center"/>
          </w:tcPr>
          <w:p w14:paraId="33D0E225" w14:textId="77777777" w:rsidR="00533C78" w:rsidRPr="000C3341" w:rsidRDefault="00533C78" w:rsidP="00533C78">
            <w:pPr>
              <w:spacing w:after="0" w:line="240" w:lineRule="auto"/>
              <w:ind w:left="432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Grade 3/4</w:t>
            </w:r>
          </w:p>
        </w:tc>
        <w:tc>
          <w:tcPr>
            <w:tcW w:w="1872" w:type="dxa"/>
            <w:vAlign w:val="center"/>
          </w:tcPr>
          <w:p w14:paraId="6F807C81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16 (100)</w:t>
            </w:r>
          </w:p>
        </w:tc>
        <w:tc>
          <w:tcPr>
            <w:tcW w:w="1872" w:type="dxa"/>
            <w:vAlign w:val="center"/>
          </w:tcPr>
          <w:p w14:paraId="2F35639D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10 (90.9)</w:t>
            </w:r>
          </w:p>
        </w:tc>
        <w:tc>
          <w:tcPr>
            <w:tcW w:w="1872" w:type="dxa"/>
            <w:vAlign w:val="center"/>
          </w:tcPr>
          <w:p w14:paraId="2E3B5687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20 (100)</w:t>
            </w:r>
          </w:p>
        </w:tc>
        <w:tc>
          <w:tcPr>
            <w:tcW w:w="1872" w:type="dxa"/>
            <w:vAlign w:val="center"/>
          </w:tcPr>
          <w:p w14:paraId="35734060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46 (97.9)</w:t>
            </w:r>
          </w:p>
        </w:tc>
      </w:tr>
      <w:tr w:rsidR="00533C78" w14:paraId="09D9DFF1" w14:textId="77777777" w:rsidTr="00F14596">
        <w:trPr>
          <w:trHeight w:val="288"/>
        </w:trPr>
        <w:tc>
          <w:tcPr>
            <w:tcW w:w="6480" w:type="dxa"/>
            <w:vAlign w:val="center"/>
          </w:tcPr>
          <w:p w14:paraId="4C3F4F53" w14:textId="77777777" w:rsidR="00533C78" w:rsidRPr="000C3341" w:rsidRDefault="00533C78" w:rsidP="00533C78">
            <w:pPr>
              <w:spacing w:after="0" w:line="240" w:lineRule="auto"/>
              <w:ind w:left="432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Upward shift from grade ≤2 at baseline to grade 3/4</w:t>
            </w:r>
          </w:p>
        </w:tc>
        <w:tc>
          <w:tcPr>
            <w:tcW w:w="1872" w:type="dxa"/>
            <w:vAlign w:val="center"/>
          </w:tcPr>
          <w:p w14:paraId="33D307EF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9/9 (100)</w:t>
            </w:r>
          </w:p>
        </w:tc>
        <w:tc>
          <w:tcPr>
            <w:tcW w:w="1872" w:type="dxa"/>
            <w:vAlign w:val="center"/>
          </w:tcPr>
          <w:p w14:paraId="41E41B10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4/5 (80.0)</w:t>
            </w:r>
          </w:p>
        </w:tc>
        <w:tc>
          <w:tcPr>
            <w:tcW w:w="1872" w:type="dxa"/>
            <w:vAlign w:val="center"/>
          </w:tcPr>
          <w:p w14:paraId="66EF1A57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9/9 (100)</w:t>
            </w:r>
          </w:p>
        </w:tc>
        <w:tc>
          <w:tcPr>
            <w:tcW w:w="1872" w:type="dxa"/>
            <w:vAlign w:val="center"/>
          </w:tcPr>
          <w:p w14:paraId="7DD25A29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22/23 (95.7)</w:t>
            </w:r>
          </w:p>
        </w:tc>
      </w:tr>
      <w:tr w:rsidR="00533C78" w14:paraId="50D12ED2" w14:textId="77777777" w:rsidTr="00F14596">
        <w:trPr>
          <w:trHeight w:val="288"/>
        </w:trPr>
        <w:tc>
          <w:tcPr>
            <w:tcW w:w="6480" w:type="dxa"/>
            <w:vAlign w:val="center"/>
          </w:tcPr>
          <w:p w14:paraId="0670DC92" w14:textId="77777777" w:rsidR="00533C78" w:rsidRPr="000C3341" w:rsidRDefault="00533C78" w:rsidP="00533C78">
            <w:pPr>
              <w:spacing w:after="0" w:line="240" w:lineRule="auto"/>
              <w:ind w:left="216"/>
              <w:rPr>
                <w:rFonts w:ascii="Arial" w:hAnsi="Arial" w:cs="Arial"/>
              </w:rPr>
            </w:pPr>
            <w:r w:rsidRPr="000C3341">
              <w:rPr>
                <w:rFonts w:ascii="Arial" w:hAnsi="Arial" w:cs="Arial"/>
              </w:rPr>
              <w:t>Duration of grade 3/4 values, days</w:t>
            </w:r>
          </w:p>
        </w:tc>
        <w:tc>
          <w:tcPr>
            <w:tcW w:w="1872" w:type="dxa"/>
            <w:vAlign w:val="center"/>
          </w:tcPr>
          <w:p w14:paraId="32CA9379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vAlign w:val="center"/>
          </w:tcPr>
          <w:p w14:paraId="208858E8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vAlign w:val="center"/>
          </w:tcPr>
          <w:p w14:paraId="29C78EDB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72" w:type="dxa"/>
            <w:vAlign w:val="center"/>
          </w:tcPr>
          <w:p w14:paraId="67C0217A" w14:textId="77777777" w:rsidR="00533C78" w:rsidRPr="000C334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C78" w14:paraId="51CE439B" w14:textId="77777777" w:rsidTr="00F14596">
        <w:trPr>
          <w:trHeight w:val="288"/>
        </w:trPr>
        <w:tc>
          <w:tcPr>
            <w:tcW w:w="6480" w:type="dxa"/>
            <w:vAlign w:val="center"/>
          </w:tcPr>
          <w:p w14:paraId="03FDFE8B" w14:textId="77777777" w:rsidR="00533C78" w:rsidRPr="00990C05" w:rsidRDefault="00533C78" w:rsidP="00533C78">
            <w:pPr>
              <w:spacing w:after="0" w:line="240" w:lineRule="auto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0–7</w:t>
            </w:r>
          </w:p>
        </w:tc>
        <w:tc>
          <w:tcPr>
            <w:tcW w:w="1872" w:type="dxa"/>
            <w:vAlign w:val="center"/>
          </w:tcPr>
          <w:p w14:paraId="421ABC37" w14:textId="77777777" w:rsidR="00533C78" w:rsidRPr="00240BB4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0BB4">
              <w:rPr>
                <w:rFonts w:ascii="Arial" w:hAnsi="Arial" w:cs="Arial"/>
              </w:rPr>
              <w:t>6 (37.5)</w:t>
            </w:r>
          </w:p>
        </w:tc>
        <w:tc>
          <w:tcPr>
            <w:tcW w:w="1872" w:type="dxa"/>
            <w:vAlign w:val="center"/>
          </w:tcPr>
          <w:p w14:paraId="16B359C8" w14:textId="77777777" w:rsidR="00533C78" w:rsidRPr="00240BB4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0BB4">
              <w:rPr>
                <w:rFonts w:ascii="Arial" w:hAnsi="Arial" w:cs="Arial"/>
              </w:rPr>
              <w:t>5 (45.5)</w:t>
            </w:r>
          </w:p>
        </w:tc>
        <w:tc>
          <w:tcPr>
            <w:tcW w:w="1872" w:type="dxa"/>
            <w:vAlign w:val="center"/>
          </w:tcPr>
          <w:p w14:paraId="7988124A" w14:textId="77777777" w:rsidR="00533C78" w:rsidRPr="00240BB4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0BB4">
              <w:rPr>
                <w:rFonts w:ascii="Arial" w:hAnsi="Arial" w:cs="Arial"/>
              </w:rPr>
              <w:t>10 (50.0)</w:t>
            </w:r>
          </w:p>
        </w:tc>
        <w:tc>
          <w:tcPr>
            <w:tcW w:w="1872" w:type="dxa"/>
            <w:vAlign w:val="center"/>
          </w:tcPr>
          <w:p w14:paraId="74328968" w14:textId="77777777" w:rsidR="00533C78" w:rsidRPr="00240BB4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0BB4">
              <w:rPr>
                <w:rFonts w:ascii="Arial" w:hAnsi="Arial" w:cs="Arial"/>
              </w:rPr>
              <w:t>21 (44.7)</w:t>
            </w:r>
          </w:p>
        </w:tc>
      </w:tr>
      <w:tr w:rsidR="00533C78" w14:paraId="35875DFA" w14:textId="77777777" w:rsidTr="00F14596">
        <w:trPr>
          <w:trHeight w:val="288"/>
        </w:trPr>
        <w:tc>
          <w:tcPr>
            <w:tcW w:w="6480" w:type="dxa"/>
            <w:vAlign w:val="center"/>
          </w:tcPr>
          <w:p w14:paraId="71046FA4" w14:textId="77777777" w:rsidR="00533C78" w:rsidRDefault="00533C78" w:rsidP="00533C78">
            <w:pPr>
              <w:spacing w:after="0" w:line="240" w:lineRule="auto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8–14</w:t>
            </w:r>
          </w:p>
        </w:tc>
        <w:tc>
          <w:tcPr>
            <w:tcW w:w="1872" w:type="dxa"/>
            <w:vAlign w:val="center"/>
          </w:tcPr>
          <w:p w14:paraId="523BDAB7" w14:textId="77777777" w:rsidR="00533C78" w:rsidRPr="00240BB4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0BB4">
              <w:rPr>
                <w:rFonts w:ascii="Arial" w:hAnsi="Arial" w:cs="Arial"/>
              </w:rPr>
              <w:t>7 (43.8)</w:t>
            </w:r>
          </w:p>
        </w:tc>
        <w:tc>
          <w:tcPr>
            <w:tcW w:w="1872" w:type="dxa"/>
            <w:vAlign w:val="center"/>
          </w:tcPr>
          <w:p w14:paraId="5D428D4C" w14:textId="77777777" w:rsidR="00533C78" w:rsidRPr="00240BB4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0BB4">
              <w:rPr>
                <w:rFonts w:ascii="Arial" w:hAnsi="Arial" w:cs="Arial"/>
              </w:rPr>
              <w:t>1 (9.1)</w:t>
            </w:r>
          </w:p>
        </w:tc>
        <w:tc>
          <w:tcPr>
            <w:tcW w:w="1872" w:type="dxa"/>
            <w:vAlign w:val="center"/>
          </w:tcPr>
          <w:p w14:paraId="5D338F40" w14:textId="77777777" w:rsidR="00533C78" w:rsidRPr="00240BB4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0BB4">
              <w:rPr>
                <w:rFonts w:ascii="Arial" w:hAnsi="Arial" w:cs="Arial"/>
              </w:rPr>
              <w:t>6 (30.0)</w:t>
            </w:r>
          </w:p>
        </w:tc>
        <w:tc>
          <w:tcPr>
            <w:tcW w:w="1872" w:type="dxa"/>
            <w:vAlign w:val="center"/>
          </w:tcPr>
          <w:p w14:paraId="1E0B60A5" w14:textId="77777777" w:rsidR="00533C78" w:rsidRPr="00240BB4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0BB4">
              <w:rPr>
                <w:rFonts w:ascii="Arial" w:hAnsi="Arial" w:cs="Arial"/>
              </w:rPr>
              <w:t>14 (29.8)</w:t>
            </w:r>
          </w:p>
        </w:tc>
      </w:tr>
      <w:tr w:rsidR="00533C78" w14:paraId="127169D5" w14:textId="77777777" w:rsidTr="00F14596">
        <w:trPr>
          <w:trHeight w:val="288"/>
        </w:trPr>
        <w:tc>
          <w:tcPr>
            <w:tcW w:w="6480" w:type="dxa"/>
            <w:vAlign w:val="center"/>
          </w:tcPr>
          <w:p w14:paraId="252D16F7" w14:textId="77777777" w:rsidR="00533C78" w:rsidRDefault="00533C78" w:rsidP="00533C78">
            <w:pPr>
              <w:spacing w:after="0" w:line="240" w:lineRule="auto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15–21</w:t>
            </w:r>
          </w:p>
        </w:tc>
        <w:tc>
          <w:tcPr>
            <w:tcW w:w="1872" w:type="dxa"/>
            <w:vAlign w:val="center"/>
          </w:tcPr>
          <w:p w14:paraId="4DD6BEB9" w14:textId="77777777" w:rsidR="00533C78" w:rsidRPr="00240BB4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0BB4">
              <w:rPr>
                <w:rFonts w:ascii="Arial" w:hAnsi="Arial" w:cs="Arial"/>
              </w:rPr>
              <w:t>7 (43.8)</w:t>
            </w:r>
          </w:p>
        </w:tc>
        <w:tc>
          <w:tcPr>
            <w:tcW w:w="1872" w:type="dxa"/>
            <w:vAlign w:val="center"/>
          </w:tcPr>
          <w:p w14:paraId="425F9380" w14:textId="77777777" w:rsidR="00533C78" w:rsidRPr="00240BB4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0BB4">
              <w:rPr>
                <w:rFonts w:ascii="Arial" w:hAnsi="Arial" w:cs="Arial"/>
              </w:rPr>
              <w:t>1 (9.1)</w:t>
            </w:r>
          </w:p>
        </w:tc>
        <w:tc>
          <w:tcPr>
            <w:tcW w:w="1872" w:type="dxa"/>
            <w:vAlign w:val="center"/>
          </w:tcPr>
          <w:p w14:paraId="67AA7C99" w14:textId="77777777" w:rsidR="00533C78" w:rsidRPr="00240BB4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0BB4">
              <w:rPr>
                <w:rFonts w:ascii="Arial" w:hAnsi="Arial" w:cs="Arial"/>
              </w:rPr>
              <w:t>4 (20.0)</w:t>
            </w:r>
          </w:p>
        </w:tc>
        <w:tc>
          <w:tcPr>
            <w:tcW w:w="1872" w:type="dxa"/>
            <w:vAlign w:val="center"/>
          </w:tcPr>
          <w:p w14:paraId="127AF764" w14:textId="77777777" w:rsidR="00533C78" w:rsidRPr="00240BB4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0BB4">
              <w:rPr>
                <w:rFonts w:ascii="Arial" w:hAnsi="Arial" w:cs="Arial"/>
              </w:rPr>
              <w:t>12 (25.5)</w:t>
            </w:r>
          </w:p>
        </w:tc>
      </w:tr>
      <w:tr w:rsidR="00533C78" w14:paraId="04A6145C" w14:textId="77777777" w:rsidTr="00F14596">
        <w:trPr>
          <w:trHeight w:val="288"/>
        </w:trPr>
        <w:tc>
          <w:tcPr>
            <w:tcW w:w="6480" w:type="dxa"/>
            <w:vAlign w:val="center"/>
          </w:tcPr>
          <w:p w14:paraId="23F5D431" w14:textId="77777777" w:rsidR="00533C78" w:rsidRDefault="00533C78" w:rsidP="00533C78">
            <w:pPr>
              <w:spacing w:after="0" w:line="240" w:lineRule="auto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22–28</w:t>
            </w:r>
          </w:p>
        </w:tc>
        <w:tc>
          <w:tcPr>
            <w:tcW w:w="1872" w:type="dxa"/>
            <w:vAlign w:val="center"/>
          </w:tcPr>
          <w:p w14:paraId="28DA1E0A" w14:textId="77777777" w:rsidR="00533C78" w:rsidRPr="00240BB4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0BB4">
              <w:rPr>
                <w:rFonts w:ascii="Arial" w:hAnsi="Arial" w:cs="Arial"/>
              </w:rPr>
              <w:t>4 (25.0)</w:t>
            </w:r>
          </w:p>
        </w:tc>
        <w:tc>
          <w:tcPr>
            <w:tcW w:w="1872" w:type="dxa"/>
            <w:vAlign w:val="center"/>
          </w:tcPr>
          <w:p w14:paraId="52BF2EFD" w14:textId="77777777" w:rsidR="00533C78" w:rsidRPr="00240BB4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0BB4">
              <w:rPr>
                <w:rFonts w:ascii="Arial" w:hAnsi="Arial" w:cs="Arial"/>
              </w:rPr>
              <w:t>3 (27.3)</w:t>
            </w:r>
          </w:p>
        </w:tc>
        <w:tc>
          <w:tcPr>
            <w:tcW w:w="1872" w:type="dxa"/>
            <w:vAlign w:val="center"/>
          </w:tcPr>
          <w:p w14:paraId="0B7A7316" w14:textId="77777777" w:rsidR="00533C78" w:rsidRPr="00240BB4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0BB4">
              <w:rPr>
                <w:rFonts w:ascii="Arial" w:hAnsi="Arial" w:cs="Arial"/>
              </w:rPr>
              <w:t>4 (20.0)</w:t>
            </w:r>
          </w:p>
        </w:tc>
        <w:tc>
          <w:tcPr>
            <w:tcW w:w="1872" w:type="dxa"/>
            <w:vAlign w:val="center"/>
          </w:tcPr>
          <w:p w14:paraId="739DB7EE" w14:textId="77777777" w:rsidR="00533C78" w:rsidRPr="00240BB4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0BB4">
              <w:rPr>
                <w:rFonts w:ascii="Arial" w:hAnsi="Arial" w:cs="Arial"/>
              </w:rPr>
              <w:t>11 (23.4)</w:t>
            </w:r>
          </w:p>
        </w:tc>
      </w:tr>
      <w:tr w:rsidR="00533C78" w14:paraId="1ED81293" w14:textId="77777777" w:rsidTr="00F14596">
        <w:trPr>
          <w:trHeight w:val="288"/>
        </w:trPr>
        <w:tc>
          <w:tcPr>
            <w:tcW w:w="6480" w:type="dxa"/>
            <w:vAlign w:val="center"/>
          </w:tcPr>
          <w:p w14:paraId="7267BA4D" w14:textId="77777777" w:rsidR="00533C78" w:rsidRDefault="00533C78" w:rsidP="00533C78">
            <w:pPr>
              <w:spacing w:after="0" w:line="240" w:lineRule="auto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29–35</w:t>
            </w:r>
          </w:p>
        </w:tc>
        <w:tc>
          <w:tcPr>
            <w:tcW w:w="1872" w:type="dxa"/>
            <w:vAlign w:val="center"/>
          </w:tcPr>
          <w:p w14:paraId="1063149C" w14:textId="77777777" w:rsidR="00533C78" w:rsidRPr="00240BB4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0BB4">
              <w:rPr>
                <w:rFonts w:ascii="Arial" w:hAnsi="Arial" w:cs="Arial"/>
              </w:rPr>
              <w:t>3 (18.8)</w:t>
            </w:r>
          </w:p>
        </w:tc>
        <w:tc>
          <w:tcPr>
            <w:tcW w:w="1872" w:type="dxa"/>
            <w:vAlign w:val="center"/>
          </w:tcPr>
          <w:p w14:paraId="441A693B" w14:textId="77777777" w:rsidR="00533C78" w:rsidRPr="00240BB4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0BB4">
              <w:rPr>
                <w:rFonts w:ascii="Arial" w:hAnsi="Arial" w:cs="Arial"/>
              </w:rPr>
              <w:t>2 (18.2)</w:t>
            </w:r>
          </w:p>
        </w:tc>
        <w:tc>
          <w:tcPr>
            <w:tcW w:w="1872" w:type="dxa"/>
            <w:vAlign w:val="center"/>
          </w:tcPr>
          <w:p w14:paraId="4443DDFE" w14:textId="77777777" w:rsidR="00533C78" w:rsidRPr="00240BB4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0BB4">
              <w:rPr>
                <w:rFonts w:ascii="Arial" w:hAnsi="Arial" w:cs="Arial"/>
              </w:rPr>
              <w:t>1 (5.0)</w:t>
            </w:r>
          </w:p>
        </w:tc>
        <w:tc>
          <w:tcPr>
            <w:tcW w:w="1872" w:type="dxa"/>
            <w:vAlign w:val="center"/>
          </w:tcPr>
          <w:p w14:paraId="7AA81FC7" w14:textId="77777777" w:rsidR="00533C78" w:rsidRPr="00240BB4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0BB4">
              <w:rPr>
                <w:rFonts w:ascii="Arial" w:hAnsi="Arial" w:cs="Arial"/>
              </w:rPr>
              <w:t>6 (12.8)</w:t>
            </w:r>
          </w:p>
        </w:tc>
      </w:tr>
      <w:tr w:rsidR="00533C78" w14:paraId="5F360B9F" w14:textId="77777777" w:rsidTr="00F14596">
        <w:trPr>
          <w:trHeight w:val="288"/>
        </w:trPr>
        <w:tc>
          <w:tcPr>
            <w:tcW w:w="6480" w:type="dxa"/>
            <w:vAlign w:val="center"/>
          </w:tcPr>
          <w:p w14:paraId="624D5FDA" w14:textId="77777777" w:rsidR="00533C78" w:rsidRDefault="00533C78" w:rsidP="00533C78">
            <w:pPr>
              <w:spacing w:after="0" w:line="240" w:lineRule="auto"/>
              <w:ind w:left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≥36</w:t>
            </w:r>
          </w:p>
        </w:tc>
        <w:tc>
          <w:tcPr>
            <w:tcW w:w="1872" w:type="dxa"/>
            <w:vAlign w:val="center"/>
          </w:tcPr>
          <w:p w14:paraId="4D630EDA" w14:textId="77777777" w:rsidR="00533C78" w:rsidRPr="00240BB4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0BB4">
              <w:rPr>
                <w:rFonts w:ascii="Arial" w:hAnsi="Arial" w:cs="Arial"/>
              </w:rPr>
              <w:t>6 (37.5)</w:t>
            </w:r>
          </w:p>
        </w:tc>
        <w:tc>
          <w:tcPr>
            <w:tcW w:w="1872" w:type="dxa"/>
            <w:vAlign w:val="center"/>
          </w:tcPr>
          <w:p w14:paraId="6C3DA72C" w14:textId="77777777" w:rsidR="00533C78" w:rsidRPr="00240BB4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0BB4">
              <w:rPr>
                <w:rFonts w:ascii="Arial" w:hAnsi="Arial" w:cs="Arial"/>
              </w:rPr>
              <w:t>4 (36.4)</w:t>
            </w:r>
          </w:p>
        </w:tc>
        <w:tc>
          <w:tcPr>
            <w:tcW w:w="1872" w:type="dxa"/>
            <w:vAlign w:val="center"/>
          </w:tcPr>
          <w:p w14:paraId="144324FE" w14:textId="77777777" w:rsidR="00533C78" w:rsidRPr="00240BB4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0BB4">
              <w:rPr>
                <w:rFonts w:ascii="Arial" w:hAnsi="Arial" w:cs="Arial"/>
              </w:rPr>
              <w:t>4 (20.0)</w:t>
            </w:r>
          </w:p>
        </w:tc>
        <w:tc>
          <w:tcPr>
            <w:tcW w:w="1872" w:type="dxa"/>
            <w:vAlign w:val="center"/>
          </w:tcPr>
          <w:p w14:paraId="6EEEEE3A" w14:textId="77777777" w:rsidR="00533C78" w:rsidRPr="00240BB4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40BB4">
              <w:rPr>
                <w:rFonts w:ascii="Arial" w:hAnsi="Arial" w:cs="Arial"/>
              </w:rPr>
              <w:t>14 (29.8)</w:t>
            </w:r>
          </w:p>
        </w:tc>
      </w:tr>
    </w:tbl>
    <w:bookmarkEnd w:id="3"/>
    <w:p w14:paraId="3768C9F9" w14:textId="77777777" w:rsidR="00533C78" w:rsidRDefault="00533C78" w:rsidP="00533C7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a </w:t>
      </w:r>
      <w:r>
        <w:rPr>
          <w:rFonts w:ascii="Arial" w:hAnsi="Arial" w:cs="Arial"/>
          <w:sz w:val="20"/>
          <w:szCs w:val="20"/>
        </w:rPr>
        <w:t xml:space="preserve">Venetoclax with 25 mg navitoclax for patients ≥45 kg. </w:t>
      </w:r>
    </w:p>
    <w:p w14:paraId="4A192EEC" w14:textId="77777777" w:rsidR="00533C78" w:rsidRDefault="00533C78" w:rsidP="00533C7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b </w:t>
      </w:r>
      <w:r>
        <w:rPr>
          <w:rFonts w:ascii="Arial" w:hAnsi="Arial" w:cs="Arial"/>
          <w:sz w:val="20"/>
          <w:szCs w:val="20"/>
        </w:rPr>
        <w:t xml:space="preserve">Venetoclax with 50 mg navitoclax for patients ≥45 kg and 25 mg navitoclax for patients &lt;45 kg. </w:t>
      </w:r>
    </w:p>
    <w:p w14:paraId="4329E8EE" w14:textId="77777777" w:rsidR="00533C78" w:rsidRDefault="00533C78" w:rsidP="00533C7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c </w:t>
      </w:r>
      <w:r>
        <w:rPr>
          <w:rFonts w:ascii="Arial" w:hAnsi="Arial" w:cs="Arial"/>
          <w:sz w:val="20"/>
          <w:szCs w:val="20"/>
        </w:rPr>
        <w:t xml:space="preserve">Venetoclax with 100 mg navitoclax for patients ≥45 kg and 50 mg navitoclax for patients &lt;45 kg. </w:t>
      </w:r>
    </w:p>
    <w:p w14:paraId="39D9BA18" w14:textId="77777777" w:rsidR="00533C78" w:rsidRDefault="00533C78" w:rsidP="00533C78">
      <w:pPr>
        <w:pStyle w:val="CommentText"/>
      </w:pPr>
    </w:p>
    <w:p w14:paraId="70C4F711" w14:textId="77777777" w:rsidR="00533C78" w:rsidRDefault="00533C78" w:rsidP="00533C78">
      <w:pPr>
        <w:spacing w:after="0" w:line="240" w:lineRule="auto"/>
        <w:rPr>
          <w:rFonts w:ascii="Arial" w:hAnsi="Arial" w:cs="Arial"/>
          <w:b/>
          <w:bCs/>
        </w:rPr>
        <w:sectPr w:rsidR="00533C78" w:rsidSect="00533C7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4F474AE6" w14:textId="77777777" w:rsidR="00533C78" w:rsidRPr="003A6FD2" w:rsidRDefault="00533C78" w:rsidP="00533C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Supplementary </w:t>
      </w:r>
      <w:r w:rsidRPr="003A6FD2">
        <w:rPr>
          <w:rFonts w:ascii="Arial" w:hAnsi="Arial" w:cs="Arial"/>
          <w:b/>
          <w:bCs/>
        </w:rPr>
        <w:t xml:space="preserve">Table </w:t>
      </w:r>
      <w:r>
        <w:rPr>
          <w:rFonts w:ascii="Arial" w:hAnsi="Arial" w:cs="Arial"/>
          <w:b/>
          <w:bCs/>
        </w:rPr>
        <w:t>S6</w:t>
      </w:r>
      <w:r w:rsidRPr="003A6FD2">
        <w:rPr>
          <w:rFonts w:ascii="Arial" w:hAnsi="Arial" w:cs="Arial"/>
          <w:b/>
          <w:bCs/>
        </w:rPr>
        <w:t xml:space="preserve">. </w:t>
      </w:r>
      <w:r w:rsidRPr="003A6FD2">
        <w:rPr>
          <w:rFonts w:ascii="Arial" w:hAnsi="Arial" w:cs="Arial"/>
        </w:rPr>
        <w:t xml:space="preserve">Summary of efficacy parameters by dose </w:t>
      </w:r>
      <w:r>
        <w:rPr>
          <w:rFonts w:ascii="Arial" w:hAnsi="Arial" w:cs="Arial"/>
        </w:rPr>
        <w:t>level</w:t>
      </w: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3024"/>
        <w:gridCol w:w="2016"/>
        <w:gridCol w:w="2016"/>
        <w:gridCol w:w="2016"/>
      </w:tblGrid>
      <w:tr w:rsidR="00533C78" w:rsidRPr="00B06A51" w14:paraId="12AD7AC1" w14:textId="77777777" w:rsidTr="00533C78">
        <w:trPr>
          <w:trHeight w:val="576"/>
        </w:trPr>
        <w:tc>
          <w:tcPr>
            <w:tcW w:w="3024" w:type="dxa"/>
            <w:vAlign w:val="center"/>
          </w:tcPr>
          <w:p w14:paraId="7D113FFA" w14:textId="77777777" w:rsidR="00533C78" w:rsidRPr="00B06A51" w:rsidRDefault="00533C78" w:rsidP="00533C7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6" w:type="dxa"/>
            <w:vAlign w:val="bottom"/>
          </w:tcPr>
          <w:p w14:paraId="19D065A4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Dose level 1</w:t>
            </w:r>
            <w:r w:rsidRPr="00BE4BE9">
              <w:rPr>
                <w:rFonts w:ascii="Arial" w:hAnsi="Arial" w:cs="Arial"/>
                <w:b/>
                <w:bCs/>
                <w:vertAlign w:val="superscript"/>
              </w:rPr>
              <w:t>a,b</w:t>
            </w:r>
          </w:p>
          <w:p w14:paraId="6AD7F5F4" w14:textId="77777777" w:rsidR="00533C78" w:rsidRPr="00B06A5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(n = 16)</w:t>
            </w:r>
          </w:p>
        </w:tc>
        <w:tc>
          <w:tcPr>
            <w:tcW w:w="2016" w:type="dxa"/>
            <w:vAlign w:val="bottom"/>
          </w:tcPr>
          <w:p w14:paraId="7A038660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Dose level 2</w:t>
            </w:r>
            <w:r w:rsidRPr="00BE4BE9">
              <w:rPr>
                <w:rFonts w:ascii="Arial" w:hAnsi="Arial" w:cs="Arial"/>
                <w:b/>
                <w:bCs/>
                <w:vertAlign w:val="superscript"/>
              </w:rPr>
              <w:t>a,c</w:t>
            </w:r>
          </w:p>
          <w:p w14:paraId="74471113" w14:textId="77777777" w:rsidR="00533C78" w:rsidRPr="00B06A5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(n = 11)</w:t>
            </w:r>
          </w:p>
        </w:tc>
        <w:tc>
          <w:tcPr>
            <w:tcW w:w="2016" w:type="dxa"/>
            <w:vAlign w:val="bottom"/>
          </w:tcPr>
          <w:p w14:paraId="6566FE03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Dose level 3</w:t>
            </w:r>
            <w:r w:rsidRPr="00BE4BE9">
              <w:rPr>
                <w:rFonts w:ascii="Arial" w:hAnsi="Arial" w:cs="Arial"/>
                <w:b/>
                <w:bCs/>
                <w:vertAlign w:val="superscript"/>
              </w:rPr>
              <w:t>a,d</w:t>
            </w:r>
          </w:p>
          <w:p w14:paraId="3B2B9986" w14:textId="77777777" w:rsidR="00533C78" w:rsidRPr="00B06A5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(n = 20)</w:t>
            </w:r>
          </w:p>
        </w:tc>
      </w:tr>
      <w:tr w:rsidR="00533C78" w:rsidRPr="00B06A51" w14:paraId="5537FFA7" w14:textId="77777777" w:rsidTr="00533C78">
        <w:trPr>
          <w:trHeight w:val="576"/>
        </w:trPr>
        <w:tc>
          <w:tcPr>
            <w:tcW w:w="3024" w:type="dxa"/>
          </w:tcPr>
          <w:p w14:paraId="244B061F" w14:textId="77777777" w:rsidR="00533C78" w:rsidRPr="00B06A51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 w:rsidRPr="00B06A51">
              <w:rPr>
                <w:rFonts w:ascii="Arial" w:hAnsi="Arial" w:cs="Arial"/>
              </w:rPr>
              <w:t>Response, n (%)</w:t>
            </w:r>
          </w:p>
          <w:p w14:paraId="6D369C17" w14:textId="77777777" w:rsidR="00533C78" w:rsidRPr="00B06A51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 w:rsidRPr="00B06A51">
              <w:rPr>
                <w:rFonts w:ascii="Arial" w:hAnsi="Arial" w:cs="Arial"/>
              </w:rPr>
              <w:t xml:space="preserve">   CR</w:t>
            </w:r>
            <w:r>
              <w:rPr>
                <w:rFonts w:ascii="Arial" w:hAnsi="Arial" w:cs="Arial"/>
              </w:rPr>
              <w:t xml:space="preserve"> rate (CR/CR</w:t>
            </w:r>
            <w:r w:rsidRPr="00BE4BE9">
              <w:rPr>
                <w:rFonts w:ascii="Arial" w:hAnsi="Arial" w:cs="Arial"/>
                <w:vertAlign w:val="subscript"/>
              </w:rPr>
              <w:t>i</w:t>
            </w:r>
            <w:r>
              <w:rPr>
                <w:rFonts w:ascii="Arial" w:hAnsi="Arial" w:cs="Arial"/>
              </w:rPr>
              <w:t>/CR</w:t>
            </w:r>
            <w:r w:rsidRPr="00BE4BE9">
              <w:rPr>
                <w:rFonts w:ascii="Arial" w:hAnsi="Arial" w:cs="Arial"/>
                <w:vertAlign w:val="subscript"/>
              </w:rPr>
              <w:t>p</w:t>
            </w:r>
            <w:r>
              <w:rPr>
                <w:rFonts w:ascii="Arial" w:hAnsi="Arial" w:cs="Arial"/>
              </w:rPr>
              <w:t>)</w:t>
            </w:r>
          </w:p>
          <w:p w14:paraId="630F0D79" w14:textId="77777777" w:rsidR="00533C78" w:rsidRPr="00B06A51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 w:rsidRPr="00B06A51">
              <w:rPr>
                <w:rFonts w:ascii="Arial" w:hAnsi="Arial" w:cs="Arial"/>
              </w:rPr>
              <w:t xml:space="preserve">   PR</w:t>
            </w:r>
          </w:p>
          <w:p w14:paraId="5384C32E" w14:textId="77777777" w:rsidR="00533C78" w:rsidRPr="00B06A51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 w:rsidRPr="00B06A51">
              <w:rPr>
                <w:rFonts w:ascii="Arial" w:hAnsi="Arial" w:cs="Arial"/>
              </w:rPr>
              <w:t xml:space="preserve">   SD</w:t>
            </w:r>
          </w:p>
          <w:p w14:paraId="7784880D" w14:textId="3E36567E" w:rsidR="00533C78" w:rsidRPr="00B06A51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 w:rsidRPr="00B06A51">
              <w:rPr>
                <w:rFonts w:ascii="Arial" w:hAnsi="Arial" w:cs="Arial"/>
              </w:rPr>
              <w:t xml:space="preserve">   PD</w:t>
            </w:r>
          </w:p>
        </w:tc>
        <w:tc>
          <w:tcPr>
            <w:tcW w:w="2016" w:type="dxa"/>
            <w:vAlign w:val="bottom"/>
          </w:tcPr>
          <w:p w14:paraId="525B00EC" w14:textId="77777777" w:rsidR="00191C86" w:rsidRDefault="00191C86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2644A84" w14:textId="02C81F0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 (75.0)</w:t>
            </w:r>
          </w:p>
          <w:p w14:paraId="4C8B8417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(6.3)</w:t>
            </w:r>
          </w:p>
          <w:p w14:paraId="1F5753E7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(18.8)</w:t>
            </w:r>
          </w:p>
          <w:p w14:paraId="055FA761" w14:textId="6C88E551" w:rsidR="00533C78" w:rsidRPr="00B06A51" w:rsidRDefault="00533C78" w:rsidP="00191C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16" w:type="dxa"/>
            <w:vAlign w:val="bottom"/>
          </w:tcPr>
          <w:p w14:paraId="41A4F1E8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(72.7)</w:t>
            </w:r>
          </w:p>
          <w:p w14:paraId="6FE11790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(9.1)</w:t>
            </w:r>
          </w:p>
          <w:p w14:paraId="2951D7B0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(18.2)</w:t>
            </w:r>
          </w:p>
          <w:p w14:paraId="11056628" w14:textId="5AD236F5" w:rsidR="00533C78" w:rsidRPr="00B06A51" w:rsidRDefault="00533C78" w:rsidP="00191C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016" w:type="dxa"/>
            <w:vAlign w:val="bottom"/>
          </w:tcPr>
          <w:p w14:paraId="172CD298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(40.0)</w:t>
            </w:r>
          </w:p>
          <w:p w14:paraId="2D97BE54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(5.0)</w:t>
            </w:r>
          </w:p>
          <w:p w14:paraId="316D5D54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(15.0)</w:t>
            </w:r>
          </w:p>
          <w:p w14:paraId="2A2E81D8" w14:textId="4D932973" w:rsidR="00533C78" w:rsidRPr="00B06A51" w:rsidRDefault="00533C78" w:rsidP="00191C8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(40.0)</w:t>
            </w:r>
          </w:p>
        </w:tc>
      </w:tr>
      <w:tr w:rsidR="00533C78" w:rsidRPr="00B06A51" w14:paraId="646A797C" w14:textId="77777777" w:rsidTr="00533C78">
        <w:trPr>
          <w:trHeight w:val="576"/>
        </w:trPr>
        <w:tc>
          <w:tcPr>
            <w:tcW w:w="3024" w:type="dxa"/>
          </w:tcPr>
          <w:p w14:paraId="60578EBF" w14:textId="77777777" w:rsidR="00533C78" w:rsidRPr="00B06A51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 w:rsidRPr="00B06A51">
              <w:rPr>
                <w:rFonts w:ascii="Arial" w:hAnsi="Arial" w:cs="Arial"/>
              </w:rPr>
              <w:t>DOR</w:t>
            </w:r>
            <w:r>
              <w:rPr>
                <w:rFonts w:ascii="Arial" w:hAnsi="Arial" w:cs="Arial"/>
                <w:vertAlign w:val="superscript"/>
              </w:rPr>
              <w:t>e</w:t>
            </w:r>
            <w:r w:rsidRPr="00B06A51">
              <w:rPr>
                <w:rFonts w:ascii="Arial" w:hAnsi="Arial" w:cs="Arial"/>
              </w:rPr>
              <w:t xml:space="preserve"> in all responders</w:t>
            </w:r>
          </w:p>
          <w:p w14:paraId="1A0C1081" w14:textId="77777777" w:rsidR="00533C78" w:rsidRPr="00B06A51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 w:rsidRPr="00B06A51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>n</w:t>
            </w:r>
          </w:p>
          <w:p w14:paraId="5BE1D38B" w14:textId="77777777" w:rsidR="00533C78" w:rsidRPr="00B06A51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 w:rsidRPr="00B06A51">
              <w:rPr>
                <w:rFonts w:ascii="Arial" w:hAnsi="Arial" w:cs="Arial"/>
              </w:rPr>
              <w:t xml:space="preserve">   Median (95% CI)</w:t>
            </w:r>
            <w:r>
              <w:rPr>
                <w:rFonts w:ascii="Arial" w:hAnsi="Arial" w:cs="Arial"/>
              </w:rPr>
              <w:t>, mo</w:t>
            </w:r>
          </w:p>
        </w:tc>
        <w:tc>
          <w:tcPr>
            <w:tcW w:w="2016" w:type="dxa"/>
            <w:vAlign w:val="bottom"/>
          </w:tcPr>
          <w:p w14:paraId="017D5B8F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  <w:p w14:paraId="412E2B2E" w14:textId="77777777" w:rsidR="00533C78" w:rsidRPr="00B06A5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 (1.4–12.3)</w:t>
            </w:r>
          </w:p>
        </w:tc>
        <w:tc>
          <w:tcPr>
            <w:tcW w:w="2016" w:type="dxa"/>
            <w:vAlign w:val="bottom"/>
          </w:tcPr>
          <w:p w14:paraId="233B6053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 </w:t>
            </w:r>
          </w:p>
          <w:p w14:paraId="37EB2293" w14:textId="77777777" w:rsidR="00533C78" w:rsidRPr="00B06A5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 (0.7–9.1)</w:t>
            </w:r>
          </w:p>
        </w:tc>
        <w:tc>
          <w:tcPr>
            <w:tcW w:w="2016" w:type="dxa"/>
            <w:vAlign w:val="bottom"/>
          </w:tcPr>
          <w:p w14:paraId="529A33BF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14:paraId="00C01822" w14:textId="77777777" w:rsidR="00533C78" w:rsidRPr="00B06A5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 (0.8–NA)</w:t>
            </w:r>
          </w:p>
        </w:tc>
      </w:tr>
      <w:tr w:rsidR="00533C78" w:rsidRPr="00B06A51" w14:paraId="672CF502" w14:textId="77777777" w:rsidTr="00533C78">
        <w:trPr>
          <w:trHeight w:val="576"/>
        </w:trPr>
        <w:tc>
          <w:tcPr>
            <w:tcW w:w="3024" w:type="dxa"/>
          </w:tcPr>
          <w:p w14:paraId="63C37F89" w14:textId="77777777" w:rsidR="00533C78" w:rsidRPr="00B06A51" w:rsidRDefault="00533C78" w:rsidP="00533C78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B06A51">
              <w:rPr>
                <w:rFonts w:ascii="Arial" w:hAnsi="Arial" w:cs="Arial"/>
                <w:lang w:val="pl-PL"/>
              </w:rPr>
              <w:t>OS</w:t>
            </w:r>
          </w:p>
          <w:p w14:paraId="5E0088E1" w14:textId="77777777" w:rsidR="00533C78" w:rsidRPr="00B06A51" w:rsidRDefault="00533C78" w:rsidP="00533C78">
            <w:pPr>
              <w:spacing w:after="0" w:line="240" w:lineRule="auto"/>
              <w:rPr>
                <w:rFonts w:ascii="Arial" w:hAnsi="Arial" w:cs="Arial"/>
                <w:lang w:val="pl-PL"/>
              </w:rPr>
            </w:pPr>
            <w:r w:rsidRPr="00B06A51">
              <w:rPr>
                <w:rFonts w:ascii="Arial" w:hAnsi="Arial" w:cs="Arial"/>
                <w:lang w:val="pl-PL"/>
              </w:rPr>
              <w:t xml:space="preserve">   Median (95% CI)</w:t>
            </w:r>
            <w:r>
              <w:rPr>
                <w:rFonts w:ascii="Arial" w:hAnsi="Arial" w:cs="Arial"/>
                <w:lang w:val="pl-PL"/>
              </w:rPr>
              <w:t>, mo</w:t>
            </w:r>
          </w:p>
          <w:p w14:paraId="558FFEF9" w14:textId="77777777" w:rsidR="00533C78" w:rsidRPr="00B06A51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 w:rsidRPr="00B06A51">
              <w:rPr>
                <w:rFonts w:ascii="Arial" w:hAnsi="Arial" w:cs="Arial"/>
                <w:lang w:val="pl-PL"/>
              </w:rPr>
              <w:t xml:space="preserve">   12</w:t>
            </w:r>
            <w:r>
              <w:rPr>
                <w:rFonts w:ascii="Arial" w:hAnsi="Arial" w:cs="Arial"/>
                <w:lang w:val="pl-PL"/>
              </w:rPr>
              <w:t>-</w:t>
            </w:r>
            <w:r w:rsidRPr="00B06A51">
              <w:rPr>
                <w:rFonts w:ascii="Arial" w:hAnsi="Arial" w:cs="Arial"/>
                <w:lang w:val="pl-PL"/>
              </w:rPr>
              <w:t>mo</w:t>
            </w:r>
            <w:r>
              <w:rPr>
                <w:rFonts w:ascii="Arial" w:hAnsi="Arial" w:cs="Arial"/>
                <w:lang w:val="pl-PL"/>
              </w:rPr>
              <w:t>nth</w:t>
            </w:r>
            <w:r w:rsidRPr="00B06A51">
              <w:rPr>
                <w:rFonts w:ascii="Arial" w:hAnsi="Arial" w:cs="Arial"/>
                <w:lang w:val="pl-PL"/>
              </w:rPr>
              <w:t>, % (95% CI)</w:t>
            </w:r>
          </w:p>
        </w:tc>
        <w:tc>
          <w:tcPr>
            <w:tcW w:w="2016" w:type="dxa"/>
            <w:vAlign w:val="bottom"/>
          </w:tcPr>
          <w:p w14:paraId="10356B21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9.7 (2.7–16.9)</w:t>
            </w:r>
          </w:p>
          <w:p w14:paraId="6C5B8E34" w14:textId="77777777" w:rsidR="00533C78" w:rsidRPr="00B06A5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41.7 (17.7–64.3)</w:t>
            </w:r>
          </w:p>
        </w:tc>
        <w:tc>
          <w:tcPr>
            <w:tcW w:w="2016" w:type="dxa"/>
            <w:vAlign w:val="bottom"/>
          </w:tcPr>
          <w:p w14:paraId="0F6B4A18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(3.3–NA)</w:t>
            </w:r>
          </w:p>
          <w:p w14:paraId="22062F19" w14:textId="77777777" w:rsidR="00533C78" w:rsidRPr="00B06A5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53.0 (20.9–77.3)</w:t>
            </w:r>
          </w:p>
        </w:tc>
        <w:tc>
          <w:tcPr>
            <w:tcW w:w="2016" w:type="dxa"/>
            <w:vAlign w:val="bottom"/>
          </w:tcPr>
          <w:p w14:paraId="62498448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 (0.8–7.8)</w:t>
            </w:r>
          </w:p>
          <w:p w14:paraId="3964B2D2" w14:textId="77777777" w:rsidR="00533C78" w:rsidRPr="00B06A5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</w:tr>
      <w:tr w:rsidR="00533C78" w:rsidRPr="00B06A51" w14:paraId="2D661869" w14:textId="77777777" w:rsidTr="00533C78">
        <w:trPr>
          <w:trHeight w:val="576"/>
        </w:trPr>
        <w:tc>
          <w:tcPr>
            <w:tcW w:w="3024" w:type="dxa"/>
          </w:tcPr>
          <w:p w14:paraId="42C03BF2" w14:textId="77777777" w:rsidR="00533C78" w:rsidRPr="00B06A51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 w:rsidRPr="00B06A51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one marrow</w:t>
            </w:r>
            <w:r w:rsidRPr="00B06A51">
              <w:rPr>
                <w:rFonts w:ascii="Arial" w:hAnsi="Arial" w:cs="Arial"/>
              </w:rPr>
              <w:t xml:space="preserve"> MRD, n (%)</w:t>
            </w:r>
          </w:p>
          <w:p w14:paraId="63C8942B" w14:textId="77777777" w:rsidR="00533C78" w:rsidRPr="00D5464B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 w:rsidRPr="00B06A51">
              <w:rPr>
                <w:rFonts w:ascii="Arial" w:hAnsi="Arial" w:cs="Arial"/>
              </w:rPr>
              <w:t xml:space="preserve">   MRD</w:t>
            </w:r>
            <w:r>
              <w:rPr>
                <w:rFonts w:ascii="Arial" w:hAnsi="Arial" w:cs="Arial"/>
              </w:rPr>
              <w:t xml:space="preserve"> negative (&lt;10</w:t>
            </w:r>
            <w:r>
              <w:rPr>
                <w:rFonts w:ascii="Arial" w:hAnsi="Arial" w:cs="Arial"/>
                <w:vertAlign w:val="superscript"/>
              </w:rPr>
              <w:t>-4</w:t>
            </w:r>
            <w:r>
              <w:rPr>
                <w:rFonts w:ascii="Arial" w:hAnsi="Arial" w:cs="Arial"/>
              </w:rPr>
              <w:t>)</w:t>
            </w:r>
          </w:p>
          <w:p w14:paraId="20E92CFC" w14:textId="77777777" w:rsidR="00533C78" w:rsidRPr="00B06A51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 w:rsidRPr="00B06A51">
              <w:rPr>
                <w:rFonts w:ascii="Arial" w:hAnsi="Arial" w:cs="Arial"/>
              </w:rPr>
              <w:t xml:space="preserve">   MRD</w:t>
            </w:r>
            <w:r>
              <w:rPr>
                <w:rFonts w:ascii="Arial" w:hAnsi="Arial" w:cs="Arial"/>
              </w:rPr>
              <w:t xml:space="preserve"> positive</w:t>
            </w:r>
          </w:p>
          <w:p w14:paraId="2C6F8096" w14:textId="77777777" w:rsidR="00533C78" w:rsidRPr="00B06A51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 w:rsidRPr="00B06A51">
              <w:rPr>
                <w:rFonts w:ascii="Arial" w:hAnsi="Arial" w:cs="Arial"/>
              </w:rPr>
              <w:t xml:space="preserve">   Other</w:t>
            </w:r>
            <w:r>
              <w:rPr>
                <w:rFonts w:ascii="Arial" w:hAnsi="Arial" w:cs="Arial"/>
                <w:vertAlign w:val="superscript"/>
              </w:rPr>
              <w:t>f</w:t>
            </w:r>
          </w:p>
        </w:tc>
        <w:tc>
          <w:tcPr>
            <w:tcW w:w="2016" w:type="dxa"/>
            <w:vAlign w:val="bottom"/>
          </w:tcPr>
          <w:p w14:paraId="4CA4C771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(50.0)</w:t>
            </w:r>
          </w:p>
          <w:p w14:paraId="688428CB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(37.5)</w:t>
            </w:r>
          </w:p>
          <w:p w14:paraId="311DDF6B" w14:textId="77777777" w:rsidR="00533C78" w:rsidRPr="00B06A5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(12.5)</w:t>
            </w:r>
          </w:p>
        </w:tc>
        <w:tc>
          <w:tcPr>
            <w:tcW w:w="2016" w:type="dxa"/>
            <w:vAlign w:val="bottom"/>
          </w:tcPr>
          <w:p w14:paraId="6210E662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(27.3)</w:t>
            </w:r>
          </w:p>
          <w:p w14:paraId="3D6327A0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(36.4)</w:t>
            </w:r>
          </w:p>
          <w:p w14:paraId="1FF3FFCA" w14:textId="77777777" w:rsidR="00533C78" w:rsidRPr="00B06A5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(36.4)</w:t>
            </w:r>
          </w:p>
        </w:tc>
        <w:tc>
          <w:tcPr>
            <w:tcW w:w="2016" w:type="dxa"/>
            <w:vAlign w:val="bottom"/>
          </w:tcPr>
          <w:p w14:paraId="6EA8B9FA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(25.0)</w:t>
            </w:r>
          </w:p>
          <w:p w14:paraId="59F3A49A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(20.0)</w:t>
            </w:r>
          </w:p>
          <w:p w14:paraId="72FEA0A7" w14:textId="77777777" w:rsidR="00533C78" w:rsidRPr="00B06A5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 (55.0)</w:t>
            </w:r>
          </w:p>
        </w:tc>
      </w:tr>
      <w:tr w:rsidR="00533C78" w:rsidRPr="00B06A51" w14:paraId="6C34F33F" w14:textId="77777777" w:rsidTr="00533C78">
        <w:trPr>
          <w:trHeight w:val="576"/>
        </w:trPr>
        <w:tc>
          <w:tcPr>
            <w:tcW w:w="3024" w:type="dxa"/>
          </w:tcPr>
          <w:p w14:paraId="40C343CB" w14:textId="77777777" w:rsidR="00533C78" w:rsidRPr="00B06A51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Proceeded to CAR T-cell therapy or HCT, n (%)</w:t>
            </w:r>
          </w:p>
        </w:tc>
        <w:tc>
          <w:tcPr>
            <w:tcW w:w="2016" w:type="dxa"/>
            <w:vAlign w:val="center"/>
          </w:tcPr>
          <w:p w14:paraId="1E0C9FCF" w14:textId="77777777" w:rsidR="00533C78" w:rsidRPr="00B06A5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(25.0)</w:t>
            </w:r>
          </w:p>
        </w:tc>
        <w:tc>
          <w:tcPr>
            <w:tcW w:w="2016" w:type="dxa"/>
            <w:vAlign w:val="center"/>
          </w:tcPr>
          <w:p w14:paraId="655B929A" w14:textId="77777777" w:rsidR="00533C78" w:rsidRPr="00B06A5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(54.5)</w:t>
            </w:r>
          </w:p>
        </w:tc>
        <w:tc>
          <w:tcPr>
            <w:tcW w:w="2016" w:type="dxa"/>
            <w:vAlign w:val="center"/>
          </w:tcPr>
          <w:p w14:paraId="051405F3" w14:textId="77777777" w:rsidR="00533C78" w:rsidRPr="00B06A5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(15.0)</w:t>
            </w:r>
          </w:p>
        </w:tc>
      </w:tr>
    </w:tbl>
    <w:p w14:paraId="4664AC07" w14:textId="77777777" w:rsidR="00533C78" w:rsidRDefault="00533C78" w:rsidP="00533C7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E4BE9">
        <w:rPr>
          <w:rFonts w:ascii="Arial" w:hAnsi="Arial" w:cs="Arial"/>
          <w:sz w:val="20"/>
          <w:szCs w:val="20"/>
          <w:vertAlign w:val="superscript"/>
        </w:rPr>
        <w:t>a</w:t>
      </w:r>
      <w:r w:rsidRPr="00B06A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Includes patients with LL and those with morphologic CR at baseline. </w:t>
      </w:r>
    </w:p>
    <w:p w14:paraId="1F285100" w14:textId="77777777" w:rsidR="00533C78" w:rsidRDefault="00533C78" w:rsidP="00533C7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b </w:t>
      </w:r>
      <w:r>
        <w:rPr>
          <w:rFonts w:ascii="Arial" w:hAnsi="Arial" w:cs="Arial"/>
          <w:sz w:val="20"/>
          <w:szCs w:val="20"/>
        </w:rPr>
        <w:t xml:space="preserve">Venetoclax with 25 mg navitoclax for patients ≥45 kg. </w:t>
      </w:r>
    </w:p>
    <w:p w14:paraId="68B83946" w14:textId="77777777" w:rsidR="00533C78" w:rsidRDefault="00533C78" w:rsidP="00533C7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c </w:t>
      </w:r>
      <w:r>
        <w:rPr>
          <w:rFonts w:ascii="Arial" w:hAnsi="Arial" w:cs="Arial"/>
          <w:sz w:val="20"/>
          <w:szCs w:val="20"/>
        </w:rPr>
        <w:t xml:space="preserve">Venetoclax with 50 mg navitoclax for patients ≥45 kg and 25 mg navitoclax for patients &lt;45 kg. </w:t>
      </w:r>
    </w:p>
    <w:p w14:paraId="7E7A2F2F" w14:textId="77777777" w:rsidR="00533C78" w:rsidRDefault="00533C78" w:rsidP="00533C7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d </w:t>
      </w:r>
      <w:r>
        <w:rPr>
          <w:rFonts w:ascii="Arial" w:hAnsi="Arial" w:cs="Arial"/>
          <w:sz w:val="20"/>
          <w:szCs w:val="20"/>
        </w:rPr>
        <w:t xml:space="preserve">Venetoclax with 100 mg navitoclax for patients ≥45 kg and 50 mg navitoclax for patients &lt;45 kg. </w:t>
      </w:r>
    </w:p>
    <w:p w14:paraId="30710879" w14:textId="77777777" w:rsidR="00533C78" w:rsidRPr="007F66AF" w:rsidRDefault="00533C78" w:rsidP="00533C78">
      <w:pPr>
        <w:spacing w:after="0" w:line="360" w:lineRule="auto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e</w:t>
      </w:r>
      <w:r w:rsidRPr="007F66A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7F66AF">
        <w:rPr>
          <w:rFonts w:ascii="Arial" w:hAnsi="Arial" w:cs="Arial"/>
          <w:sz w:val="20"/>
          <w:szCs w:val="20"/>
        </w:rPr>
        <w:t>Patients who went to CAR</w:t>
      </w:r>
      <w:r>
        <w:rPr>
          <w:rFonts w:ascii="Arial" w:hAnsi="Arial" w:cs="Arial"/>
          <w:sz w:val="20"/>
          <w:szCs w:val="20"/>
        </w:rPr>
        <w:t xml:space="preserve"> </w:t>
      </w:r>
      <w:r w:rsidRPr="007F66AF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-</w:t>
      </w:r>
      <w:r w:rsidRPr="007F66AF">
        <w:rPr>
          <w:rFonts w:ascii="Arial" w:hAnsi="Arial" w:cs="Arial"/>
          <w:sz w:val="20"/>
          <w:szCs w:val="20"/>
        </w:rPr>
        <w:t>cell therapy or transplant were censored at last tumor assessment date.</w:t>
      </w:r>
    </w:p>
    <w:p w14:paraId="7B5EE118" w14:textId="77777777" w:rsidR="00533C78" w:rsidRPr="007F66AF" w:rsidRDefault="00533C78" w:rsidP="00533C78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f</w:t>
      </w:r>
      <w:r w:rsidRPr="003D42BE">
        <w:rPr>
          <w:rFonts w:ascii="Arial" w:hAnsi="Arial" w:cs="Arial"/>
          <w:sz w:val="20"/>
          <w:szCs w:val="20"/>
        </w:rPr>
        <w:t xml:space="preserve"> </w:t>
      </w:r>
      <w:r w:rsidRPr="007F66AF">
        <w:rPr>
          <w:rFonts w:ascii="Arial" w:hAnsi="Arial" w:cs="Arial"/>
          <w:sz w:val="20"/>
          <w:szCs w:val="20"/>
        </w:rPr>
        <w:t>MRD assessment was missing or not evaluated (e</w:t>
      </w:r>
      <w:r>
        <w:rPr>
          <w:rFonts w:ascii="Arial" w:hAnsi="Arial" w:cs="Arial"/>
          <w:sz w:val="20"/>
          <w:szCs w:val="20"/>
        </w:rPr>
        <w:t>.</w:t>
      </w:r>
      <w:r w:rsidRPr="007F66AF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>.</w:t>
      </w:r>
      <w:r w:rsidRPr="007F66AF">
        <w:rPr>
          <w:rFonts w:ascii="Arial" w:hAnsi="Arial" w:cs="Arial"/>
          <w:sz w:val="20"/>
          <w:szCs w:val="20"/>
        </w:rPr>
        <w:t xml:space="preserve">, nonresponders). </w:t>
      </w:r>
    </w:p>
    <w:p w14:paraId="01EE5F71" w14:textId="77777777" w:rsidR="00533C78" w:rsidRDefault="00533C78" w:rsidP="00533C78">
      <w:pPr>
        <w:spacing w:after="0" w:line="360" w:lineRule="auto"/>
        <w:rPr>
          <w:rFonts w:ascii="Arial" w:hAnsi="Arial" w:cs="Arial"/>
          <w:b/>
          <w:bCs/>
        </w:rPr>
      </w:pPr>
      <w:r w:rsidRPr="007F66AF">
        <w:rPr>
          <w:rFonts w:ascii="Arial" w:hAnsi="Arial" w:cs="Arial"/>
          <w:sz w:val="20"/>
          <w:szCs w:val="20"/>
        </w:rPr>
        <w:t>Abbreviations: CAR</w:t>
      </w:r>
      <w:r>
        <w:rPr>
          <w:rFonts w:ascii="Arial" w:hAnsi="Arial" w:cs="Arial"/>
          <w:sz w:val="20"/>
          <w:szCs w:val="20"/>
        </w:rPr>
        <w:t xml:space="preserve"> </w:t>
      </w:r>
      <w:r w:rsidRPr="007F66AF">
        <w:rPr>
          <w:rFonts w:ascii="Arial" w:hAnsi="Arial" w:cs="Arial"/>
          <w:sz w:val="20"/>
          <w:szCs w:val="20"/>
        </w:rPr>
        <w:t>T, chimeric antigen receptor T</w:t>
      </w:r>
      <w:r>
        <w:rPr>
          <w:rFonts w:ascii="Arial" w:hAnsi="Arial" w:cs="Arial"/>
          <w:sz w:val="20"/>
          <w:szCs w:val="20"/>
        </w:rPr>
        <w:t>-</w:t>
      </w:r>
      <w:r w:rsidRPr="007F66AF">
        <w:rPr>
          <w:rFonts w:ascii="Arial" w:hAnsi="Arial" w:cs="Arial"/>
          <w:sz w:val="20"/>
          <w:szCs w:val="20"/>
        </w:rPr>
        <w:t>cell; CR, complete remission; CR</w:t>
      </w:r>
      <w:r w:rsidRPr="007F66AF">
        <w:rPr>
          <w:rFonts w:ascii="Arial" w:hAnsi="Arial" w:cs="Arial"/>
          <w:sz w:val="20"/>
          <w:szCs w:val="20"/>
          <w:vertAlign w:val="subscript"/>
        </w:rPr>
        <w:t>i</w:t>
      </w:r>
      <w:r w:rsidRPr="007F66AF">
        <w:rPr>
          <w:rFonts w:ascii="Arial" w:hAnsi="Arial" w:cs="Arial"/>
          <w:sz w:val="20"/>
          <w:szCs w:val="20"/>
        </w:rPr>
        <w:t>, complete remission with incomplete</w:t>
      </w:r>
      <w:r>
        <w:rPr>
          <w:rFonts w:ascii="Arial" w:hAnsi="Arial" w:cs="Arial"/>
          <w:sz w:val="20"/>
          <w:szCs w:val="20"/>
        </w:rPr>
        <w:t xml:space="preserve"> marrow recovery; CR</w:t>
      </w:r>
      <w:r>
        <w:rPr>
          <w:rFonts w:ascii="Arial" w:hAnsi="Arial" w:cs="Arial"/>
          <w:sz w:val="20"/>
          <w:szCs w:val="20"/>
          <w:vertAlign w:val="subscript"/>
        </w:rPr>
        <w:t>p</w:t>
      </w:r>
      <w:r>
        <w:rPr>
          <w:rFonts w:ascii="Arial" w:hAnsi="Arial" w:cs="Arial"/>
          <w:sz w:val="20"/>
          <w:szCs w:val="20"/>
        </w:rPr>
        <w:t xml:space="preserve">, complete remission without platelet recovery; </w:t>
      </w:r>
      <w:r w:rsidRPr="00B06A51">
        <w:rPr>
          <w:rFonts w:ascii="Arial" w:hAnsi="Arial" w:cs="Arial"/>
          <w:sz w:val="20"/>
          <w:szCs w:val="20"/>
        </w:rPr>
        <w:t xml:space="preserve">DOR, duration of response; </w:t>
      </w:r>
      <w:r>
        <w:rPr>
          <w:rFonts w:ascii="Arial" w:hAnsi="Arial" w:cs="Arial"/>
          <w:sz w:val="20"/>
          <w:szCs w:val="20"/>
        </w:rPr>
        <w:t xml:space="preserve">HCT, hematopoietic cell transplantation; </w:t>
      </w:r>
      <w:r w:rsidRPr="00B06A51">
        <w:rPr>
          <w:rFonts w:ascii="Arial" w:hAnsi="Arial" w:cs="Arial"/>
          <w:sz w:val="20"/>
          <w:szCs w:val="20"/>
        </w:rPr>
        <w:t>MRD, minimal residual disease; NA, not available; OS, overall survival</w:t>
      </w:r>
      <w:r>
        <w:rPr>
          <w:rFonts w:ascii="Arial" w:hAnsi="Arial" w:cs="Arial"/>
          <w:sz w:val="20"/>
          <w:szCs w:val="20"/>
        </w:rPr>
        <w:t>; PD, progressive disease; PR, partial response; SD, stable disease</w:t>
      </w:r>
      <w:r w:rsidRPr="00B06A5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b/>
          <w:bCs/>
        </w:rPr>
        <w:br w:type="page"/>
      </w:r>
    </w:p>
    <w:p w14:paraId="30D02022" w14:textId="77777777" w:rsidR="00533C78" w:rsidRPr="00D41278" w:rsidRDefault="00533C78" w:rsidP="00533C78">
      <w:pPr>
        <w:spacing w:after="0" w:line="360" w:lineRule="auto"/>
        <w:rPr>
          <w:rFonts w:ascii="Arial" w:hAnsi="Arial" w:cs="Arial"/>
        </w:rPr>
      </w:pPr>
      <w:r w:rsidRPr="00D41278">
        <w:rPr>
          <w:rFonts w:ascii="Arial" w:hAnsi="Arial" w:cs="Arial"/>
          <w:b/>
          <w:bCs/>
        </w:rPr>
        <w:lastRenderedPageBreak/>
        <w:t>Supplementary Table S</w:t>
      </w:r>
      <w:r>
        <w:rPr>
          <w:rFonts w:ascii="Arial" w:hAnsi="Arial" w:cs="Arial"/>
          <w:b/>
          <w:bCs/>
        </w:rPr>
        <w:t>7</w:t>
      </w:r>
      <w:r w:rsidRPr="00D41278">
        <w:rPr>
          <w:rFonts w:ascii="Arial" w:hAnsi="Arial" w:cs="Arial"/>
          <w:b/>
          <w:bCs/>
        </w:rPr>
        <w:t xml:space="preserve">. </w:t>
      </w:r>
      <w:r w:rsidRPr="00D41278">
        <w:rPr>
          <w:rFonts w:ascii="Arial" w:hAnsi="Arial" w:cs="Arial"/>
        </w:rPr>
        <w:t>Venetoclax dosing</w:t>
      </w:r>
    </w:p>
    <w:tbl>
      <w:tblPr>
        <w:tblStyle w:val="TableGrid"/>
        <w:tblW w:w="7488" w:type="dxa"/>
        <w:tblLook w:val="04A0" w:firstRow="1" w:lastRow="0" w:firstColumn="1" w:lastColumn="0" w:noHBand="0" w:noVBand="1"/>
      </w:tblPr>
      <w:tblGrid>
        <w:gridCol w:w="2304"/>
        <w:gridCol w:w="2592"/>
        <w:gridCol w:w="2592"/>
      </w:tblGrid>
      <w:tr w:rsidR="00533C78" w:rsidRPr="00B06A51" w14:paraId="651A077B" w14:textId="77777777" w:rsidTr="00533C78">
        <w:trPr>
          <w:trHeight w:val="576"/>
        </w:trPr>
        <w:tc>
          <w:tcPr>
            <w:tcW w:w="2304" w:type="dxa"/>
            <w:vAlign w:val="center"/>
          </w:tcPr>
          <w:p w14:paraId="3B6D8707" w14:textId="77777777" w:rsidR="00533C78" w:rsidRPr="00B06A51" w:rsidRDefault="00533C78" w:rsidP="00533C7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92" w:type="dxa"/>
            <w:vAlign w:val="bottom"/>
          </w:tcPr>
          <w:p w14:paraId="73E1FDBE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Day 1</w:t>
            </w:r>
          </w:p>
          <w:p w14:paraId="3FD058EF" w14:textId="77777777" w:rsidR="00533C78" w:rsidRPr="00B06A5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(200 mg equivalent)</w:t>
            </w:r>
            <w:r w:rsidRPr="00D41278">
              <w:rPr>
                <w:rFonts w:ascii="Arial" w:hAnsi="Arial" w:cs="Arial"/>
                <w:b/>
                <w:bCs/>
                <w:vertAlign w:val="superscript"/>
              </w:rPr>
              <w:t>a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592" w:type="dxa"/>
            <w:vAlign w:val="bottom"/>
          </w:tcPr>
          <w:p w14:paraId="36F0ACDB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Day 2 onwards</w:t>
            </w:r>
          </w:p>
          <w:p w14:paraId="4A2413D7" w14:textId="77777777" w:rsidR="00533C78" w:rsidRPr="00B06A5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(400 mg equivalent)</w:t>
            </w:r>
          </w:p>
        </w:tc>
      </w:tr>
      <w:tr w:rsidR="00533C78" w:rsidRPr="00B06A51" w14:paraId="6AD52000" w14:textId="77777777" w:rsidTr="00533C78">
        <w:trPr>
          <w:trHeight w:val="432"/>
        </w:trPr>
        <w:tc>
          <w:tcPr>
            <w:tcW w:w="2304" w:type="dxa"/>
            <w:vAlign w:val="center"/>
          </w:tcPr>
          <w:p w14:paraId="329DD47F" w14:textId="77777777" w:rsidR="00533C78" w:rsidRPr="00B06A51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Weight</w:t>
            </w:r>
          </w:p>
        </w:tc>
        <w:tc>
          <w:tcPr>
            <w:tcW w:w="2592" w:type="dxa"/>
            <w:vAlign w:val="center"/>
          </w:tcPr>
          <w:p w14:paraId="6BEDEBAB" w14:textId="77777777" w:rsidR="00533C78" w:rsidRPr="00B06A5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92" w:type="dxa"/>
            <w:vAlign w:val="center"/>
          </w:tcPr>
          <w:p w14:paraId="2176EFAA" w14:textId="77777777" w:rsidR="00533C78" w:rsidRPr="00B06A5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C78" w:rsidRPr="00B06A51" w14:paraId="27C32C12" w14:textId="77777777" w:rsidTr="00533C78">
        <w:trPr>
          <w:trHeight w:val="432"/>
        </w:trPr>
        <w:tc>
          <w:tcPr>
            <w:tcW w:w="2304" w:type="dxa"/>
            <w:vAlign w:val="center"/>
          </w:tcPr>
          <w:p w14:paraId="0D3998A3" w14:textId="77777777" w:rsidR="00533C78" w:rsidRPr="00B06A51" w:rsidRDefault="00533C78" w:rsidP="00533C78">
            <w:pPr>
              <w:spacing w:after="0" w:line="240" w:lineRule="auto"/>
              <w:ind w:left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to &lt;30 kg</w:t>
            </w:r>
          </w:p>
        </w:tc>
        <w:tc>
          <w:tcPr>
            <w:tcW w:w="2592" w:type="dxa"/>
            <w:vAlign w:val="center"/>
          </w:tcPr>
          <w:p w14:paraId="75A169C5" w14:textId="77777777" w:rsidR="00533C78" w:rsidRPr="00B06A5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 mg</w:t>
            </w:r>
          </w:p>
        </w:tc>
        <w:tc>
          <w:tcPr>
            <w:tcW w:w="2592" w:type="dxa"/>
            <w:vAlign w:val="center"/>
          </w:tcPr>
          <w:p w14:paraId="4C63B27C" w14:textId="77777777" w:rsidR="00533C78" w:rsidRPr="00B06A5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170 mg</w:t>
            </w:r>
          </w:p>
        </w:tc>
      </w:tr>
      <w:tr w:rsidR="00533C78" w:rsidRPr="00B06A51" w14:paraId="0C56537D" w14:textId="77777777" w:rsidTr="00533C78">
        <w:trPr>
          <w:trHeight w:val="432"/>
        </w:trPr>
        <w:tc>
          <w:tcPr>
            <w:tcW w:w="2304" w:type="dxa"/>
            <w:vAlign w:val="center"/>
          </w:tcPr>
          <w:p w14:paraId="057E6D08" w14:textId="77777777" w:rsidR="00533C78" w:rsidRPr="00B06A51" w:rsidRDefault="00533C78" w:rsidP="00533C78">
            <w:pPr>
              <w:spacing w:after="0" w:line="240" w:lineRule="auto"/>
              <w:ind w:left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to &lt;45 kg</w:t>
            </w:r>
          </w:p>
        </w:tc>
        <w:tc>
          <w:tcPr>
            <w:tcW w:w="2592" w:type="dxa"/>
            <w:vAlign w:val="center"/>
          </w:tcPr>
          <w:p w14:paraId="5E29921D" w14:textId="77777777" w:rsidR="00533C78" w:rsidRPr="00B06A5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 mg</w:t>
            </w:r>
          </w:p>
        </w:tc>
        <w:tc>
          <w:tcPr>
            <w:tcW w:w="2592" w:type="dxa"/>
            <w:vAlign w:val="center"/>
          </w:tcPr>
          <w:p w14:paraId="7BD743F0" w14:textId="77777777" w:rsidR="00533C78" w:rsidRPr="00B06A5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250 mg</w:t>
            </w:r>
          </w:p>
        </w:tc>
      </w:tr>
      <w:tr w:rsidR="00533C78" w:rsidRPr="00B06A51" w14:paraId="10DA0FB6" w14:textId="77777777" w:rsidTr="00533C78">
        <w:trPr>
          <w:trHeight w:val="432"/>
        </w:trPr>
        <w:tc>
          <w:tcPr>
            <w:tcW w:w="2304" w:type="dxa"/>
            <w:vAlign w:val="center"/>
          </w:tcPr>
          <w:p w14:paraId="66CD9B47" w14:textId="77777777" w:rsidR="00533C78" w:rsidRPr="00B06A51" w:rsidRDefault="00533C78" w:rsidP="00533C78">
            <w:pPr>
              <w:spacing w:after="0" w:line="240" w:lineRule="auto"/>
              <w:ind w:left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≥45 kg</w:t>
            </w:r>
          </w:p>
        </w:tc>
        <w:tc>
          <w:tcPr>
            <w:tcW w:w="2592" w:type="dxa"/>
            <w:vAlign w:val="center"/>
          </w:tcPr>
          <w:p w14:paraId="78CAEDD2" w14:textId="77777777" w:rsidR="00533C78" w:rsidRPr="00B06A5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mg</w:t>
            </w:r>
          </w:p>
        </w:tc>
        <w:tc>
          <w:tcPr>
            <w:tcW w:w="2592" w:type="dxa"/>
            <w:vAlign w:val="center"/>
          </w:tcPr>
          <w:p w14:paraId="1C129B3C" w14:textId="77777777" w:rsidR="00533C78" w:rsidRPr="00B06A5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 mg</w:t>
            </w:r>
          </w:p>
        </w:tc>
      </w:tr>
    </w:tbl>
    <w:p w14:paraId="18997477" w14:textId="77777777" w:rsidR="00533C78" w:rsidRPr="00D41278" w:rsidRDefault="00533C78" w:rsidP="00533C7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D41278">
        <w:rPr>
          <w:rFonts w:ascii="Arial" w:hAnsi="Arial" w:cs="Arial"/>
          <w:sz w:val="20"/>
          <w:szCs w:val="20"/>
          <w:vertAlign w:val="superscript"/>
        </w:rPr>
        <w:t>a</w:t>
      </w:r>
      <w:r w:rsidRPr="00D41278">
        <w:rPr>
          <w:rFonts w:ascii="Arial" w:hAnsi="Arial" w:cs="Arial"/>
          <w:sz w:val="20"/>
          <w:szCs w:val="20"/>
        </w:rPr>
        <w:t xml:space="preserve"> Patients who enrolled on study who were already on ≥400 mg venetoclax once-daily were allowed to start venetoclax at the 400 mg weight-adjusted dose on </w:t>
      </w:r>
      <w:r>
        <w:rPr>
          <w:rFonts w:ascii="Arial" w:hAnsi="Arial" w:cs="Arial"/>
          <w:sz w:val="20"/>
          <w:szCs w:val="20"/>
        </w:rPr>
        <w:t>d</w:t>
      </w:r>
      <w:r w:rsidRPr="00D41278">
        <w:rPr>
          <w:rFonts w:ascii="Arial" w:hAnsi="Arial" w:cs="Arial"/>
          <w:sz w:val="20"/>
          <w:szCs w:val="20"/>
        </w:rPr>
        <w:t xml:space="preserve">ay 1. </w:t>
      </w:r>
    </w:p>
    <w:p w14:paraId="5215A750" w14:textId="77777777" w:rsidR="00533C78" w:rsidRDefault="00533C78" w:rsidP="00533C78">
      <w:pPr>
        <w:spacing w:after="0" w:line="360" w:lineRule="auto"/>
        <w:rPr>
          <w:rFonts w:ascii="Arial" w:hAnsi="Arial" w:cs="Arial"/>
        </w:rPr>
      </w:pPr>
    </w:p>
    <w:p w14:paraId="23C076BD" w14:textId="77777777" w:rsidR="00533C78" w:rsidRDefault="00533C78" w:rsidP="00533C78">
      <w:pPr>
        <w:spacing w:after="0" w:line="360" w:lineRule="auto"/>
        <w:rPr>
          <w:rFonts w:ascii="Arial" w:hAnsi="Arial" w:cs="Arial"/>
        </w:rPr>
      </w:pPr>
    </w:p>
    <w:p w14:paraId="2997FFDC" w14:textId="77777777" w:rsidR="00533C78" w:rsidRDefault="00533C78" w:rsidP="00533C78">
      <w:pPr>
        <w:spacing w:after="0" w:line="360" w:lineRule="auto"/>
        <w:rPr>
          <w:rFonts w:ascii="Arial" w:hAnsi="Arial" w:cs="Arial"/>
        </w:rPr>
      </w:pPr>
    </w:p>
    <w:p w14:paraId="473F7489" w14:textId="77777777" w:rsidR="00533C78" w:rsidRDefault="00533C78" w:rsidP="00533C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Supplementary Table S8. </w:t>
      </w:r>
      <w:r>
        <w:rPr>
          <w:rFonts w:ascii="Arial" w:hAnsi="Arial" w:cs="Arial"/>
        </w:rPr>
        <w:t>Navitoclax dose level on day 3 and onwards</w:t>
      </w:r>
    </w:p>
    <w:tbl>
      <w:tblPr>
        <w:tblStyle w:val="TableGrid"/>
        <w:tblW w:w="9265" w:type="dxa"/>
        <w:tblLook w:val="04A0" w:firstRow="1" w:lastRow="0" w:firstColumn="1" w:lastColumn="0" w:noHBand="0" w:noVBand="1"/>
      </w:tblPr>
      <w:tblGrid>
        <w:gridCol w:w="1975"/>
        <w:gridCol w:w="2430"/>
        <w:gridCol w:w="2430"/>
        <w:gridCol w:w="2430"/>
      </w:tblGrid>
      <w:tr w:rsidR="00533C78" w:rsidRPr="00B06A51" w14:paraId="34E6B5C1" w14:textId="77777777" w:rsidTr="00533C78">
        <w:trPr>
          <w:trHeight w:val="576"/>
        </w:trPr>
        <w:tc>
          <w:tcPr>
            <w:tcW w:w="1975" w:type="dxa"/>
            <w:vAlign w:val="center"/>
          </w:tcPr>
          <w:p w14:paraId="68668EE6" w14:textId="77777777" w:rsidR="00533C78" w:rsidRPr="00B06A51" w:rsidRDefault="00533C78" w:rsidP="00533C78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30" w:type="dxa"/>
            <w:vAlign w:val="center"/>
          </w:tcPr>
          <w:p w14:paraId="4184F34F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Dose level 1</w:t>
            </w:r>
          </w:p>
          <w:p w14:paraId="2476EACD" w14:textId="77777777" w:rsidR="00533C78" w:rsidRPr="00B06A5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(25 mg equivalent)</w:t>
            </w:r>
          </w:p>
        </w:tc>
        <w:tc>
          <w:tcPr>
            <w:tcW w:w="2430" w:type="dxa"/>
            <w:vAlign w:val="center"/>
          </w:tcPr>
          <w:p w14:paraId="011A90CB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Dose level 2</w:t>
            </w:r>
          </w:p>
          <w:p w14:paraId="733178CF" w14:textId="77777777" w:rsidR="00533C78" w:rsidRPr="00B06A5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(50 mg equivalent)</w:t>
            </w:r>
          </w:p>
        </w:tc>
        <w:tc>
          <w:tcPr>
            <w:tcW w:w="2430" w:type="dxa"/>
            <w:vAlign w:val="center"/>
          </w:tcPr>
          <w:p w14:paraId="4BF49ED3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Dose level 3</w:t>
            </w:r>
          </w:p>
          <w:p w14:paraId="027DF32D" w14:textId="77777777" w:rsidR="00533C78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(100 mg equivalent)</w:t>
            </w:r>
          </w:p>
        </w:tc>
      </w:tr>
      <w:tr w:rsidR="00533C78" w:rsidRPr="00B06A51" w14:paraId="553D7B6E" w14:textId="77777777" w:rsidTr="00533C78">
        <w:trPr>
          <w:trHeight w:val="432"/>
        </w:trPr>
        <w:tc>
          <w:tcPr>
            <w:tcW w:w="1975" w:type="dxa"/>
            <w:vAlign w:val="center"/>
          </w:tcPr>
          <w:p w14:paraId="11D76DA2" w14:textId="77777777" w:rsidR="00533C78" w:rsidRPr="00B06A51" w:rsidRDefault="00533C78" w:rsidP="00533C7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Weight</w:t>
            </w:r>
          </w:p>
        </w:tc>
        <w:tc>
          <w:tcPr>
            <w:tcW w:w="2430" w:type="dxa"/>
            <w:vAlign w:val="center"/>
          </w:tcPr>
          <w:p w14:paraId="10959308" w14:textId="77777777" w:rsidR="00533C78" w:rsidRPr="00B06A5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55364FB4" w14:textId="77777777" w:rsidR="00533C78" w:rsidRPr="00B06A5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30" w:type="dxa"/>
            <w:vAlign w:val="center"/>
          </w:tcPr>
          <w:p w14:paraId="1F9C9644" w14:textId="77777777" w:rsidR="00533C78" w:rsidRPr="00B06A5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533C78" w:rsidRPr="00B06A51" w14:paraId="132BB510" w14:textId="77777777" w:rsidTr="00533C78">
        <w:trPr>
          <w:trHeight w:val="432"/>
        </w:trPr>
        <w:tc>
          <w:tcPr>
            <w:tcW w:w="1975" w:type="dxa"/>
            <w:vAlign w:val="center"/>
          </w:tcPr>
          <w:p w14:paraId="32B504CD" w14:textId="77777777" w:rsidR="00533C78" w:rsidRPr="00B06A51" w:rsidRDefault="00533C78" w:rsidP="00533C78">
            <w:pPr>
              <w:spacing w:after="0" w:line="240" w:lineRule="auto"/>
              <w:ind w:left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 to &lt;45 kg</w:t>
            </w:r>
          </w:p>
        </w:tc>
        <w:tc>
          <w:tcPr>
            <w:tcW w:w="2430" w:type="dxa"/>
            <w:vAlign w:val="center"/>
          </w:tcPr>
          <w:p w14:paraId="6585FE24" w14:textId="77777777" w:rsidR="00533C78" w:rsidRPr="00B06A5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</w:t>
            </w:r>
          </w:p>
        </w:tc>
        <w:tc>
          <w:tcPr>
            <w:tcW w:w="2430" w:type="dxa"/>
            <w:vAlign w:val="center"/>
          </w:tcPr>
          <w:p w14:paraId="6073AAD4" w14:textId="77777777" w:rsidR="00533C78" w:rsidRPr="00B06A5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mg</w:t>
            </w:r>
          </w:p>
        </w:tc>
        <w:tc>
          <w:tcPr>
            <w:tcW w:w="2430" w:type="dxa"/>
            <w:vAlign w:val="center"/>
          </w:tcPr>
          <w:p w14:paraId="506D7B9A" w14:textId="77777777" w:rsidR="00533C78" w:rsidRPr="00B06A5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mg</w:t>
            </w:r>
          </w:p>
        </w:tc>
      </w:tr>
      <w:tr w:rsidR="00533C78" w:rsidRPr="00B06A51" w14:paraId="5EEA64C6" w14:textId="77777777" w:rsidTr="00533C78">
        <w:trPr>
          <w:trHeight w:val="432"/>
        </w:trPr>
        <w:tc>
          <w:tcPr>
            <w:tcW w:w="1975" w:type="dxa"/>
            <w:vAlign w:val="center"/>
          </w:tcPr>
          <w:p w14:paraId="0ECDF2CB" w14:textId="77777777" w:rsidR="00533C78" w:rsidRPr="00B06A51" w:rsidRDefault="00533C78" w:rsidP="00533C78">
            <w:pPr>
              <w:spacing w:after="0" w:line="240" w:lineRule="auto"/>
              <w:ind w:left="21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≥45 kg</w:t>
            </w:r>
          </w:p>
        </w:tc>
        <w:tc>
          <w:tcPr>
            <w:tcW w:w="2430" w:type="dxa"/>
            <w:vAlign w:val="center"/>
          </w:tcPr>
          <w:p w14:paraId="0DE81045" w14:textId="77777777" w:rsidR="00533C78" w:rsidRPr="00B06A5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mg</w:t>
            </w:r>
          </w:p>
        </w:tc>
        <w:tc>
          <w:tcPr>
            <w:tcW w:w="2430" w:type="dxa"/>
            <w:vAlign w:val="center"/>
          </w:tcPr>
          <w:p w14:paraId="1AC4D53A" w14:textId="77777777" w:rsidR="00533C78" w:rsidRPr="00B06A5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mg</w:t>
            </w:r>
          </w:p>
        </w:tc>
        <w:tc>
          <w:tcPr>
            <w:tcW w:w="2430" w:type="dxa"/>
            <w:vAlign w:val="center"/>
          </w:tcPr>
          <w:p w14:paraId="0C34C15B" w14:textId="77777777" w:rsidR="00533C78" w:rsidRPr="00B06A51" w:rsidRDefault="00533C78" w:rsidP="00533C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mg</w:t>
            </w:r>
          </w:p>
        </w:tc>
      </w:tr>
    </w:tbl>
    <w:p w14:paraId="6128D9EB" w14:textId="77777777" w:rsidR="00533C78" w:rsidRPr="00F157A3" w:rsidRDefault="00533C78" w:rsidP="00533C78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F157A3">
        <w:rPr>
          <w:rFonts w:ascii="Arial" w:hAnsi="Arial" w:cs="Arial"/>
          <w:sz w:val="20"/>
          <w:szCs w:val="20"/>
        </w:rPr>
        <w:t xml:space="preserve">Abbreviation: NA, </w:t>
      </w:r>
      <w:r>
        <w:rPr>
          <w:rFonts w:ascii="Arial" w:hAnsi="Arial" w:cs="Arial"/>
          <w:sz w:val="20"/>
          <w:szCs w:val="20"/>
        </w:rPr>
        <w:t>not applicable</w:t>
      </w:r>
    </w:p>
    <w:p w14:paraId="773CEBFA" w14:textId="77777777" w:rsidR="00533C78" w:rsidRDefault="00533C78" w:rsidP="00533C7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735CD54" w14:textId="77777777" w:rsidR="00533C78" w:rsidRDefault="00533C78" w:rsidP="00533C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Supplementary Figure</w:t>
      </w:r>
      <w:r w:rsidRPr="003A6FD2">
        <w:rPr>
          <w:rFonts w:ascii="Arial" w:hAnsi="Arial" w:cs="Arial"/>
          <w:b/>
          <w:bCs/>
        </w:rPr>
        <w:t xml:space="preserve"> S</w:t>
      </w:r>
      <w:r>
        <w:rPr>
          <w:rFonts w:ascii="Arial" w:hAnsi="Arial" w:cs="Arial"/>
          <w:b/>
          <w:bCs/>
        </w:rPr>
        <w:t>1</w:t>
      </w:r>
      <w:r w:rsidRPr="003A6FD2">
        <w:rPr>
          <w:rFonts w:ascii="Arial" w:hAnsi="Arial" w:cs="Arial"/>
          <w:b/>
          <w:bCs/>
        </w:rPr>
        <w:t>.</w:t>
      </w:r>
      <w:r w:rsidRPr="003A6F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Patient disposition for dose escalation portion of study.</w:t>
      </w:r>
      <w:r w:rsidRPr="0003195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47 patients who were enrolled </w:t>
      </w:r>
      <w:r w:rsidRPr="004471E9">
        <w:rPr>
          <w:rFonts w:ascii="Arial" w:hAnsi="Arial" w:cs="Arial"/>
        </w:rPr>
        <w:t xml:space="preserve">and received treatment </w:t>
      </w:r>
      <w:r>
        <w:rPr>
          <w:rFonts w:ascii="Arial" w:hAnsi="Arial" w:cs="Arial"/>
        </w:rPr>
        <w:t>comprised</w:t>
      </w:r>
      <w:r w:rsidRPr="004471E9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>intent-to-treat population.</w:t>
      </w:r>
    </w:p>
    <w:p w14:paraId="661304ED" w14:textId="77777777" w:rsidR="00533C78" w:rsidRDefault="00533C78" w:rsidP="00533C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a</w:t>
      </w:r>
      <w:r>
        <w:rPr>
          <w:rFonts w:ascii="Arial" w:hAnsi="Arial" w:cs="Arial"/>
        </w:rPr>
        <w:t xml:space="preserve"> Six patients did not meet study criteria: did not meet weight requirement (n = 1); had active, uncontrolled infection (n = 1); received prior antineoplastic agents within the exclusion window (n = 1); received prohibited medications within the exclusion window (n = 1); and did not have measurable, relapsed/refractory disease (n = 2).</w:t>
      </w:r>
    </w:p>
    <w:p w14:paraId="02B0EA38" w14:textId="77777777" w:rsidR="00533C78" w:rsidRPr="00274C89" w:rsidRDefault="00533C78" w:rsidP="00533C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b </w:t>
      </w:r>
      <w:r>
        <w:rPr>
          <w:rFonts w:ascii="Arial" w:hAnsi="Arial" w:cs="Arial"/>
        </w:rPr>
        <w:t>Patients ≥45 kg received 400 mg venetoclax. Patients &lt;45 kg received 400 mg weight-equivalent venetoclax as follows: 170 mg for patients 20 to &lt;30 kg and 250 mg for patients 30 to &lt;45 kg.</w:t>
      </w:r>
    </w:p>
    <w:p w14:paraId="58160BF5" w14:textId="77777777" w:rsidR="00533C78" w:rsidRDefault="00533C78" w:rsidP="00533C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c</w:t>
      </w:r>
      <w:r>
        <w:rPr>
          <w:rFonts w:ascii="Arial" w:hAnsi="Arial" w:cs="Arial"/>
        </w:rPr>
        <w:t xml:space="preserve"> At time of data cutoff.</w:t>
      </w:r>
    </w:p>
    <w:p w14:paraId="60D596E3" w14:textId="77777777" w:rsidR="00533C78" w:rsidRDefault="00533C78" w:rsidP="00533C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d </w:t>
      </w:r>
      <w:r>
        <w:rPr>
          <w:rFonts w:ascii="Arial" w:hAnsi="Arial" w:cs="Arial"/>
        </w:rPr>
        <w:t>One patient discontinued study per physician decision but proceeded to CAR T.</w:t>
      </w:r>
    </w:p>
    <w:p w14:paraId="7D0A6DFC" w14:textId="77777777" w:rsidR="00533C78" w:rsidRDefault="00533C78" w:rsidP="00533C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>e</w:t>
      </w:r>
      <w:r>
        <w:rPr>
          <w:rFonts w:ascii="Arial" w:hAnsi="Arial" w:cs="Arial"/>
        </w:rPr>
        <w:t xml:space="preserve"> One patient discontinued study to proceed to transplant but subsequently experienced infection complications after stopping study drug and the patient did not receive transplant. Abbreviations: CAR T, chimeric antigen receptor T-cell therapy; Nav, navitoclax; PD, progressive disease; W/D, withdrawal. </w:t>
      </w:r>
    </w:p>
    <w:p w14:paraId="142A4F7D" w14:textId="77777777" w:rsidR="00533C78" w:rsidRDefault="00533C78" w:rsidP="00533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C3BEC6" wp14:editId="407A6F99">
            <wp:extent cx="5943600" cy="3820160"/>
            <wp:effectExtent l="0" t="0" r="0" b="8890"/>
            <wp:docPr id="16" name="Picture 1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2C5B1C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2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83A77" w14:textId="77777777" w:rsidR="00533C78" w:rsidRDefault="00533C78" w:rsidP="00533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27A8B8" w14:textId="77777777" w:rsidR="00533C78" w:rsidRPr="00A90617" w:rsidRDefault="00533C78" w:rsidP="00533C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806B3E" w14:textId="77777777" w:rsidR="00533C78" w:rsidRDefault="00533C78" w:rsidP="00533C78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  <w:sectPr w:rsidR="00533C78" w:rsidSect="00B7435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5006416" w14:textId="0F3B11FA" w:rsidR="0011777F" w:rsidRDefault="0011777F" w:rsidP="0011777F">
      <w:pPr>
        <w:spacing w:after="0" w:line="360" w:lineRule="auto"/>
        <w:rPr>
          <w:rFonts w:ascii="Arial" w:hAnsi="Arial" w:cs="Arial"/>
        </w:rPr>
      </w:pPr>
      <w:r w:rsidRPr="00D41278">
        <w:rPr>
          <w:rFonts w:ascii="Arial" w:hAnsi="Arial" w:cs="Arial"/>
          <w:b/>
          <w:bCs/>
        </w:rPr>
        <w:lastRenderedPageBreak/>
        <w:t>Supplementary Figure S</w:t>
      </w:r>
      <w:r>
        <w:rPr>
          <w:rFonts w:ascii="Arial" w:hAnsi="Arial" w:cs="Arial"/>
          <w:b/>
          <w:bCs/>
        </w:rPr>
        <w:t>2</w:t>
      </w:r>
      <w:r w:rsidRPr="00D41278">
        <w:rPr>
          <w:rFonts w:ascii="Arial" w:hAnsi="Arial" w:cs="Arial"/>
          <w:b/>
          <w:bCs/>
        </w:rPr>
        <w:t xml:space="preserve">. </w:t>
      </w:r>
      <w:r w:rsidRPr="00D41278">
        <w:rPr>
          <w:rFonts w:ascii="Arial" w:hAnsi="Arial" w:cs="Arial"/>
        </w:rPr>
        <w:t xml:space="preserve">Study design. </w:t>
      </w:r>
      <w:r>
        <w:rPr>
          <w:rFonts w:ascii="Arial" w:hAnsi="Arial" w:cs="Arial"/>
          <w:vertAlign w:val="superscript"/>
        </w:rPr>
        <w:t>a</w:t>
      </w:r>
      <w:r>
        <w:rPr>
          <w:rFonts w:ascii="Arial" w:hAnsi="Arial" w:cs="Arial"/>
        </w:rPr>
        <w:t xml:space="preserve"> In the original protocol, chemotherapy could be started on Day 9; following protocol amendment, chemotherapy could begin on Day 1. Chemotherapy (any of the three drugs) could be omitted, reduced, or delayed at the investigator’s discretion. Abbreviations: ALL, acute lymphoblastic leukemia; LL, lymphoblastic lymphoma; S, screening. </w:t>
      </w:r>
    </w:p>
    <w:p w14:paraId="43E455CB" w14:textId="43FB8190" w:rsidR="0011777F" w:rsidRDefault="0011777F" w:rsidP="0011777F">
      <w:pPr>
        <w:spacing w:after="0" w:line="360" w:lineRule="auto"/>
        <w:rPr>
          <w:rFonts w:ascii="Arial" w:hAnsi="Arial" w:cs="Arial"/>
        </w:rPr>
      </w:pPr>
      <w:r>
        <w:rPr>
          <w:noProof/>
          <w:sz w:val="16"/>
          <w:szCs w:val="16"/>
        </w:rPr>
        <w:drawing>
          <wp:inline distT="0" distB="0" distL="0" distR="0" wp14:anchorId="22A64529" wp14:editId="53E702B2">
            <wp:extent cx="5943600" cy="1862455"/>
            <wp:effectExtent l="0" t="0" r="0" b="4445"/>
            <wp:docPr id="9" name="Picture 9" descr="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Char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6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A2B45" w14:textId="77777777" w:rsidR="0011777F" w:rsidRDefault="0011777F" w:rsidP="00533C78">
      <w:pPr>
        <w:spacing w:after="0" w:line="360" w:lineRule="auto"/>
        <w:rPr>
          <w:rFonts w:ascii="Arial" w:hAnsi="Arial" w:cs="Arial"/>
          <w:b/>
          <w:bCs/>
        </w:rPr>
      </w:pPr>
    </w:p>
    <w:p w14:paraId="3CC556A0" w14:textId="77777777" w:rsidR="0011777F" w:rsidRDefault="0011777F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285A681" w14:textId="792EA5B7" w:rsidR="00B919FC" w:rsidRDefault="0022219E" w:rsidP="00533C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Supplementary Figure S</w:t>
      </w:r>
      <w:r w:rsidR="0011777F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 xml:space="preserve">. </w:t>
      </w:r>
      <w:r w:rsidRPr="0022219E">
        <w:rPr>
          <w:rFonts w:ascii="Arial" w:hAnsi="Arial" w:cs="Arial"/>
        </w:rPr>
        <w:t>Cumulative incidence probability of platelet count recovery stratified by dosing groups.</w:t>
      </w:r>
      <w:r w:rsidR="00F14596">
        <w:rPr>
          <w:rFonts w:ascii="Arial" w:hAnsi="Arial" w:cs="Arial"/>
        </w:rPr>
        <w:t xml:space="preserve"> </w:t>
      </w:r>
      <w:r w:rsidR="00B919FC">
        <w:rPr>
          <w:rFonts w:ascii="Arial" w:hAnsi="Arial" w:cs="Arial"/>
        </w:rPr>
        <w:t>Abbreviations: DL1, dose level 1; DL2, dose level 2; DL3, dose level 3.</w:t>
      </w:r>
    </w:p>
    <w:p w14:paraId="3D5A6F50" w14:textId="384E2C22" w:rsidR="0022219E" w:rsidRPr="0022219E" w:rsidRDefault="000B61C5" w:rsidP="00533C78">
      <w:pPr>
        <w:spacing w:after="0" w:line="36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29FFF6CF" wp14:editId="3B66D6AF">
            <wp:extent cx="5943600" cy="43427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42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CF10F" w14:textId="77777777" w:rsidR="0022219E" w:rsidRDefault="0022219E" w:rsidP="00533C78">
      <w:pPr>
        <w:spacing w:after="0" w:line="360" w:lineRule="auto"/>
        <w:rPr>
          <w:rFonts w:ascii="Arial" w:hAnsi="Arial" w:cs="Arial"/>
          <w:b/>
          <w:bCs/>
        </w:rPr>
      </w:pPr>
    </w:p>
    <w:p w14:paraId="01751259" w14:textId="77777777" w:rsidR="0022219E" w:rsidRDefault="0022219E" w:rsidP="00533C78">
      <w:pPr>
        <w:spacing w:after="0" w:line="360" w:lineRule="auto"/>
        <w:rPr>
          <w:rFonts w:ascii="Arial" w:hAnsi="Arial" w:cs="Arial"/>
          <w:b/>
          <w:bCs/>
        </w:rPr>
      </w:pPr>
    </w:p>
    <w:p w14:paraId="51A803D2" w14:textId="77777777" w:rsidR="0022219E" w:rsidRDefault="0022219E" w:rsidP="00533C78">
      <w:pPr>
        <w:spacing w:after="0" w:line="360" w:lineRule="auto"/>
        <w:rPr>
          <w:rFonts w:ascii="Arial" w:hAnsi="Arial" w:cs="Arial"/>
          <w:b/>
          <w:bCs/>
        </w:rPr>
      </w:pPr>
    </w:p>
    <w:p w14:paraId="73CA927F" w14:textId="77777777" w:rsidR="0022219E" w:rsidRDefault="0022219E" w:rsidP="00533C78">
      <w:pPr>
        <w:spacing w:after="0" w:line="360" w:lineRule="auto"/>
        <w:rPr>
          <w:rFonts w:ascii="Arial" w:hAnsi="Arial" w:cs="Arial"/>
          <w:b/>
          <w:bCs/>
        </w:rPr>
      </w:pPr>
    </w:p>
    <w:p w14:paraId="1B0019BC" w14:textId="77777777" w:rsidR="0022219E" w:rsidRDefault="0022219E" w:rsidP="00533C78">
      <w:pPr>
        <w:spacing w:after="0" w:line="360" w:lineRule="auto"/>
        <w:rPr>
          <w:rFonts w:ascii="Arial" w:hAnsi="Arial" w:cs="Arial"/>
          <w:b/>
          <w:bCs/>
        </w:rPr>
      </w:pPr>
    </w:p>
    <w:p w14:paraId="77E5333E" w14:textId="77777777" w:rsidR="0022219E" w:rsidRDefault="0022219E" w:rsidP="00533C78">
      <w:pPr>
        <w:spacing w:after="0" w:line="360" w:lineRule="auto"/>
        <w:rPr>
          <w:rFonts w:ascii="Arial" w:hAnsi="Arial" w:cs="Arial"/>
          <w:b/>
          <w:bCs/>
        </w:rPr>
      </w:pPr>
    </w:p>
    <w:p w14:paraId="283B59EC" w14:textId="77777777" w:rsidR="0022219E" w:rsidRDefault="0022219E" w:rsidP="00533C78">
      <w:pPr>
        <w:spacing w:after="0" w:line="360" w:lineRule="auto"/>
        <w:rPr>
          <w:rFonts w:ascii="Arial" w:hAnsi="Arial" w:cs="Arial"/>
          <w:b/>
          <w:bCs/>
        </w:rPr>
      </w:pPr>
    </w:p>
    <w:p w14:paraId="6F58B504" w14:textId="77777777" w:rsidR="0022219E" w:rsidRDefault="0022219E" w:rsidP="00533C78">
      <w:pPr>
        <w:spacing w:after="0" w:line="360" w:lineRule="auto"/>
        <w:rPr>
          <w:rFonts w:ascii="Arial" w:hAnsi="Arial" w:cs="Arial"/>
          <w:b/>
          <w:bCs/>
        </w:rPr>
      </w:pPr>
    </w:p>
    <w:p w14:paraId="66537089" w14:textId="77777777" w:rsidR="0022219E" w:rsidRDefault="0022219E" w:rsidP="00533C78">
      <w:pPr>
        <w:spacing w:after="0" w:line="360" w:lineRule="auto"/>
        <w:rPr>
          <w:rFonts w:ascii="Arial" w:hAnsi="Arial" w:cs="Arial"/>
          <w:b/>
          <w:bCs/>
        </w:rPr>
      </w:pPr>
    </w:p>
    <w:p w14:paraId="6FB752FB" w14:textId="77777777" w:rsidR="0022219E" w:rsidRDefault="0022219E" w:rsidP="00533C78">
      <w:pPr>
        <w:spacing w:after="0" w:line="360" w:lineRule="auto"/>
        <w:rPr>
          <w:rFonts w:ascii="Arial" w:hAnsi="Arial" w:cs="Arial"/>
          <w:b/>
          <w:bCs/>
        </w:rPr>
      </w:pPr>
    </w:p>
    <w:p w14:paraId="1D6B19DE" w14:textId="77777777" w:rsidR="000B61C5" w:rsidRDefault="000B61C5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B9EFF8B" w14:textId="1C15F32B" w:rsidR="00533C78" w:rsidRDefault="00533C78" w:rsidP="00533C78">
      <w:pPr>
        <w:spacing w:after="0" w:line="360" w:lineRule="auto"/>
        <w:rPr>
          <w:rFonts w:ascii="Arial" w:hAnsi="Arial" w:cs="Arial"/>
        </w:rPr>
      </w:pPr>
      <w:r w:rsidRPr="003A6FD2">
        <w:rPr>
          <w:rFonts w:ascii="Arial" w:hAnsi="Arial" w:cs="Arial"/>
          <w:b/>
          <w:bCs/>
        </w:rPr>
        <w:lastRenderedPageBreak/>
        <w:t>Supplementary Figure S</w:t>
      </w:r>
      <w:r w:rsidR="0011777F">
        <w:rPr>
          <w:rFonts w:ascii="Arial" w:hAnsi="Arial" w:cs="Arial"/>
          <w:b/>
          <w:bCs/>
        </w:rPr>
        <w:t>4</w:t>
      </w:r>
      <w:r w:rsidRPr="00095E40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(</w:t>
      </w:r>
      <w:r w:rsidRPr="00095E40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 xml:space="preserve"> </w:t>
      </w:r>
      <w:r w:rsidRPr="00095E40">
        <w:rPr>
          <w:rFonts w:ascii="Arial" w:hAnsi="Arial" w:cs="Arial"/>
        </w:rPr>
        <w:t>Venetoclax mean plasma concentration time profiles by day</w:t>
      </w:r>
      <w:r>
        <w:rPr>
          <w:rFonts w:ascii="Arial" w:hAnsi="Arial" w:cs="Arial"/>
        </w:rPr>
        <w:t>.</w:t>
      </w:r>
      <w:r w:rsidRPr="00095E40">
        <w:rPr>
          <w:rFonts w:ascii="Arial" w:hAnsi="Arial" w:cs="Arial"/>
        </w:rPr>
        <w:t xml:space="preserve"> </w:t>
      </w:r>
      <w:r w:rsidRPr="0044635D">
        <w:rPr>
          <w:rFonts w:ascii="Arial" w:hAnsi="Arial" w:cs="Arial"/>
          <w:b/>
          <w:bCs/>
        </w:rPr>
        <w:t>(</w:t>
      </w:r>
      <w:r w:rsidRPr="00095E40">
        <w:rPr>
          <w:rFonts w:ascii="Arial" w:hAnsi="Arial" w:cs="Arial"/>
          <w:b/>
          <w:bCs/>
        </w:rPr>
        <w:t>B</w:t>
      </w:r>
      <w:r>
        <w:rPr>
          <w:rFonts w:ascii="Arial" w:hAnsi="Arial" w:cs="Arial"/>
          <w:b/>
          <w:bCs/>
        </w:rPr>
        <w:t>)</w:t>
      </w:r>
      <w:r>
        <w:rPr>
          <w:rFonts w:ascii="Arial" w:hAnsi="Arial" w:cs="Arial"/>
        </w:rPr>
        <w:t> </w:t>
      </w:r>
      <w:r w:rsidRPr="00095E40">
        <w:rPr>
          <w:rFonts w:ascii="Arial" w:hAnsi="Arial" w:cs="Arial"/>
        </w:rPr>
        <w:t>Venetoclax exposures by weight.</w:t>
      </w:r>
      <w:r>
        <w:rPr>
          <w:rFonts w:ascii="Arial" w:hAnsi="Arial" w:cs="Arial"/>
        </w:rPr>
        <w:t xml:space="preserve"> Abbreviations</w:t>
      </w:r>
      <w:r w:rsidRPr="00762BAA">
        <w:rPr>
          <w:rFonts w:ascii="Arial" w:hAnsi="Arial" w:cs="Arial"/>
        </w:rPr>
        <w:t xml:space="preserve">: </w:t>
      </w:r>
      <w:r w:rsidRPr="00D41278">
        <w:rPr>
          <w:rFonts w:ascii="Arial" w:hAnsi="Arial" w:cs="Arial"/>
        </w:rPr>
        <w:t>AUC</w:t>
      </w:r>
      <w:r w:rsidRPr="00D41278">
        <w:rPr>
          <w:rFonts w:ascii="Arial" w:hAnsi="Arial" w:cs="Arial"/>
          <w:vertAlign w:val="subscript"/>
        </w:rPr>
        <w:t>0–8</w:t>
      </w:r>
      <w:r w:rsidRPr="00D41278">
        <w:rPr>
          <w:rFonts w:ascii="Arial" w:hAnsi="Arial" w:cs="Arial"/>
        </w:rPr>
        <w:t>, area under the plasma concentration-time curve from day 0</w:t>
      </w:r>
      <w:bookmarkStart w:id="4" w:name="OLE_LINK1"/>
      <w:r w:rsidRPr="00D41278">
        <w:rPr>
          <w:rFonts w:ascii="Arial" w:hAnsi="Arial" w:cs="Arial"/>
        </w:rPr>
        <w:t>–</w:t>
      </w:r>
      <w:bookmarkEnd w:id="4"/>
      <w:r w:rsidRPr="00D41278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. </w:t>
      </w:r>
    </w:p>
    <w:p w14:paraId="6DBE3F0D" w14:textId="77777777" w:rsidR="00533C78" w:rsidRDefault="00533C78" w:rsidP="00533C78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41806DE" wp14:editId="18CC34AA">
            <wp:extent cx="4593663" cy="640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663" cy="640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85C178" w14:textId="77777777" w:rsidR="00533C78" w:rsidRDefault="00533C78" w:rsidP="00533C7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45BFA3A" w14:textId="77777777" w:rsidR="00533C78" w:rsidRDefault="00533C78" w:rsidP="00533C78">
      <w:pPr>
        <w:spacing w:after="0" w:line="360" w:lineRule="auto"/>
      </w:pPr>
    </w:p>
    <w:p w14:paraId="179B508D" w14:textId="77777777" w:rsidR="00533C78" w:rsidRDefault="00533C78" w:rsidP="00533C78">
      <w:pPr>
        <w:spacing w:after="0" w:line="240" w:lineRule="auto"/>
      </w:pPr>
      <w:r>
        <w:br w:type="page"/>
      </w:r>
    </w:p>
    <w:p w14:paraId="3C6DDDA8" w14:textId="111E85F3" w:rsidR="00533C78" w:rsidRDefault="00533C78" w:rsidP="00533C78">
      <w:pPr>
        <w:spacing w:after="0" w:line="360" w:lineRule="auto"/>
        <w:rPr>
          <w:rFonts w:ascii="Arial" w:hAnsi="Arial" w:cs="Arial"/>
        </w:rPr>
      </w:pPr>
      <w:r w:rsidRPr="003A6FD2">
        <w:rPr>
          <w:rFonts w:ascii="Arial" w:hAnsi="Arial" w:cs="Arial"/>
          <w:b/>
          <w:bCs/>
        </w:rPr>
        <w:lastRenderedPageBreak/>
        <w:t xml:space="preserve">Supplementary Figure </w:t>
      </w:r>
      <w:r w:rsidRPr="00762BAA">
        <w:rPr>
          <w:rFonts w:ascii="Arial" w:hAnsi="Arial" w:cs="Arial"/>
          <w:b/>
          <w:bCs/>
        </w:rPr>
        <w:t>S</w:t>
      </w:r>
      <w:r w:rsidR="0011777F">
        <w:rPr>
          <w:rFonts w:ascii="Arial" w:hAnsi="Arial" w:cs="Arial"/>
          <w:b/>
          <w:bCs/>
        </w:rPr>
        <w:t>5</w:t>
      </w:r>
      <w:r w:rsidRPr="00762BAA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 xml:space="preserve">(A) </w:t>
      </w:r>
      <w:r w:rsidRPr="00D41278">
        <w:rPr>
          <w:rFonts w:ascii="Arial" w:hAnsi="Arial" w:cs="Arial"/>
        </w:rPr>
        <w:t>Navitoclax mean plasma concentration time profiles by dose level on day 8</w:t>
      </w:r>
      <w:r>
        <w:rPr>
          <w:rFonts w:ascii="Arial" w:hAnsi="Arial" w:cs="Arial"/>
        </w:rPr>
        <w:t xml:space="preserve">. </w:t>
      </w:r>
      <w:r w:rsidRPr="0044635D">
        <w:rPr>
          <w:rFonts w:ascii="Arial" w:hAnsi="Arial" w:cs="Arial"/>
          <w:b/>
          <w:bCs/>
        </w:rPr>
        <w:t>(</w:t>
      </w:r>
      <w:r>
        <w:rPr>
          <w:rFonts w:ascii="Arial" w:hAnsi="Arial" w:cs="Arial"/>
          <w:b/>
          <w:bCs/>
        </w:rPr>
        <w:t xml:space="preserve">B) </w:t>
      </w:r>
      <w:r w:rsidRPr="00D41278">
        <w:rPr>
          <w:rFonts w:ascii="Arial" w:hAnsi="Arial" w:cs="Arial"/>
        </w:rPr>
        <w:t>Navitoclax dose-normalized exposures by weight.</w:t>
      </w:r>
      <w:r>
        <w:t xml:space="preserve"> </w:t>
      </w:r>
      <w:r>
        <w:rPr>
          <w:rFonts w:ascii="Arial" w:hAnsi="Arial" w:cs="Arial"/>
        </w:rPr>
        <w:t>Abbreviations</w:t>
      </w:r>
      <w:r w:rsidRPr="00762BAA">
        <w:rPr>
          <w:rFonts w:ascii="Arial" w:hAnsi="Arial" w:cs="Arial"/>
        </w:rPr>
        <w:t xml:space="preserve">: </w:t>
      </w:r>
      <w:r w:rsidRPr="00746A88">
        <w:rPr>
          <w:rFonts w:ascii="Arial" w:hAnsi="Arial" w:cs="Arial"/>
        </w:rPr>
        <w:t>AUC</w:t>
      </w:r>
      <w:r w:rsidRPr="00746A88">
        <w:rPr>
          <w:rFonts w:ascii="Arial" w:hAnsi="Arial" w:cs="Arial"/>
          <w:vertAlign w:val="subscript"/>
        </w:rPr>
        <w:t>0–8</w:t>
      </w:r>
      <w:r w:rsidRPr="00746A88">
        <w:rPr>
          <w:rFonts w:ascii="Arial" w:hAnsi="Arial" w:cs="Arial"/>
        </w:rPr>
        <w:t>, area under the plasma concentration-time curve from day 0–8</w:t>
      </w:r>
      <w:r>
        <w:rPr>
          <w:rFonts w:ascii="Arial" w:hAnsi="Arial" w:cs="Arial"/>
        </w:rPr>
        <w:t>.</w:t>
      </w:r>
    </w:p>
    <w:p w14:paraId="5DDD44DB" w14:textId="77777777" w:rsidR="00533C78" w:rsidRDefault="00533C78" w:rsidP="00533C78">
      <w:pPr>
        <w:spacing w:after="0" w:line="360" w:lineRule="auto"/>
      </w:pPr>
      <w:r>
        <w:rPr>
          <w:noProof/>
        </w:rPr>
        <w:drawing>
          <wp:inline distT="0" distB="0" distL="0" distR="0" wp14:anchorId="6D0D1235" wp14:editId="29805ACA">
            <wp:extent cx="4623468" cy="6400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468" cy="640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A762B3" w14:textId="77777777" w:rsidR="00533C78" w:rsidRDefault="00533C78" w:rsidP="00533C78">
      <w:pPr>
        <w:spacing w:after="0" w:line="360" w:lineRule="auto"/>
      </w:pPr>
    </w:p>
    <w:p w14:paraId="0C82180A" w14:textId="77777777" w:rsidR="00533C78" w:rsidRDefault="00533C78" w:rsidP="00533C7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5E0F525" w14:textId="5B058023" w:rsidR="00533C78" w:rsidRDefault="00533C78" w:rsidP="00533C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 xml:space="preserve">Supplementary </w:t>
      </w:r>
      <w:r w:rsidRPr="003A2218">
        <w:rPr>
          <w:rFonts w:ascii="Arial" w:hAnsi="Arial" w:cs="Arial"/>
          <w:b/>
          <w:bCs/>
        </w:rPr>
        <w:t xml:space="preserve">Figure </w:t>
      </w:r>
      <w:r>
        <w:rPr>
          <w:rFonts w:ascii="Arial" w:hAnsi="Arial" w:cs="Arial"/>
          <w:b/>
          <w:bCs/>
        </w:rPr>
        <w:t>S</w:t>
      </w:r>
      <w:r w:rsidR="0011777F">
        <w:rPr>
          <w:rFonts w:ascii="Arial" w:hAnsi="Arial" w:cs="Arial"/>
          <w:b/>
          <w:bCs/>
        </w:rPr>
        <w:t>6</w:t>
      </w:r>
      <w:r w:rsidRPr="003A2218">
        <w:rPr>
          <w:rFonts w:ascii="Arial" w:hAnsi="Arial" w:cs="Arial"/>
          <w:b/>
          <w:bCs/>
        </w:rPr>
        <w:t>.</w:t>
      </w:r>
      <w:r w:rsidRPr="003A2218">
        <w:rPr>
          <w:rFonts w:ascii="Arial" w:hAnsi="Arial" w:cs="Arial"/>
        </w:rPr>
        <w:t xml:space="preserve"> Forest plot of investigator-assessed CR/CRi/CRp rates by patient subgroups.</w:t>
      </w:r>
      <w:r>
        <w:rPr>
          <w:rFonts w:ascii="Arial" w:hAnsi="Arial" w:cs="Arial"/>
        </w:rPr>
        <w:t xml:space="preserve"> </w:t>
      </w:r>
      <w:r w:rsidRPr="000B5692">
        <w:rPr>
          <w:rFonts w:ascii="Arial" w:hAnsi="Arial" w:cs="Arial"/>
          <w:vertAlign w:val="superscript"/>
        </w:rPr>
        <w:t>a</w:t>
      </w:r>
      <w:r w:rsidRPr="000B5692">
        <w:rPr>
          <w:rFonts w:ascii="Arial" w:hAnsi="Arial" w:cs="Arial"/>
        </w:rPr>
        <w:t xml:space="preserve"> Venetoclax with 25 mg navitoclax for patients ≥45 kg. </w:t>
      </w:r>
      <w:r w:rsidRPr="000B5692">
        <w:rPr>
          <w:rFonts w:ascii="Arial" w:hAnsi="Arial" w:cs="Arial"/>
          <w:vertAlign w:val="superscript"/>
        </w:rPr>
        <w:t>b</w:t>
      </w:r>
      <w:r w:rsidRPr="000B5692">
        <w:rPr>
          <w:rFonts w:ascii="Arial" w:hAnsi="Arial" w:cs="Arial"/>
        </w:rPr>
        <w:t xml:space="preserve"> Venetoclax with 50 mg navitoclax for patients ≥45 kg and 25 mg navitoclax for patients &lt;45 kg. </w:t>
      </w:r>
      <w:r w:rsidRPr="000B5692">
        <w:rPr>
          <w:rFonts w:ascii="Arial" w:hAnsi="Arial" w:cs="Arial"/>
          <w:vertAlign w:val="superscript"/>
        </w:rPr>
        <w:t>c</w:t>
      </w:r>
      <w:r w:rsidRPr="000B5692">
        <w:rPr>
          <w:rFonts w:ascii="Arial" w:hAnsi="Arial" w:cs="Arial"/>
        </w:rPr>
        <w:t xml:space="preserve"> Venetoclax with 100 mg navitoclax for patients ≥45 kg and 50 mg navitoclax for patients &lt;45 kg.</w:t>
      </w:r>
    </w:p>
    <w:p w14:paraId="52299183" w14:textId="77777777" w:rsidR="00533C78" w:rsidRDefault="00533C78" w:rsidP="00533C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Abbreviations: B-ALL, B</w:t>
      </w:r>
      <w:r w:rsidRPr="00594059">
        <w:rPr>
          <w:rFonts w:ascii="Arial" w:hAnsi="Arial" w:cs="Arial"/>
        </w:rPr>
        <w:t>-cell acute lymphoblastic leukemia</w:t>
      </w:r>
      <w:r>
        <w:rPr>
          <w:rFonts w:ascii="Arial" w:hAnsi="Arial" w:cs="Arial"/>
        </w:rPr>
        <w:t xml:space="preserve">; </w:t>
      </w:r>
      <w:r w:rsidRPr="00594059">
        <w:rPr>
          <w:rFonts w:ascii="Arial" w:hAnsi="Arial" w:cs="Arial"/>
        </w:rPr>
        <w:t>CAR, chimeric antigen receptor; CR, complete remission; CR</w:t>
      </w:r>
      <w:r w:rsidRPr="00C31572">
        <w:rPr>
          <w:rFonts w:ascii="Arial" w:hAnsi="Arial" w:cs="Arial"/>
          <w:vertAlign w:val="subscript"/>
        </w:rPr>
        <w:t>i</w:t>
      </w:r>
      <w:r w:rsidRPr="00594059">
        <w:rPr>
          <w:rFonts w:ascii="Arial" w:hAnsi="Arial" w:cs="Arial"/>
        </w:rPr>
        <w:t>,</w:t>
      </w:r>
      <w:r>
        <w:rPr>
          <w:rFonts w:ascii="Arial" w:hAnsi="Arial" w:cs="Arial"/>
        </w:rPr>
        <w:t> </w:t>
      </w:r>
      <w:r w:rsidRPr="00594059">
        <w:rPr>
          <w:rFonts w:ascii="Arial" w:hAnsi="Arial" w:cs="Arial"/>
        </w:rPr>
        <w:t>complete remission with incomplete marrow recovery; CR</w:t>
      </w:r>
      <w:r w:rsidRPr="00C31572">
        <w:rPr>
          <w:rFonts w:ascii="Arial" w:hAnsi="Arial" w:cs="Arial"/>
          <w:vertAlign w:val="subscript"/>
        </w:rPr>
        <w:t>p</w:t>
      </w:r>
      <w:r w:rsidRPr="00594059">
        <w:rPr>
          <w:rFonts w:ascii="Arial" w:hAnsi="Arial" w:cs="Arial"/>
        </w:rPr>
        <w:t>, complete remission without platelet recovery;</w:t>
      </w:r>
      <w:r>
        <w:rPr>
          <w:rFonts w:ascii="Arial" w:hAnsi="Arial" w:cs="Arial"/>
        </w:rPr>
        <w:t xml:space="preserve"> HCT, hematopoietic cell transplantation; LL, lymphoblastic lymphoma; T</w:t>
      </w:r>
      <w:r>
        <w:rPr>
          <w:rFonts w:ascii="Arial" w:hAnsi="Arial" w:cs="Arial"/>
        </w:rPr>
        <w:noBreakHyphen/>
        <w:t xml:space="preserve">ALL, T-cell acute lymphoblastic leukemia. </w:t>
      </w:r>
    </w:p>
    <w:p w14:paraId="1FC03F36" w14:textId="77777777" w:rsidR="00533C78" w:rsidRDefault="00533C78" w:rsidP="00533C78">
      <w:pPr>
        <w:spacing w:after="0" w:line="360" w:lineRule="auto"/>
        <w:ind w:left="-720"/>
        <w:rPr>
          <w:rFonts w:ascii="Arial" w:hAnsi="Arial" w:cs="Arial"/>
          <w:noProof/>
        </w:rPr>
      </w:pPr>
      <w:r>
        <w:rPr>
          <w:noProof/>
        </w:rPr>
        <w:drawing>
          <wp:inline distT="0" distB="0" distL="0" distR="0" wp14:anchorId="3C27C1A3" wp14:editId="5C3C6447">
            <wp:extent cx="6772260" cy="4572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77226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45AE52" w14:textId="77777777" w:rsidR="00533C78" w:rsidRDefault="00533C78" w:rsidP="00533C78">
      <w:pPr>
        <w:spacing w:after="0" w:line="360" w:lineRule="auto"/>
        <w:rPr>
          <w:rFonts w:ascii="Arial" w:hAnsi="Arial" w:cs="Arial"/>
        </w:rPr>
      </w:pPr>
    </w:p>
    <w:p w14:paraId="653D4000" w14:textId="77777777" w:rsidR="00533C78" w:rsidRPr="0063603E" w:rsidRDefault="00533C78" w:rsidP="00533C78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9CD3363" w14:textId="77777777" w:rsidR="00533C78" w:rsidRDefault="00533C78" w:rsidP="00533C78">
      <w:pPr>
        <w:spacing w:after="0" w:line="360" w:lineRule="auto"/>
        <w:rPr>
          <w:rFonts w:ascii="Arial" w:hAnsi="Arial" w:cs="Arial"/>
          <w:b/>
          <w:bCs/>
        </w:rPr>
      </w:pPr>
    </w:p>
    <w:p w14:paraId="503952AD" w14:textId="77777777" w:rsidR="00533C78" w:rsidRDefault="00533C78" w:rsidP="00533C7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2259E79" w14:textId="7D1195C7" w:rsidR="00533C78" w:rsidRDefault="00533C78" w:rsidP="00533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6FD2">
        <w:rPr>
          <w:rFonts w:ascii="Arial" w:hAnsi="Arial" w:cs="Arial"/>
          <w:b/>
          <w:bCs/>
        </w:rPr>
        <w:lastRenderedPageBreak/>
        <w:t xml:space="preserve">Supplementary Figure </w:t>
      </w:r>
      <w:r>
        <w:rPr>
          <w:rFonts w:ascii="Arial" w:hAnsi="Arial" w:cs="Arial"/>
          <w:b/>
          <w:bCs/>
        </w:rPr>
        <w:t>S</w:t>
      </w:r>
      <w:r w:rsidR="0011777F">
        <w:rPr>
          <w:rFonts w:ascii="Arial" w:hAnsi="Arial" w:cs="Arial"/>
          <w:b/>
          <w:bCs/>
        </w:rPr>
        <w:t>7</w:t>
      </w:r>
      <w:r w:rsidRPr="003A6FD2">
        <w:rPr>
          <w:rFonts w:ascii="Arial" w:hAnsi="Arial" w:cs="Arial"/>
          <w:b/>
          <w:bCs/>
        </w:rPr>
        <w:t xml:space="preserve">. </w:t>
      </w:r>
      <w:r w:rsidRPr="003A6FD2">
        <w:rPr>
          <w:rFonts w:ascii="Arial" w:hAnsi="Arial" w:cs="Arial"/>
        </w:rPr>
        <w:t xml:space="preserve">Patient status and responses over time. </w:t>
      </w:r>
      <w:r>
        <w:rPr>
          <w:rFonts w:ascii="Arial" w:hAnsi="Arial" w:cs="Arial"/>
        </w:rPr>
        <w:t xml:space="preserve">Median time on study (95% CI) was calculated using reverse Kaplan-Meier curve of overall survival. </w:t>
      </w:r>
      <w:r w:rsidRPr="00EA62F4">
        <w:rPr>
          <w:rFonts w:ascii="Arial" w:hAnsi="Arial" w:cs="Arial"/>
          <w:vertAlign w:val="superscript"/>
        </w:rPr>
        <w:t>a</w:t>
      </w:r>
      <w:r>
        <w:rPr>
          <w:rFonts w:ascii="Arial" w:hAnsi="Arial" w:cs="Arial"/>
        </w:rPr>
        <w:t xml:space="preserve"> Patient discontinued study to proceed to transplant but subsequently experienced infection complications after stopping study drug that delayed transplant; the patient did not receive transplant. </w:t>
      </w:r>
      <w:r w:rsidRPr="008A41D0">
        <w:rPr>
          <w:rFonts w:ascii="Arial" w:hAnsi="Arial" w:cs="Arial"/>
          <w:vertAlign w:val="superscript"/>
        </w:rPr>
        <w:t>b</w:t>
      </w:r>
      <w:r>
        <w:rPr>
          <w:rFonts w:ascii="Arial" w:hAnsi="Arial" w:cs="Arial"/>
        </w:rPr>
        <w:t xml:space="preserve"> As of data cutoff. Abbreviations: </w:t>
      </w:r>
      <w:r w:rsidRPr="00594059">
        <w:rPr>
          <w:rFonts w:ascii="Arial" w:hAnsi="Arial" w:cs="Arial"/>
        </w:rPr>
        <w:t>CR, complete remission; CR</w:t>
      </w:r>
      <w:r w:rsidRPr="001C0544">
        <w:rPr>
          <w:rFonts w:ascii="Arial" w:hAnsi="Arial" w:cs="Arial"/>
          <w:vertAlign w:val="subscript"/>
        </w:rPr>
        <w:t>i</w:t>
      </w:r>
      <w:r>
        <w:rPr>
          <w:rFonts w:ascii="Arial" w:hAnsi="Arial" w:cs="Arial"/>
        </w:rPr>
        <w:t>/CR</w:t>
      </w:r>
      <w:r w:rsidRPr="001C0544">
        <w:rPr>
          <w:rFonts w:ascii="Arial" w:hAnsi="Arial" w:cs="Arial"/>
          <w:vertAlign w:val="subscript"/>
        </w:rPr>
        <w:t>p</w:t>
      </w:r>
      <w:r w:rsidRPr="00594059">
        <w:rPr>
          <w:rFonts w:ascii="Arial" w:hAnsi="Arial" w:cs="Arial"/>
        </w:rPr>
        <w:t>,</w:t>
      </w:r>
      <w:r>
        <w:rPr>
          <w:rFonts w:ascii="Arial" w:hAnsi="Arial" w:cs="Arial"/>
        </w:rPr>
        <w:t> </w:t>
      </w:r>
      <w:r w:rsidRPr="00594059">
        <w:rPr>
          <w:rFonts w:ascii="Arial" w:hAnsi="Arial" w:cs="Arial"/>
        </w:rPr>
        <w:t>complete remission with incomplete marrow recovery</w:t>
      </w:r>
      <w:r>
        <w:rPr>
          <w:rFonts w:ascii="Arial" w:hAnsi="Arial" w:cs="Arial"/>
        </w:rPr>
        <w:t>/</w:t>
      </w:r>
      <w:r w:rsidRPr="00594059">
        <w:rPr>
          <w:rFonts w:ascii="Arial" w:hAnsi="Arial" w:cs="Arial"/>
        </w:rPr>
        <w:t>complete remission without platelet recovery;</w:t>
      </w:r>
      <w:r>
        <w:rPr>
          <w:rFonts w:ascii="Arial" w:hAnsi="Arial" w:cs="Arial"/>
        </w:rPr>
        <w:t xml:space="preserve"> PD/RE, progressive disease/relapse; PR, partial response; SD, stable disease; W, week.</w:t>
      </w:r>
    </w:p>
    <w:p w14:paraId="383D69D0" w14:textId="77777777" w:rsidR="00533C78" w:rsidRDefault="00533C78" w:rsidP="00533C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3DFDE5F" wp14:editId="0E62AF8B">
            <wp:extent cx="4997707" cy="5670841"/>
            <wp:effectExtent l="0" t="0" r="0" b="6350"/>
            <wp:docPr id="15" name="Picture 15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2CDB21.tmp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707" cy="5670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132F2" w14:textId="77777777" w:rsidR="00533C78" w:rsidRDefault="00533C78" w:rsidP="00533C78">
      <w:pPr>
        <w:spacing w:after="0" w:line="240" w:lineRule="auto"/>
        <w:rPr>
          <w:rFonts w:ascii="Arial" w:hAnsi="Arial" w:cs="Arial"/>
          <w:b/>
          <w:bCs/>
        </w:rPr>
      </w:pPr>
      <w:bookmarkStart w:id="5" w:name="_Hlk39151070"/>
      <w:r>
        <w:rPr>
          <w:rFonts w:ascii="Arial" w:hAnsi="Arial" w:cs="Arial"/>
          <w:b/>
          <w:bCs/>
        </w:rPr>
        <w:br w:type="page"/>
      </w:r>
    </w:p>
    <w:p w14:paraId="59DC3458" w14:textId="26ABF60B" w:rsidR="00533C78" w:rsidRDefault="00533C78" w:rsidP="00533C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Supplementary Figure S</w:t>
      </w:r>
      <w:r w:rsidR="0011777F">
        <w:rPr>
          <w:rFonts w:ascii="Arial" w:hAnsi="Arial" w:cs="Arial"/>
          <w:b/>
          <w:bCs/>
        </w:rPr>
        <w:t>8</w:t>
      </w:r>
      <w:r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r w:rsidRPr="005E10FF">
        <w:rPr>
          <w:rFonts w:ascii="Arial" w:hAnsi="Arial" w:cs="Arial"/>
          <w:i/>
          <w:iCs/>
        </w:rPr>
        <w:t>BCL2</w:t>
      </w:r>
      <w:r>
        <w:rPr>
          <w:rFonts w:ascii="Arial" w:hAnsi="Arial" w:cs="Arial"/>
        </w:rPr>
        <w:t xml:space="preserve">, </w:t>
      </w:r>
      <w:r w:rsidRPr="005E10FF">
        <w:rPr>
          <w:rFonts w:ascii="Arial" w:hAnsi="Arial" w:cs="Arial"/>
          <w:i/>
          <w:iCs/>
        </w:rPr>
        <w:t>BCL2L1</w:t>
      </w:r>
      <w:r>
        <w:rPr>
          <w:rFonts w:ascii="Arial" w:hAnsi="Arial" w:cs="Arial"/>
        </w:rPr>
        <w:t xml:space="preserve">, and </w:t>
      </w:r>
      <w:r w:rsidRPr="005E10FF">
        <w:rPr>
          <w:rFonts w:ascii="Arial" w:hAnsi="Arial" w:cs="Arial"/>
          <w:i/>
          <w:iCs/>
        </w:rPr>
        <w:t xml:space="preserve">MCL1 </w:t>
      </w:r>
      <w:r>
        <w:rPr>
          <w:rFonts w:ascii="Arial" w:hAnsi="Arial" w:cs="Arial"/>
        </w:rPr>
        <w:t>gene expression in identified genomic subtypes of B-ALL (</w:t>
      </w:r>
      <w:r w:rsidRPr="00F6214A">
        <w:rPr>
          <w:rFonts w:ascii="Arial" w:hAnsi="Arial" w:cs="Arial"/>
          <w:b/>
          <w:bCs/>
        </w:rPr>
        <w:t>A, C</w:t>
      </w:r>
      <w:r>
        <w:rPr>
          <w:rFonts w:ascii="Arial" w:hAnsi="Arial" w:cs="Arial"/>
        </w:rPr>
        <w:t>) and immunophenotypes of non-ETP-ALL and ETP-ALL (</w:t>
      </w:r>
      <w:r w:rsidRPr="00F6214A">
        <w:rPr>
          <w:rFonts w:ascii="Arial" w:hAnsi="Arial" w:cs="Arial"/>
          <w:b/>
          <w:bCs/>
        </w:rPr>
        <w:t>B, C</w:t>
      </w:r>
      <w:r>
        <w:rPr>
          <w:rFonts w:ascii="Arial" w:hAnsi="Arial" w:cs="Arial"/>
        </w:rPr>
        <w:t xml:space="preserve">). Abbreviations: </w:t>
      </w:r>
      <w:bookmarkStart w:id="6" w:name="_Hlk43286500"/>
      <w:r>
        <w:rPr>
          <w:rFonts w:ascii="Arial" w:hAnsi="Arial" w:cs="Arial"/>
        </w:rPr>
        <w:t xml:space="preserve">ALL, acute lymphoblastic leukemia; </w:t>
      </w:r>
      <w:bookmarkEnd w:id="6"/>
      <w:r>
        <w:rPr>
          <w:rFonts w:ascii="Arial" w:hAnsi="Arial" w:cs="Arial"/>
        </w:rPr>
        <w:t xml:space="preserve">BCL-2, B-cell lymphoma 2; BCL2L1, BCL2 like 1; ETP-ALL, early T-cell precursor acute lymphoblastic leukemia; </w:t>
      </w:r>
      <w:r w:rsidRPr="0047163F">
        <w:rPr>
          <w:rFonts w:ascii="Arial" w:hAnsi="Arial" w:cs="Arial"/>
        </w:rPr>
        <w:t>MCL-1, myeloid cell leukemia 1</w:t>
      </w:r>
      <w:r>
        <w:rPr>
          <w:rFonts w:ascii="Arial" w:hAnsi="Arial" w:cs="Arial"/>
        </w:rPr>
        <w:t>.</w:t>
      </w:r>
    </w:p>
    <w:p w14:paraId="6FD10A47" w14:textId="77777777" w:rsidR="00533C78" w:rsidRDefault="00533C78" w:rsidP="00533C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AF5107B" wp14:editId="2686263D">
            <wp:extent cx="5943600" cy="4883889"/>
            <wp:effectExtent l="0" t="0" r="0" b="0"/>
            <wp:docPr id="10" name="Picture 1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2C9F3E.tmp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1999"/>
                    <a:stretch/>
                  </pic:blipFill>
                  <pic:spPr bwMode="auto">
                    <a:xfrm>
                      <a:off x="0" y="0"/>
                      <a:ext cx="5943600" cy="4883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1843EBA" w14:textId="77777777" w:rsidR="00533C78" w:rsidRPr="00E44258" w:rsidRDefault="00533C78" w:rsidP="00533C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375A6D7" wp14:editId="538E2DD1">
            <wp:extent cx="5943600" cy="1763439"/>
            <wp:effectExtent l="0" t="0" r="0" b="8255"/>
            <wp:docPr id="11" name="Picture 1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A2CDC29.tmp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47"/>
                    <a:stretch/>
                  </pic:blipFill>
                  <pic:spPr bwMode="auto">
                    <a:xfrm>
                      <a:off x="0" y="0"/>
                      <a:ext cx="5943600" cy="17634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9674602" w14:textId="77777777" w:rsidR="00533C78" w:rsidRDefault="00533C78" w:rsidP="00533C7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59F5656F" w14:textId="2E0ADC7D" w:rsidR="00533C78" w:rsidRDefault="00533C78" w:rsidP="00533C7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S</w:t>
      </w:r>
      <w:r w:rsidRPr="00774D00">
        <w:rPr>
          <w:rFonts w:ascii="Arial" w:hAnsi="Arial" w:cs="Arial"/>
          <w:b/>
          <w:bCs/>
        </w:rPr>
        <w:t xml:space="preserve">upplementary Figure </w:t>
      </w:r>
      <w:r>
        <w:rPr>
          <w:rFonts w:ascii="Arial" w:hAnsi="Arial" w:cs="Arial"/>
          <w:b/>
          <w:bCs/>
        </w:rPr>
        <w:t>S</w:t>
      </w:r>
      <w:r w:rsidR="0011777F">
        <w:rPr>
          <w:rFonts w:ascii="Arial" w:hAnsi="Arial" w:cs="Arial"/>
          <w:b/>
          <w:bCs/>
        </w:rPr>
        <w:t>9</w:t>
      </w:r>
      <w:r w:rsidRPr="00774D00">
        <w:rPr>
          <w:rFonts w:ascii="Arial" w:hAnsi="Arial" w:cs="Arial"/>
          <w:b/>
          <w:bCs/>
        </w:rPr>
        <w:t>.</w:t>
      </w:r>
      <w:r>
        <w:rPr>
          <w:rFonts w:ascii="Arial" w:hAnsi="Arial" w:cs="Arial"/>
        </w:rPr>
        <w:t xml:space="preserve"> </w:t>
      </w:r>
      <w:r w:rsidRPr="005E10FF">
        <w:rPr>
          <w:rFonts w:ascii="Arial" w:hAnsi="Arial" w:cs="Arial"/>
          <w:i/>
          <w:iCs/>
        </w:rPr>
        <w:t>BCL2</w:t>
      </w:r>
      <w:r>
        <w:rPr>
          <w:rFonts w:ascii="Arial" w:hAnsi="Arial" w:cs="Arial"/>
        </w:rPr>
        <w:t xml:space="preserve">, </w:t>
      </w:r>
      <w:r w:rsidRPr="005E10FF">
        <w:rPr>
          <w:rFonts w:ascii="Arial" w:hAnsi="Arial" w:cs="Arial"/>
          <w:i/>
          <w:iCs/>
        </w:rPr>
        <w:t>BCL2L1</w:t>
      </w:r>
      <w:r>
        <w:rPr>
          <w:rFonts w:ascii="Arial" w:hAnsi="Arial" w:cs="Arial"/>
        </w:rPr>
        <w:t xml:space="preserve">, and </w:t>
      </w:r>
      <w:r w:rsidRPr="005E10FF">
        <w:rPr>
          <w:rFonts w:ascii="Arial" w:hAnsi="Arial" w:cs="Arial"/>
          <w:i/>
          <w:iCs/>
        </w:rPr>
        <w:t xml:space="preserve">MCL1 </w:t>
      </w:r>
      <w:r>
        <w:rPr>
          <w:rFonts w:ascii="Arial" w:hAnsi="Arial" w:cs="Arial"/>
        </w:rPr>
        <w:t>gene expression by BH3 functional profile dependencies (BCL-2 dependency: BCL-2 or BCL-2 &gt; BCL-X</w:t>
      </w:r>
      <w:r>
        <w:rPr>
          <w:rFonts w:ascii="Arial" w:hAnsi="Arial" w:cs="Arial"/>
          <w:vertAlign w:val="subscript"/>
        </w:rPr>
        <w:t>L</w:t>
      </w:r>
      <w:r>
        <w:rPr>
          <w:rFonts w:ascii="Arial" w:hAnsi="Arial" w:cs="Arial"/>
        </w:rPr>
        <w:t>; BCL-X</w:t>
      </w:r>
      <w:r>
        <w:rPr>
          <w:rFonts w:ascii="Arial" w:hAnsi="Arial" w:cs="Arial"/>
          <w:vertAlign w:val="subscript"/>
        </w:rPr>
        <w:t>L</w:t>
      </w:r>
      <w:r>
        <w:rPr>
          <w:rFonts w:ascii="Arial" w:hAnsi="Arial" w:cs="Arial"/>
        </w:rPr>
        <w:t xml:space="preserve"> dependency: BCL-X</w:t>
      </w:r>
      <w:r>
        <w:rPr>
          <w:rFonts w:ascii="Arial" w:hAnsi="Arial" w:cs="Arial"/>
          <w:vertAlign w:val="subscript"/>
        </w:rPr>
        <w:t>L</w:t>
      </w:r>
      <w:r>
        <w:rPr>
          <w:rFonts w:ascii="Arial" w:hAnsi="Arial" w:cs="Arial"/>
        </w:rPr>
        <w:t>, BCL-X</w:t>
      </w:r>
      <w:r>
        <w:rPr>
          <w:rFonts w:ascii="Arial" w:hAnsi="Arial" w:cs="Arial"/>
          <w:vertAlign w:val="subscript"/>
        </w:rPr>
        <w:t>L</w:t>
      </w:r>
      <w:r>
        <w:rPr>
          <w:rFonts w:ascii="Arial" w:hAnsi="Arial" w:cs="Arial"/>
        </w:rPr>
        <w:t xml:space="preserve"> &gt; MCL-1, or BCL-X</w:t>
      </w:r>
      <w:r>
        <w:rPr>
          <w:rFonts w:ascii="Arial" w:hAnsi="Arial" w:cs="Arial"/>
          <w:vertAlign w:val="subscript"/>
        </w:rPr>
        <w:t>L</w:t>
      </w:r>
      <w:r>
        <w:rPr>
          <w:rFonts w:ascii="Arial" w:hAnsi="Arial" w:cs="Arial"/>
        </w:rPr>
        <w:t xml:space="preserve">, MCL-1, BCL-2). Abbreviations: ALL, acute lymphoblastic leukemia; BCL-2, B-cell lymphoma 2; BCL2L1, BCL2 like 1; ETP-ALL, early T-cell precursor acute lymphoblastic leukemia; </w:t>
      </w:r>
      <w:r w:rsidRPr="0047163F">
        <w:rPr>
          <w:rFonts w:ascii="Arial" w:hAnsi="Arial" w:cs="Arial"/>
        </w:rPr>
        <w:t>MCL-1, myeloid cell leukemia 1</w:t>
      </w:r>
      <w:r>
        <w:rPr>
          <w:rFonts w:ascii="Arial" w:hAnsi="Arial" w:cs="Arial"/>
        </w:rPr>
        <w:t>.</w:t>
      </w:r>
    </w:p>
    <w:p w14:paraId="364141B2" w14:textId="77777777" w:rsidR="00533C78" w:rsidRDefault="00533C78" w:rsidP="00533C7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0808F1C" wp14:editId="2EFED308">
            <wp:extent cx="5943600" cy="3346450"/>
            <wp:effectExtent l="0" t="0" r="0" b="6350"/>
            <wp:docPr id="3" name="Picture 3" descr="A screenshot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2CB059.tmp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21280" w14:textId="77777777" w:rsidR="00533C78" w:rsidRPr="00490A83" w:rsidRDefault="00533C78" w:rsidP="00533C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bookmarkEnd w:id="5"/>
    <w:p w14:paraId="4A4093F8" w14:textId="5673B293" w:rsidR="00533C78" w:rsidRDefault="00533C78" w:rsidP="0011777F">
      <w:pPr>
        <w:spacing w:after="0" w:line="360" w:lineRule="auto"/>
        <w:rPr>
          <w:rFonts w:ascii="Arial" w:hAnsi="Arial" w:cs="Arial"/>
        </w:rPr>
      </w:pPr>
    </w:p>
    <w:p w14:paraId="2A797EA4" w14:textId="77777777" w:rsidR="00533C78" w:rsidRDefault="00533C78" w:rsidP="00533C78">
      <w:pPr>
        <w:spacing w:after="0" w:line="360" w:lineRule="auto"/>
        <w:rPr>
          <w:rFonts w:ascii="Arial" w:hAnsi="Arial" w:cs="Arial"/>
        </w:rPr>
      </w:pPr>
    </w:p>
    <w:p w14:paraId="11FC227D" w14:textId="77777777" w:rsidR="00533C78" w:rsidRDefault="00533C78" w:rsidP="00533C78">
      <w:pPr>
        <w:spacing w:after="0" w:line="240" w:lineRule="auto"/>
        <w:rPr>
          <w:rFonts w:ascii="Arial" w:hAnsi="Arial" w:cs="Arial"/>
        </w:rPr>
      </w:pPr>
    </w:p>
    <w:p w14:paraId="36197389" w14:textId="605F56D4" w:rsidR="00533C78" w:rsidRPr="002711D2" w:rsidRDefault="00533C78" w:rsidP="00F80C9D">
      <w:pPr>
        <w:spacing w:after="0" w:line="276" w:lineRule="auto"/>
        <w:rPr>
          <w:rFonts w:ascii="Arial" w:hAnsi="Arial" w:cs="Arial"/>
          <w:sz w:val="20"/>
          <w:szCs w:val="20"/>
        </w:rPr>
      </w:pPr>
    </w:p>
    <w:sectPr w:rsidR="00533C78" w:rsidRPr="002711D2" w:rsidSect="008E3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B50555" w14:textId="77777777" w:rsidR="00064138" w:rsidRDefault="00064138" w:rsidP="00DB5F84">
      <w:pPr>
        <w:spacing w:after="0" w:line="240" w:lineRule="auto"/>
      </w:pPr>
      <w:r>
        <w:separator/>
      </w:r>
    </w:p>
  </w:endnote>
  <w:endnote w:type="continuationSeparator" w:id="0">
    <w:p w14:paraId="6BCABC0B" w14:textId="77777777" w:rsidR="00064138" w:rsidRDefault="00064138" w:rsidP="00DB5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Heav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25649124"/>
      <w:docPartObj>
        <w:docPartGallery w:val="Page Numbers (Bottom of Page)"/>
        <w:docPartUnique/>
      </w:docPartObj>
    </w:sdtPr>
    <w:sdtContent>
      <w:p w14:paraId="4F577162" w14:textId="77777777" w:rsidR="00064138" w:rsidRDefault="00064138" w:rsidP="009F0C6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8A59517" w14:textId="77777777" w:rsidR="00064138" w:rsidRDefault="00064138" w:rsidP="002203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92689721"/>
      <w:docPartObj>
        <w:docPartGallery w:val="Page Numbers (Bottom of Page)"/>
        <w:docPartUnique/>
      </w:docPartObj>
    </w:sdtPr>
    <w:sdtContent>
      <w:p w14:paraId="7244A690" w14:textId="77777777" w:rsidR="00064138" w:rsidRDefault="00064138" w:rsidP="009F0C6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21</w:t>
        </w:r>
        <w:r>
          <w:rPr>
            <w:rStyle w:val="PageNumber"/>
          </w:rPr>
          <w:fldChar w:fldCharType="end"/>
        </w:r>
      </w:p>
    </w:sdtContent>
  </w:sdt>
  <w:p w14:paraId="4EB6D028" w14:textId="77777777" w:rsidR="00064138" w:rsidRDefault="00064138" w:rsidP="002203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571949" w14:textId="77777777" w:rsidR="00064138" w:rsidRDefault="00064138" w:rsidP="00DB5F84">
      <w:pPr>
        <w:spacing w:after="0" w:line="240" w:lineRule="auto"/>
      </w:pPr>
      <w:r>
        <w:separator/>
      </w:r>
    </w:p>
  </w:footnote>
  <w:footnote w:type="continuationSeparator" w:id="0">
    <w:p w14:paraId="38846A40" w14:textId="77777777" w:rsidR="00064138" w:rsidRDefault="00064138" w:rsidP="00DB5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08DB8" w14:textId="77777777" w:rsidR="00064138" w:rsidRPr="00F757A5" w:rsidRDefault="00064138" w:rsidP="00F757A5">
    <w:pPr>
      <w:pStyle w:val="Header"/>
      <w:rPr>
        <w:rFonts w:ascii="Arial" w:hAnsi="Arial" w:cs="Arial"/>
        <w:color w:val="A6A6A6" w:themeColor="background1" w:themeShade="A6"/>
      </w:rPr>
    </w:pPr>
    <w:r>
      <w:rPr>
        <w:rFonts w:ascii="Arial" w:hAnsi="Arial" w:cs="Arial"/>
        <w:color w:val="A6A6A6" w:themeColor="background1" w:themeShade="A6"/>
      </w:rPr>
      <w:t>Pullarkat et al.</w:t>
    </w:r>
    <w:r>
      <w:rPr>
        <w:rFonts w:ascii="Arial" w:hAnsi="Arial" w:cs="Arial"/>
        <w:color w:val="808080" w:themeColor="background1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13EC"/>
    <w:multiLevelType w:val="hybridMultilevel"/>
    <w:tmpl w:val="E3F48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C169D"/>
    <w:multiLevelType w:val="hybridMultilevel"/>
    <w:tmpl w:val="99FC0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26AC5"/>
    <w:multiLevelType w:val="hybridMultilevel"/>
    <w:tmpl w:val="AFFE4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C56C0"/>
    <w:multiLevelType w:val="hybridMultilevel"/>
    <w:tmpl w:val="0352A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A4496"/>
    <w:multiLevelType w:val="hybridMultilevel"/>
    <w:tmpl w:val="D1183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E6571"/>
    <w:multiLevelType w:val="hybridMultilevel"/>
    <w:tmpl w:val="070A76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FB6F5C"/>
    <w:multiLevelType w:val="hybridMultilevel"/>
    <w:tmpl w:val="DE702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41A3F"/>
    <w:multiLevelType w:val="hybridMultilevel"/>
    <w:tmpl w:val="C39C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12855"/>
    <w:multiLevelType w:val="hybridMultilevel"/>
    <w:tmpl w:val="FF1C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D3B3B"/>
    <w:multiLevelType w:val="hybridMultilevel"/>
    <w:tmpl w:val="01849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B2229"/>
    <w:multiLevelType w:val="hybridMultilevel"/>
    <w:tmpl w:val="552CF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5901F3"/>
    <w:multiLevelType w:val="hybridMultilevel"/>
    <w:tmpl w:val="F01A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04ABE"/>
    <w:multiLevelType w:val="hybridMultilevel"/>
    <w:tmpl w:val="1B2A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4692E"/>
    <w:multiLevelType w:val="hybridMultilevel"/>
    <w:tmpl w:val="9C38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6DE05FD"/>
    <w:multiLevelType w:val="hybridMultilevel"/>
    <w:tmpl w:val="B8AAC02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8AE7BB2"/>
    <w:multiLevelType w:val="hybridMultilevel"/>
    <w:tmpl w:val="A524C80E"/>
    <w:lvl w:ilvl="0" w:tplc="D556BB58">
      <w:start w:val="1150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774B1"/>
    <w:multiLevelType w:val="hybridMultilevel"/>
    <w:tmpl w:val="D81A0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A10A56"/>
    <w:multiLevelType w:val="hybridMultilevel"/>
    <w:tmpl w:val="AC024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C6BC7"/>
    <w:multiLevelType w:val="hybridMultilevel"/>
    <w:tmpl w:val="F87A0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2A58E0"/>
    <w:multiLevelType w:val="hybridMultilevel"/>
    <w:tmpl w:val="95D2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C4F6781"/>
    <w:multiLevelType w:val="hybridMultilevel"/>
    <w:tmpl w:val="65DC42DC"/>
    <w:lvl w:ilvl="0" w:tplc="599ABC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E01066">
      <w:numFmt w:val="none"/>
      <w:lvlText w:val=""/>
      <w:lvlJc w:val="left"/>
      <w:pPr>
        <w:tabs>
          <w:tab w:val="num" w:pos="360"/>
        </w:tabs>
      </w:pPr>
    </w:lvl>
    <w:lvl w:ilvl="2" w:tplc="8C565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364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DAF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A0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784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323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CE31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CED5B88"/>
    <w:multiLevelType w:val="hybridMultilevel"/>
    <w:tmpl w:val="968CF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E3E5B1E"/>
    <w:multiLevelType w:val="hybridMultilevel"/>
    <w:tmpl w:val="180E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C7382"/>
    <w:multiLevelType w:val="hybridMultilevel"/>
    <w:tmpl w:val="07F6DC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0"/>
  </w:num>
  <w:num w:numId="4">
    <w:abstractNumId w:val="5"/>
  </w:num>
  <w:num w:numId="5">
    <w:abstractNumId w:val="12"/>
  </w:num>
  <w:num w:numId="6">
    <w:abstractNumId w:val="10"/>
  </w:num>
  <w:num w:numId="7">
    <w:abstractNumId w:val="16"/>
  </w:num>
  <w:num w:numId="8">
    <w:abstractNumId w:val="17"/>
  </w:num>
  <w:num w:numId="9">
    <w:abstractNumId w:val="7"/>
  </w:num>
  <w:num w:numId="10">
    <w:abstractNumId w:val="21"/>
  </w:num>
  <w:num w:numId="11">
    <w:abstractNumId w:val="13"/>
  </w:num>
  <w:num w:numId="12">
    <w:abstractNumId w:val="19"/>
  </w:num>
  <w:num w:numId="13">
    <w:abstractNumId w:val="8"/>
  </w:num>
  <w:num w:numId="14">
    <w:abstractNumId w:val="22"/>
  </w:num>
  <w:num w:numId="15">
    <w:abstractNumId w:val="23"/>
  </w:num>
  <w:num w:numId="16">
    <w:abstractNumId w:val="2"/>
  </w:num>
  <w:num w:numId="17">
    <w:abstractNumId w:val="6"/>
  </w:num>
  <w:num w:numId="18">
    <w:abstractNumId w:val="4"/>
  </w:num>
  <w:num w:numId="19">
    <w:abstractNumId w:val="1"/>
  </w:num>
  <w:num w:numId="20">
    <w:abstractNumId w:val="11"/>
  </w:num>
  <w:num w:numId="21">
    <w:abstractNumId w:val="14"/>
  </w:num>
  <w:num w:numId="22">
    <w:abstractNumId w:val="3"/>
  </w:num>
  <w:num w:numId="23">
    <w:abstractNumId w:val="18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7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Cancer Discover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pzv2vpx32txzxefrz2xe9dna0dtfeztd5dp&quot;&gt;EndNote Library CLL Consensus&lt;record-ids&gt;&lt;item&gt;79&lt;/item&gt;&lt;item&gt;80&lt;/item&gt;&lt;/record-ids&gt;&lt;/item&gt;&lt;/Libraries&gt;"/>
  </w:docVars>
  <w:rsids>
    <w:rsidRoot w:val="009B04E3"/>
    <w:rsid w:val="000006C6"/>
    <w:rsid w:val="00000A1A"/>
    <w:rsid w:val="00000C51"/>
    <w:rsid w:val="00001852"/>
    <w:rsid w:val="0000279E"/>
    <w:rsid w:val="00002D2C"/>
    <w:rsid w:val="000038E8"/>
    <w:rsid w:val="00003B55"/>
    <w:rsid w:val="00006085"/>
    <w:rsid w:val="0000740F"/>
    <w:rsid w:val="00007FBC"/>
    <w:rsid w:val="00010604"/>
    <w:rsid w:val="000108BF"/>
    <w:rsid w:val="00010D74"/>
    <w:rsid w:val="00011704"/>
    <w:rsid w:val="00012033"/>
    <w:rsid w:val="00012B87"/>
    <w:rsid w:val="000140A0"/>
    <w:rsid w:val="000144FB"/>
    <w:rsid w:val="0001493F"/>
    <w:rsid w:val="00014A83"/>
    <w:rsid w:val="00014C21"/>
    <w:rsid w:val="00014F5F"/>
    <w:rsid w:val="000166C2"/>
    <w:rsid w:val="0001772F"/>
    <w:rsid w:val="00017776"/>
    <w:rsid w:val="000202EC"/>
    <w:rsid w:val="00020AF6"/>
    <w:rsid w:val="00020C36"/>
    <w:rsid w:val="00020D80"/>
    <w:rsid w:val="0002124C"/>
    <w:rsid w:val="00021265"/>
    <w:rsid w:val="00022987"/>
    <w:rsid w:val="00022D37"/>
    <w:rsid w:val="00022E36"/>
    <w:rsid w:val="00023B05"/>
    <w:rsid w:val="00023EDD"/>
    <w:rsid w:val="0002422C"/>
    <w:rsid w:val="00024CA6"/>
    <w:rsid w:val="000261E7"/>
    <w:rsid w:val="00026479"/>
    <w:rsid w:val="000276E8"/>
    <w:rsid w:val="0003015B"/>
    <w:rsid w:val="0003056C"/>
    <w:rsid w:val="00031952"/>
    <w:rsid w:val="00032315"/>
    <w:rsid w:val="0003255C"/>
    <w:rsid w:val="00033DA6"/>
    <w:rsid w:val="00034D64"/>
    <w:rsid w:val="00035245"/>
    <w:rsid w:val="00036830"/>
    <w:rsid w:val="000368FD"/>
    <w:rsid w:val="00037CC5"/>
    <w:rsid w:val="00040064"/>
    <w:rsid w:val="0004019E"/>
    <w:rsid w:val="00040D19"/>
    <w:rsid w:val="00041079"/>
    <w:rsid w:val="00041CFF"/>
    <w:rsid w:val="00041F63"/>
    <w:rsid w:val="0004283E"/>
    <w:rsid w:val="00042971"/>
    <w:rsid w:val="00042FEB"/>
    <w:rsid w:val="00043D3C"/>
    <w:rsid w:val="00043FF2"/>
    <w:rsid w:val="0004450E"/>
    <w:rsid w:val="00044A56"/>
    <w:rsid w:val="000452E3"/>
    <w:rsid w:val="0004640E"/>
    <w:rsid w:val="0004654B"/>
    <w:rsid w:val="00046635"/>
    <w:rsid w:val="00046F51"/>
    <w:rsid w:val="00047141"/>
    <w:rsid w:val="0005174F"/>
    <w:rsid w:val="00051944"/>
    <w:rsid w:val="000525FE"/>
    <w:rsid w:val="00052AC6"/>
    <w:rsid w:val="00053189"/>
    <w:rsid w:val="0005388A"/>
    <w:rsid w:val="00055350"/>
    <w:rsid w:val="0005592E"/>
    <w:rsid w:val="00055C12"/>
    <w:rsid w:val="0005652A"/>
    <w:rsid w:val="00056C69"/>
    <w:rsid w:val="000579A5"/>
    <w:rsid w:val="00057E39"/>
    <w:rsid w:val="00057F5A"/>
    <w:rsid w:val="0006085A"/>
    <w:rsid w:val="0006100D"/>
    <w:rsid w:val="00061503"/>
    <w:rsid w:val="00062736"/>
    <w:rsid w:val="00062A50"/>
    <w:rsid w:val="00062AE0"/>
    <w:rsid w:val="00063D6A"/>
    <w:rsid w:val="00064138"/>
    <w:rsid w:val="00064648"/>
    <w:rsid w:val="00064B94"/>
    <w:rsid w:val="00064EE8"/>
    <w:rsid w:val="00065A6D"/>
    <w:rsid w:val="00065C35"/>
    <w:rsid w:val="00065E5A"/>
    <w:rsid w:val="00065E79"/>
    <w:rsid w:val="00065EB0"/>
    <w:rsid w:val="00070049"/>
    <w:rsid w:val="00070068"/>
    <w:rsid w:val="00070CCB"/>
    <w:rsid w:val="000715CA"/>
    <w:rsid w:val="00071642"/>
    <w:rsid w:val="00071E8E"/>
    <w:rsid w:val="0007295B"/>
    <w:rsid w:val="00072A46"/>
    <w:rsid w:val="00072CFF"/>
    <w:rsid w:val="00073419"/>
    <w:rsid w:val="000749B6"/>
    <w:rsid w:val="00075D94"/>
    <w:rsid w:val="000768D6"/>
    <w:rsid w:val="00076FC6"/>
    <w:rsid w:val="00077387"/>
    <w:rsid w:val="00077AD9"/>
    <w:rsid w:val="0008099B"/>
    <w:rsid w:val="00080F96"/>
    <w:rsid w:val="0008290F"/>
    <w:rsid w:val="0008309B"/>
    <w:rsid w:val="00083D57"/>
    <w:rsid w:val="00084819"/>
    <w:rsid w:val="00084875"/>
    <w:rsid w:val="0008545D"/>
    <w:rsid w:val="00086515"/>
    <w:rsid w:val="000867C3"/>
    <w:rsid w:val="00086CED"/>
    <w:rsid w:val="00086DAD"/>
    <w:rsid w:val="0009094B"/>
    <w:rsid w:val="00091897"/>
    <w:rsid w:val="000924BC"/>
    <w:rsid w:val="000928BC"/>
    <w:rsid w:val="00092D93"/>
    <w:rsid w:val="0009302F"/>
    <w:rsid w:val="000933FD"/>
    <w:rsid w:val="000938EB"/>
    <w:rsid w:val="00093A77"/>
    <w:rsid w:val="00095645"/>
    <w:rsid w:val="00095E40"/>
    <w:rsid w:val="0009645D"/>
    <w:rsid w:val="00096B98"/>
    <w:rsid w:val="000975D6"/>
    <w:rsid w:val="000A12F4"/>
    <w:rsid w:val="000A18BE"/>
    <w:rsid w:val="000A1ED4"/>
    <w:rsid w:val="000A1F3E"/>
    <w:rsid w:val="000A252F"/>
    <w:rsid w:val="000A2817"/>
    <w:rsid w:val="000A3571"/>
    <w:rsid w:val="000A37DC"/>
    <w:rsid w:val="000A3897"/>
    <w:rsid w:val="000A39FA"/>
    <w:rsid w:val="000A4CF4"/>
    <w:rsid w:val="000A4FD7"/>
    <w:rsid w:val="000A5501"/>
    <w:rsid w:val="000A7D2E"/>
    <w:rsid w:val="000B0840"/>
    <w:rsid w:val="000B1794"/>
    <w:rsid w:val="000B1B08"/>
    <w:rsid w:val="000B1BCA"/>
    <w:rsid w:val="000B1DDC"/>
    <w:rsid w:val="000B2618"/>
    <w:rsid w:val="000B2E68"/>
    <w:rsid w:val="000B300A"/>
    <w:rsid w:val="000B4053"/>
    <w:rsid w:val="000B5692"/>
    <w:rsid w:val="000B61C5"/>
    <w:rsid w:val="000C0030"/>
    <w:rsid w:val="000C01AF"/>
    <w:rsid w:val="000C03FC"/>
    <w:rsid w:val="000C05FB"/>
    <w:rsid w:val="000C0A25"/>
    <w:rsid w:val="000C0F51"/>
    <w:rsid w:val="000C119D"/>
    <w:rsid w:val="000C1F88"/>
    <w:rsid w:val="000C3256"/>
    <w:rsid w:val="000C3341"/>
    <w:rsid w:val="000C3CD7"/>
    <w:rsid w:val="000C42AC"/>
    <w:rsid w:val="000C4CD5"/>
    <w:rsid w:val="000C52F2"/>
    <w:rsid w:val="000C55C6"/>
    <w:rsid w:val="000C644E"/>
    <w:rsid w:val="000C733B"/>
    <w:rsid w:val="000C7DCC"/>
    <w:rsid w:val="000D080A"/>
    <w:rsid w:val="000D0867"/>
    <w:rsid w:val="000D0A52"/>
    <w:rsid w:val="000D0DB1"/>
    <w:rsid w:val="000D12AF"/>
    <w:rsid w:val="000D1F47"/>
    <w:rsid w:val="000D28FF"/>
    <w:rsid w:val="000D369F"/>
    <w:rsid w:val="000D3BA6"/>
    <w:rsid w:val="000D468D"/>
    <w:rsid w:val="000D507C"/>
    <w:rsid w:val="000D67BE"/>
    <w:rsid w:val="000D7059"/>
    <w:rsid w:val="000D7E0A"/>
    <w:rsid w:val="000E08EB"/>
    <w:rsid w:val="000E1D92"/>
    <w:rsid w:val="000E2176"/>
    <w:rsid w:val="000E2918"/>
    <w:rsid w:val="000E2C68"/>
    <w:rsid w:val="000E2F37"/>
    <w:rsid w:val="000E3956"/>
    <w:rsid w:val="000E48C7"/>
    <w:rsid w:val="000E4D1B"/>
    <w:rsid w:val="000E539D"/>
    <w:rsid w:val="000E572C"/>
    <w:rsid w:val="000E7D56"/>
    <w:rsid w:val="000F02A4"/>
    <w:rsid w:val="000F0AF9"/>
    <w:rsid w:val="000F0C7D"/>
    <w:rsid w:val="000F0D79"/>
    <w:rsid w:val="000F0E11"/>
    <w:rsid w:val="000F30A7"/>
    <w:rsid w:val="000F4907"/>
    <w:rsid w:val="000F5388"/>
    <w:rsid w:val="000F5589"/>
    <w:rsid w:val="000F5A47"/>
    <w:rsid w:val="000F5D1F"/>
    <w:rsid w:val="000F6EBA"/>
    <w:rsid w:val="000F7620"/>
    <w:rsid w:val="000F7F73"/>
    <w:rsid w:val="00100840"/>
    <w:rsid w:val="00100E62"/>
    <w:rsid w:val="00101433"/>
    <w:rsid w:val="00101ED2"/>
    <w:rsid w:val="00101F70"/>
    <w:rsid w:val="001024D7"/>
    <w:rsid w:val="0010319C"/>
    <w:rsid w:val="001036EF"/>
    <w:rsid w:val="00103C81"/>
    <w:rsid w:val="00104587"/>
    <w:rsid w:val="00104732"/>
    <w:rsid w:val="00105211"/>
    <w:rsid w:val="00105385"/>
    <w:rsid w:val="001066B0"/>
    <w:rsid w:val="00106BB4"/>
    <w:rsid w:val="00107155"/>
    <w:rsid w:val="00110523"/>
    <w:rsid w:val="001112E0"/>
    <w:rsid w:val="001113BE"/>
    <w:rsid w:val="001114F6"/>
    <w:rsid w:val="0011160D"/>
    <w:rsid w:val="00111753"/>
    <w:rsid w:val="00111A66"/>
    <w:rsid w:val="00114DB9"/>
    <w:rsid w:val="00114F1F"/>
    <w:rsid w:val="00116BC9"/>
    <w:rsid w:val="0011777F"/>
    <w:rsid w:val="00117B22"/>
    <w:rsid w:val="00120AB9"/>
    <w:rsid w:val="00122353"/>
    <w:rsid w:val="001252E3"/>
    <w:rsid w:val="001252F5"/>
    <w:rsid w:val="00125773"/>
    <w:rsid w:val="001261A8"/>
    <w:rsid w:val="001265AD"/>
    <w:rsid w:val="001268BD"/>
    <w:rsid w:val="00126E5F"/>
    <w:rsid w:val="001272DB"/>
    <w:rsid w:val="00127CDC"/>
    <w:rsid w:val="0013043B"/>
    <w:rsid w:val="00130797"/>
    <w:rsid w:val="001322D7"/>
    <w:rsid w:val="001323DA"/>
    <w:rsid w:val="00133092"/>
    <w:rsid w:val="001359DC"/>
    <w:rsid w:val="00137067"/>
    <w:rsid w:val="001371D8"/>
    <w:rsid w:val="00137823"/>
    <w:rsid w:val="00141EB7"/>
    <w:rsid w:val="00143B42"/>
    <w:rsid w:val="001440E4"/>
    <w:rsid w:val="00144362"/>
    <w:rsid w:val="001448C6"/>
    <w:rsid w:val="00144F83"/>
    <w:rsid w:val="001451DE"/>
    <w:rsid w:val="00145AC7"/>
    <w:rsid w:val="0014673C"/>
    <w:rsid w:val="00146A37"/>
    <w:rsid w:val="00151DEB"/>
    <w:rsid w:val="00151FCA"/>
    <w:rsid w:val="00152322"/>
    <w:rsid w:val="001538FF"/>
    <w:rsid w:val="00153E6C"/>
    <w:rsid w:val="001548BE"/>
    <w:rsid w:val="00154975"/>
    <w:rsid w:val="00155025"/>
    <w:rsid w:val="001552BD"/>
    <w:rsid w:val="0015540B"/>
    <w:rsid w:val="00155A5A"/>
    <w:rsid w:val="001574C8"/>
    <w:rsid w:val="001575D0"/>
    <w:rsid w:val="00157A67"/>
    <w:rsid w:val="0016009D"/>
    <w:rsid w:val="00160722"/>
    <w:rsid w:val="00160911"/>
    <w:rsid w:val="0016147F"/>
    <w:rsid w:val="00162159"/>
    <w:rsid w:val="00162579"/>
    <w:rsid w:val="001625CD"/>
    <w:rsid w:val="001633F8"/>
    <w:rsid w:val="001638BF"/>
    <w:rsid w:val="00163B8F"/>
    <w:rsid w:val="00164345"/>
    <w:rsid w:val="00164C2C"/>
    <w:rsid w:val="00164D77"/>
    <w:rsid w:val="00165179"/>
    <w:rsid w:val="00165912"/>
    <w:rsid w:val="0016668F"/>
    <w:rsid w:val="00167966"/>
    <w:rsid w:val="00167D86"/>
    <w:rsid w:val="00170A49"/>
    <w:rsid w:val="00170C55"/>
    <w:rsid w:val="001719D7"/>
    <w:rsid w:val="00172080"/>
    <w:rsid w:val="00173682"/>
    <w:rsid w:val="00174D68"/>
    <w:rsid w:val="00175C98"/>
    <w:rsid w:val="00175EF7"/>
    <w:rsid w:val="001760D4"/>
    <w:rsid w:val="00177892"/>
    <w:rsid w:val="00177A9C"/>
    <w:rsid w:val="0018032E"/>
    <w:rsid w:val="00180780"/>
    <w:rsid w:val="00180AF5"/>
    <w:rsid w:val="00180E36"/>
    <w:rsid w:val="00181755"/>
    <w:rsid w:val="0018444B"/>
    <w:rsid w:val="00184CE6"/>
    <w:rsid w:val="00185498"/>
    <w:rsid w:val="00185B2A"/>
    <w:rsid w:val="00186852"/>
    <w:rsid w:val="00186E49"/>
    <w:rsid w:val="001870DE"/>
    <w:rsid w:val="00187632"/>
    <w:rsid w:val="001877C1"/>
    <w:rsid w:val="00190033"/>
    <w:rsid w:val="00191621"/>
    <w:rsid w:val="00191C86"/>
    <w:rsid w:val="0019299C"/>
    <w:rsid w:val="00192EC7"/>
    <w:rsid w:val="00193BFF"/>
    <w:rsid w:val="00194C3C"/>
    <w:rsid w:val="00194F72"/>
    <w:rsid w:val="001950AC"/>
    <w:rsid w:val="001956B7"/>
    <w:rsid w:val="001965C3"/>
    <w:rsid w:val="00196CC1"/>
    <w:rsid w:val="0019740F"/>
    <w:rsid w:val="001975E4"/>
    <w:rsid w:val="00197D6D"/>
    <w:rsid w:val="001A0007"/>
    <w:rsid w:val="001A06B4"/>
    <w:rsid w:val="001A0C4D"/>
    <w:rsid w:val="001A2B84"/>
    <w:rsid w:val="001A370C"/>
    <w:rsid w:val="001A42CA"/>
    <w:rsid w:val="001A4B5A"/>
    <w:rsid w:val="001A5D52"/>
    <w:rsid w:val="001A7961"/>
    <w:rsid w:val="001B02C2"/>
    <w:rsid w:val="001B0C45"/>
    <w:rsid w:val="001B0F1D"/>
    <w:rsid w:val="001B1CA7"/>
    <w:rsid w:val="001B2402"/>
    <w:rsid w:val="001B25C2"/>
    <w:rsid w:val="001B2676"/>
    <w:rsid w:val="001B30AB"/>
    <w:rsid w:val="001B32C3"/>
    <w:rsid w:val="001B397A"/>
    <w:rsid w:val="001B5B6E"/>
    <w:rsid w:val="001B6290"/>
    <w:rsid w:val="001B6963"/>
    <w:rsid w:val="001B73D1"/>
    <w:rsid w:val="001B7589"/>
    <w:rsid w:val="001B7A17"/>
    <w:rsid w:val="001B7B13"/>
    <w:rsid w:val="001C0544"/>
    <w:rsid w:val="001C0BFB"/>
    <w:rsid w:val="001C0C62"/>
    <w:rsid w:val="001C13DE"/>
    <w:rsid w:val="001C24A8"/>
    <w:rsid w:val="001C26CC"/>
    <w:rsid w:val="001C2A89"/>
    <w:rsid w:val="001C2CF0"/>
    <w:rsid w:val="001C3923"/>
    <w:rsid w:val="001C51A0"/>
    <w:rsid w:val="001C6A54"/>
    <w:rsid w:val="001C73CD"/>
    <w:rsid w:val="001C73E6"/>
    <w:rsid w:val="001C777B"/>
    <w:rsid w:val="001C781B"/>
    <w:rsid w:val="001C7D95"/>
    <w:rsid w:val="001D0B10"/>
    <w:rsid w:val="001D0D63"/>
    <w:rsid w:val="001D24C3"/>
    <w:rsid w:val="001D2DC2"/>
    <w:rsid w:val="001D3F77"/>
    <w:rsid w:val="001D570D"/>
    <w:rsid w:val="001D5737"/>
    <w:rsid w:val="001D5C93"/>
    <w:rsid w:val="001D5D0B"/>
    <w:rsid w:val="001D694C"/>
    <w:rsid w:val="001D713A"/>
    <w:rsid w:val="001D76AE"/>
    <w:rsid w:val="001D7D54"/>
    <w:rsid w:val="001E0A17"/>
    <w:rsid w:val="001E0D86"/>
    <w:rsid w:val="001E11FD"/>
    <w:rsid w:val="001E12DA"/>
    <w:rsid w:val="001E34CC"/>
    <w:rsid w:val="001E535F"/>
    <w:rsid w:val="001E6CCD"/>
    <w:rsid w:val="001E7606"/>
    <w:rsid w:val="001E795D"/>
    <w:rsid w:val="001F1C71"/>
    <w:rsid w:val="001F207E"/>
    <w:rsid w:val="001F2890"/>
    <w:rsid w:val="001F447F"/>
    <w:rsid w:val="001F4AE5"/>
    <w:rsid w:val="001F5A90"/>
    <w:rsid w:val="001F768B"/>
    <w:rsid w:val="001F7D61"/>
    <w:rsid w:val="00200636"/>
    <w:rsid w:val="00200D18"/>
    <w:rsid w:val="002013B3"/>
    <w:rsid w:val="00201CFE"/>
    <w:rsid w:val="0020246B"/>
    <w:rsid w:val="00203E85"/>
    <w:rsid w:val="00203F72"/>
    <w:rsid w:val="002045DA"/>
    <w:rsid w:val="00204613"/>
    <w:rsid w:val="00204657"/>
    <w:rsid w:val="00205747"/>
    <w:rsid w:val="00205A88"/>
    <w:rsid w:val="00207973"/>
    <w:rsid w:val="00207C80"/>
    <w:rsid w:val="00207C91"/>
    <w:rsid w:val="00210A18"/>
    <w:rsid w:val="0021181B"/>
    <w:rsid w:val="00211F01"/>
    <w:rsid w:val="002124A7"/>
    <w:rsid w:val="00212752"/>
    <w:rsid w:val="002133B7"/>
    <w:rsid w:val="0021393C"/>
    <w:rsid w:val="00213F5F"/>
    <w:rsid w:val="00214574"/>
    <w:rsid w:val="00216AB9"/>
    <w:rsid w:val="002173AD"/>
    <w:rsid w:val="00217E65"/>
    <w:rsid w:val="002203A8"/>
    <w:rsid w:val="00220D08"/>
    <w:rsid w:val="0022108B"/>
    <w:rsid w:val="00221294"/>
    <w:rsid w:val="00222173"/>
    <w:rsid w:val="0022219E"/>
    <w:rsid w:val="00222958"/>
    <w:rsid w:val="00222A4C"/>
    <w:rsid w:val="0022329A"/>
    <w:rsid w:val="00223D15"/>
    <w:rsid w:val="00224B08"/>
    <w:rsid w:val="00224DE8"/>
    <w:rsid w:val="00224FF9"/>
    <w:rsid w:val="00225360"/>
    <w:rsid w:val="002256EE"/>
    <w:rsid w:val="00225A3B"/>
    <w:rsid w:val="0022616B"/>
    <w:rsid w:val="0022650B"/>
    <w:rsid w:val="00226602"/>
    <w:rsid w:val="00227CD5"/>
    <w:rsid w:val="0023084E"/>
    <w:rsid w:val="00230BFB"/>
    <w:rsid w:val="00230EC6"/>
    <w:rsid w:val="002316C8"/>
    <w:rsid w:val="00233AF4"/>
    <w:rsid w:val="002353C6"/>
    <w:rsid w:val="002359E8"/>
    <w:rsid w:val="00236471"/>
    <w:rsid w:val="002368D3"/>
    <w:rsid w:val="00237C50"/>
    <w:rsid w:val="00240475"/>
    <w:rsid w:val="00240BB4"/>
    <w:rsid w:val="00241046"/>
    <w:rsid w:val="00241402"/>
    <w:rsid w:val="00242EE3"/>
    <w:rsid w:val="002438E7"/>
    <w:rsid w:val="00243E1D"/>
    <w:rsid w:val="0024466C"/>
    <w:rsid w:val="002446D4"/>
    <w:rsid w:val="00245170"/>
    <w:rsid w:val="00245173"/>
    <w:rsid w:val="00245E93"/>
    <w:rsid w:val="00246E72"/>
    <w:rsid w:val="00247D6A"/>
    <w:rsid w:val="0025001D"/>
    <w:rsid w:val="00250710"/>
    <w:rsid w:val="00251EDF"/>
    <w:rsid w:val="002520BC"/>
    <w:rsid w:val="0025247B"/>
    <w:rsid w:val="002532B5"/>
    <w:rsid w:val="00253ADF"/>
    <w:rsid w:val="00254AE0"/>
    <w:rsid w:val="0026024D"/>
    <w:rsid w:val="002604F8"/>
    <w:rsid w:val="00261587"/>
    <w:rsid w:val="00261A07"/>
    <w:rsid w:val="00261D9F"/>
    <w:rsid w:val="00262349"/>
    <w:rsid w:val="00264ADE"/>
    <w:rsid w:val="00265B20"/>
    <w:rsid w:val="002676F2"/>
    <w:rsid w:val="00267B50"/>
    <w:rsid w:val="00267E75"/>
    <w:rsid w:val="002711D2"/>
    <w:rsid w:val="002714C6"/>
    <w:rsid w:val="002715A4"/>
    <w:rsid w:val="00271BC9"/>
    <w:rsid w:val="0027225B"/>
    <w:rsid w:val="00272F40"/>
    <w:rsid w:val="002731AE"/>
    <w:rsid w:val="00273385"/>
    <w:rsid w:val="00273ABB"/>
    <w:rsid w:val="00273F35"/>
    <w:rsid w:val="00273FE1"/>
    <w:rsid w:val="00274866"/>
    <w:rsid w:val="00274C89"/>
    <w:rsid w:val="00275F07"/>
    <w:rsid w:val="00276988"/>
    <w:rsid w:val="00276A4C"/>
    <w:rsid w:val="00276F9C"/>
    <w:rsid w:val="00277AB5"/>
    <w:rsid w:val="00277CFF"/>
    <w:rsid w:val="00277E5C"/>
    <w:rsid w:val="00280322"/>
    <w:rsid w:val="002818F3"/>
    <w:rsid w:val="00281C33"/>
    <w:rsid w:val="002823CE"/>
    <w:rsid w:val="00282C6C"/>
    <w:rsid w:val="00283587"/>
    <w:rsid w:val="00283D5D"/>
    <w:rsid w:val="00284112"/>
    <w:rsid w:val="0028509A"/>
    <w:rsid w:val="00285B91"/>
    <w:rsid w:val="00285D0D"/>
    <w:rsid w:val="00286413"/>
    <w:rsid w:val="00286F9B"/>
    <w:rsid w:val="002870B0"/>
    <w:rsid w:val="00287C65"/>
    <w:rsid w:val="00290951"/>
    <w:rsid w:val="00290D79"/>
    <w:rsid w:val="00292035"/>
    <w:rsid w:val="002926AD"/>
    <w:rsid w:val="00292A9B"/>
    <w:rsid w:val="00292E44"/>
    <w:rsid w:val="002931A6"/>
    <w:rsid w:val="00293C5E"/>
    <w:rsid w:val="002948B0"/>
    <w:rsid w:val="00294948"/>
    <w:rsid w:val="00295E69"/>
    <w:rsid w:val="0029605D"/>
    <w:rsid w:val="002960DC"/>
    <w:rsid w:val="00296C50"/>
    <w:rsid w:val="002971A6"/>
    <w:rsid w:val="002A0029"/>
    <w:rsid w:val="002A0096"/>
    <w:rsid w:val="002A06A2"/>
    <w:rsid w:val="002A2202"/>
    <w:rsid w:val="002A2268"/>
    <w:rsid w:val="002A35FF"/>
    <w:rsid w:val="002A3C09"/>
    <w:rsid w:val="002A430C"/>
    <w:rsid w:val="002A4564"/>
    <w:rsid w:val="002A49B2"/>
    <w:rsid w:val="002A6378"/>
    <w:rsid w:val="002A6B07"/>
    <w:rsid w:val="002A762F"/>
    <w:rsid w:val="002A7C24"/>
    <w:rsid w:val="002B02F8"/>
    <w:rsid w:val="002B0520"/>
    <w:rsid w:val="002B1F66"/>
    <w:rsid w:val="002B4071"/>
    <w:rsid w:val="002B5A56"/>
    <w:rsid w:val="002B73B6"/>
    <w:rsid w:val="002B7B4C"/>
    <w:rsid w:val="002C0387"/>
    <w:rsid w:val="002C11F2"/>
    <w:rsid w:val="002C12A5"/>
    <w:rsid w:val="002C1F7C"/>
    <w:rsid w:val="002C212C"/>
    <w:rsid w:val="002C38A2"/>
    <w:rsid w:val="002C4C3F"/>
    <w:rsid w:val="002C4E6A"/>
    <w:rsid w:val="002C5300"/>
    <w:rsid w:val="002C56DC"/>
    <w:rsid w:val="002C5D86"/>
    <w:rsid w:val="002C6243"/>
    <w:rsid w:val="002C646A"/>
    <w:rsid w:val="002C751D"/>
    <w:rsid w:val="002C7B76"/>
    <w:rsid w:val="002D1E75"/>
    <w:rsid w:val="002D284B"/>
    <w:rsid w:val="002D2BC5"/>
    <w:rsid w:val="002D3563"/>
    <w:rsid w:val="002D480C"/>
    <w:rsid w:val="002D4EC4"/>
    <w:rsid w:val="002D5689"/>
    <w:rsid w:val="002D7026"/>
    <w:rsid w:val="002D70C3"/>
    <w:rsid w:val="002E00E2"/>
    <w:rsid w:val="002E0727"/>
    <w:rsid w:val="002E1257"/>
    <w:rsid w:val="002E1C40"/>
    <w:rsid w:val="002E2016"/>
    <w:rsid w:val="002E30F6"/>
    <w:rsid w:val="002E323E"/>
    <w:rsid w:val="002E48C8"/>
    <w:rsid w:val="002E49D8"/>
    <w:rsid w:val="002E54E5"/>
    <w:rsid w:val="002E6371"/>
    <w:rsid w:val="002E6F5F"/>
    <w:rsid w:val="002E7802"/>
    <w:rsid w:val="002F10CD"/>
    <w:rsid w:val="002F1AC1"/>
    <w:rsid w:val="002F1FB7"/>
    <w:rsid w:val="002F2765"/>
    <w:rsid w:val="002F2DDB"/>
    <w:rsid w:val="002F5239"/>
    <w:rsid w:val="002F55F4"/>
    <w:rsid w:val="002F5749"/>
    <w:rsid w:val="002F6BB7"/>
    <w:rsid w:val="002F7793"/>
    <w:rsid w:val="002F795E"/>
    <w:rsid w:val="0030065E"/>
    <w:rsid w:val="00300B71"/>
    <w:rsid w:val="00300DC6"/>
    <w:rsid w:val="00300FB8"/>
    <w:rsid w:val="00301B29"/>
    <w:rsid w:val="0030268B"/>
    <w:rsid w:val="003028F2"/>
    <w:rsid w:val="00302CF7"/>
    <w:rsid w:val="003038BF"/>
    <w:rsid w:val="003039FC"/>
    <w:rsid w:val="00304571"/>
    <w:rsid w:val="00304613"/>
    <w:rsid w:val="00307A72"/>
    <w:rsid w:val="00307DEB"/>
    <w:rsid w:val="003109C7"/>
    <w:rsid w:val="00316393"/>
    <w:rsid w:val="00316675"/>
    <w:rsid w:val="00317962"/>
    <w:rsid w:val="00317B6D"/>
    <w:rsid w:val="00321B46"/>
    <w:rsid w:val="00324D29"/>
    <w:rsid w:val="003250A3"/>
    <w:rsid w:val="00326109"/>
    <w:rsid w:val="00326597"/>
    <w:rsid w:val="003267F9"/>
    <w:rsid w:val="003305E5"/>
    <w:rsid w:val="00330C1C"/>
    <w:rsid w:val="00330E24"/>
    <w:rsid w:val="0033189B"/>
    <w:rsid w:val="0033230B"/>
    <w:rsid w:val="0033264B"/>
    <w:rsid w:val="0033264C"/>
    <w:rsid w:val="003327E3"/>
    <w:rsid w:val="00332A33"/>
    <w:rsid w:val="00332DB9"/>
    <w:rsid w:val="00332E4F"/>
    <w:rsid w:val="00332F90"/>
    <w:rsid w:val="003333BB"/>
    <w:rsid w:val="003339D3"/>
    <w:rsid w:val="00334211"/>
    <w:rsid w:val="00334A01"/>
    <w:rsid w:val="00335CC4"/>
    <w:rsid w:val="00336266"/>
    <w:rsid w:val="0033634F"/>
    <w:rsid w:val="0033709D"/>
    <w:rsid w:val="00337569"/>
    <w:rsid w:val="003378E5"/>
    <w:rsid w:val="003378EA"/>
    <w:rsid w:val="003406BE"/>
    <w:rsid w:val="0034145B"/>
    <w:rsid w:val="00342200"/>
    <w:rsid w:val="00342471"/>
    <w:rsid w:val="003424D5"/>
    <w:rsid w:val="003432D2"/>
    <w:rsid w:val="00343471"/>
    <w:rsid w:val="00343696"/>
    <w:rsid w:val="00344DB3"/>
    <w:rsid w:val="00345232"/>
    <w:rsid w:val="00345F21"/>
    <w:rsid w:val="003467F1"/>
    <w:rsid w:val="00347665"/>
    <w:rsid w:val="00350424"/>
    <w:rsid w:val="00351521"/>
    <w:rsid w:val="00352352"/>
    <w:rsid w:val="00353101"/>
    <w:rsid w:val="0035367D"/>
    <w:rsid w:val="0035478B"/>
    <w:rsid w:val="00354B89"/>
    <w:rsid w:val="003553AC"/>
    <w:rsid w:val="0035714A"/>
    <w:rsid w:val="003573D9"/>
    <w:rsid w:val="003579DA"/>
    <w:rsid w:val="00360E26"/>
    <w:rsid w:val="00361237"/>
    <w:rsid w:val="003616CB"/>
    <w:rsid w:val="00361738"/>
    <w:rsid w:val="003628D2"/>
    <w:rsid w:val="00362FAD"/>
    <w:rsid w:val="00363506"/>
    <w:rsid w:val="00363579"/>
    <w:rsid w:val="00363FAB"/>
    <w:rsid w:val="00364062"/>
    <w:rsid w:val="00364B98"/>
    <w:rsid w:val="00365646"/>
    <w:rsid w:val="00366F85"/>
    <w:rsid w:val="00367D1E"/>
    <w:rsid w:val="003700F3"/>
    <w:rsid w:val="00370969"/>
    <w:rsid w:val="003725CF"/>
    <w:rsid w:val="00372C39"/>
    <w:rsid w:val="0037402F"/>
    <w:rsid w:val="003743BC"/>
    <w:rsid w:val="00374683"/>
    <w:rsid w:val="00375719"/>
    <w:rsid w:val="00375A1E"/>
    <w:rsid w:val="00376BAA"/>
    <w:rsid w:val="00376C02"/>
    <w:rsid w:val="00377578"/>
    <w:rsid w:val="00380AA0"/>
    <w:rsid w:val="00380AEE"/>
    <w:rsid w:val="003814BF"/>
    <w:rsid w:val="003822AB"/>
    <w:rsid w:val="003824F2"/>
    <w:rsid w:val="00382D3A"/>
    <w:rsid w:val="00382D85"/>
    <w:rsid w:val="003835A9"/>
    <w:rsid w:val="00383F92"/>
    <w:rsid w:val="003845BC"/>
    <w:rsid w:val="0038504C"/>
    <w:rsid w:val="00385452"/>
    <w:rsid w:val="0038635F"/>
    <w:rsid w:val="00386F84"/>
    <w:rsid w:val="00386FA0"/>
    <w:rsid w:val="003878E8"/>
    <w:rsid w:val="003879B1"/>
    <w:rsid w:val="00387F33"/>
    <w:rsid w:val="003904F2"/>
    <w:rsid w:val="00390A92"/>
    <w:rsid w:val="00391303"/>
    <w:rsid w:val="00391684"/>
    <w:rsid w:val="00393484"/>
    <w:rsid w:val="00393AD9"/>
    <w:rsid w:val="00394275"/>
    <w:rsid w:val="00394ADD"/>
    <w:rsid w:val="00394ED7"/>
    <w:rsid w:val="003956D0"/>
    <w:rsid w:val="00395875"/>
    <w:rsid w:val="00395FD4"/>
    <w:rsid w:val="00396B84"/>
    <w:rsid w:val="00396C6C"/>
    <w:rsid w:val="003A1CFD"/>
    <w:rsid w:val="003A2218"/>
    <w:rsid w:val="003A2635"/>
    <w:rsid w:val="003A4BDA"/>
    <w:rsid w:val="003A6FD2"/>
    <w:rsid w:val="003A7EA1"/>
    <w:rsid w:val="003B0279"/>
    <w:rsid w:val="003B02DF"/>
    <w:rsid w:val="003B0DF1"/>
    <w:rsid w:val="003B1336"/>
    <w:rsid w:val="003B21E1"/>
    <w:rsid w:val="003B24DC"/>
    <w:rsid w:val="003B3321"/>
    <w:rsid w:val="003B3926"/>
    <w:rsid w:val="003B47C1"/>
    <w:rsid w:val="003B518E"/>
    <w:rsid w:val="003B594F"/>
    <w:rsid w:val="003B70A8"/>
    <w:rsid w:val="003B73F2"/>
    <w:rsid w:val="003B7764"/>
    <w:rsid w:val="003B7836"/>
    <w:rsid w:val="003B7950"/>
    <w:rsid w:val="003C01B0"/>
    <w:rsid w:val="003C058D"/>
    <w:rsid w:val="003C0AB7"/>
    <w:rsid w:val="003C0F0B"/>
    <w:rsid w:val="003C1788"/>
    <w:rsid w:val="003C1938"/>
    <w:rsid w:val="003C20D5"/>
    <w:rsid w:val="003C25C3"/>
    <w:rsid w:val="003C28B3"/>
    <w:rsid w:val="003C3360"/>
    <w:rsid w:val="003C5537"/>
    <w:rsid w:val="003C7117"/>
    <w:rsid w:val="003D0211"/>
    <w:rsid w:val="003D1203"/>
    <w:rsid w:val="003D1DFA"/>
    <w:rsid w:val="003D20E6"/>
    <w:rsid w:val="003D2488"/>
    <w:rsid w:val="003D2BA0"/>
    <w:rsid w:val="003D2D8A"/>
    <w:rsid w:val="003D2EC8"/>
    <w:rsid w:val="003D345A"/>
    <w:rsid w:val="003D3A6D"/>
    <w:rsid w:val="003D3F7F"/>
    <w:rsid w:val="003D42BE"/>
    <w:rsid w:val="003D44D8"/>
    <w:rsid w:val="003D7023"/>
    <w:rsid w:val="003E127A"/>
    <w:rsid w:val="003E1765"/>
    <w:rsid w:val="003E2EC6"/>
    <w:rsid w:val="003E3E62"/>
    <w:rsid w:val="003E560D"/>
    <w:rsid w:val="003E5BB2"/>
    <w:rsid w:val="003E63F2"/>
    <w:rsid w:val="003E66DA"/>
    <w:rsid w:val="003E689E"/>
    <w:rsid w:val="003E7CE0"/>
    <w:rsid w:val="003E7E71"/>
    <w:rsid w:val="003F06AC"/>
    <w:rsid w:val="003F07C2"/>
    <w:rsid w:val="003F0804"/>
    <w:rsid w:val="003F1A41"/>
    <w:rsid w:val="003F1F46"/>
    <w:rsid w:val="003F25CA"/>
    <w:rsid w:val="003F4015"/>
    <w:rsid w:val="003F4ABE"/>
    <w:rsid w:val="003F528B"/>
    <w:rsid w:val="003F5290"/>
    <w:rsid w:val="003F6314"/>
    <w:rsid w:val="003F6B1E"/>
    <w:rsid w:val="003F7730"/>
    <w:rsid w:val="004011AF"/>
    <w:rsid w:val="00403EDE"/>
    <w:rsid w:val="00404F88"/>
    <w:rsid w:val="0040578C"/>
    <w:rsid w:val="0040668F"/>
    <w:rsid w:val="0041201D"/>
    <w:rsid w:val="00413CD0"/>
    <w:rsid w:val="00413D9C"/>
    <w:rsid w:val="0041410C"/>
    <w:rsid w:val="00415100"/>
    <w:rsid w:val="00415D8F"/>
    <w:rsid w:val="0041615C"/>
    <w:rsid w:val="00416825"/>
    <w:rsid w:val="004172B1"/>
    <w:rsid w:val="004175C9"/>
    <w:rsid w:val="0041795B"/>
    <w:rsid w:val="004200CF"/>
    <w:rsid w:val="004200DD"/>
    <w:rsid w:val="00420227"/>
    <w:rsid w:val="0042117C"/>
    <w:rsid w:val="004211A5"/>
    <w:rsid w:val="00423FAC"/>
    <w:rsid w:val="00424C4B"/>
    <w:rsid w:val="0042552A"/>
    <w:rsid w:val="00425794"/>
    <w:rsid w:val="00426E57"/>
    <w:rsid w:val="00427379"/>
    <w:rsid w:val="0042742E"/>
    <w:rsid w:val="00427862"/>
    <w:rsid w:val="00427EB4"/>
    <w:rsid w:val="00431D87"/>
    <w:rsid w:val="004343CD"/>
    <w:rsid w:val="004349B2"/>
    <w:rsid w:val="00434A28"/>
    <w:rsid w:val="004351D9"/>
    <w:rsid w:val="00435E04"/>
    <w:rsid w:val="004362E6"/>
    <w:rsid w:val="0043701F"/>
    <w:rsid w:val="00440AB6"/>
    <w:rsid w:val="00440D46"/>
    <w:rsid w:val="00440DF2"/>
    <w:rsid w:val="004416C4"/>
    <w:rsid w:val="00442728"/>
    <w:rsid w:val="00442947"/>
    <w:rsid w:val="0044477E"/>
    <w:rsid w:val="0044554C"/>
    <w:rsid w:val="00445A4B"/>
    <w:rsid w:val="0044623A"/>
    <w:rsid w:val="00446AC8"/>
    <w:rsid w:val="00446EED"/>
    <w:rsid w:val="0044705B"/>
    <w:rsid w:val="004471C1"/>
    <w:rsid w:val="004471E9"/>
    <w:rsid w:val="00450713"/>
    <w:rsid w:val="004509C3"/>
    <w:rsid w:val="00450AA2"/>
    <w:rsid w:val="00450B82"/>
    <w:rsid w:val="00451F87"/>
    <w:rsid w:val="00452594"/>
    <w:rsid w:val="00452BA8"/>
    <w:rsid w:val="00452FF0"/>
    <w:rsid w:val="004530EA"/>
    <w:rsid w:val="004535D1"/>
    <w:rsid w:val="00453CFA"/>
    <w:rsid w:val="0045478A"/>
    <w:rsid w:val="00454BC9"/>
    <w:rsid w:val="00455724"/>
    <w:rsid w:val="00455899"/>
    <w:rsid w:val="004565E0"/>
    <w:rsid w:val="00457C4F"/>
    <w:rsid w:val="004600C0"/>
    <w:rsid w:val="00461865"/>
    <w:rsid w:val="00461B57"/>
    <w:rsid w:val="004620E5"/>
    <w:rsid w:val="0046383C"/>
    <w:rsid w:val="00463963"/>
    <w:rsid w:val="00464564"/>
    <w:rsid w:val="00464C67"/>
    <w:rsid w:val="004652D0"/>
    <w:rsid w:val="00465CB9"/>
    <w:rsid w:val="00466A8D"/>
    <w:rsid w:val="00466B00"/>
    <w:rsid w:val="00466C99"/>
    <w:rsid w:val="004678AD"/>
    <w:rsid w:val="0047060D"/>
    <w:rsid w:val="00470C1C"/>
    <w:rsid w:val="0047163F"/>
    <w:rsid w:val="00472034"/>
    <w:rsid w:val="00472144"/>
    <w:rsid w:val="00472733"/>
    <w:rsid w:val="00472B92"/>
    <w:rsid w:val="00472FC8"/>
    <w:rsid w:val="00473F99"/>
    <w:rsid w:val="00474D64"/>
    <w:rsid w:val="00474E55"/>
    <w:rsid w:val="0047789A"/>
    <w:rsid w:val="00477CE0"/>
    <w:rsid w:val="00480262"/>
    <w:rsid w:val="004807B2"/>
    <w:rsid w:val="0048208C"/>
    <w:rsid w:val="004824A6"/>
    <w:rsid w:val="00483230"/>
    <w:rsid w:val="0048579C"/>
    <w:rsid w:val="00485983"/>
    <w:rsid w:val="00486EFD"/>
    <w:rsid w:val="00487361"/>
    <w:rsid w:val="004877C6"/>
    <w:rsid w:val="0048798B"/>
    <w:rsid w:val="00490317"/>
    <w:rsid w:val="004906B8"/>
    <w:rsid w:val="00490A83"/>
    <w:rsid w:val="004918E7"/>
    <w:rsid w:val="00491901"/>
    <w:rsid w:val="004926B6"/>
    <w:rsid w:val="0049339C"/>
    <w:rsid w:val="00493D75"/>
    <w:rsid w:val="00493FAE"/>
    <w:rsid w:val="00493FD0"/>
    <w:rsid w:val="004949D0"/>
    <w:rsid w:val="00494EBB"/>
    <w:rsid w:val="0049585A"/>
    <w:rsid w:val="00495C2F"/>
    <w:rsid w:val="00495CC8"/>
    <w:rsid w:val="004A1DF3"/>
    <w:rsid w:val="004A5216"/>
    <w:rsid w:val="004A5FAA"/>
    <w:rsid w:val="004A6026"/>
    <w:rsid w:val="004A63EF"/>
    <w:rsid w:val="004A690B"/>
    <w:rsid w:val="004A76E7"/>
    <w:rsid w:val="004A77BB"/>
    <w:rsid w:val="004A7E2D"/>
    <w:rsid w:val="004B0AC0"/>
    <w:rsid w:val="004B2197"/>
    <w:rsid w:val="004B2A3E"/>
    <w:rsid w:val="004B426E"/>
    <w:rsid w:val="004B42B2"/>
    <w:rsid w:val="004B5224"/>
    <w:rsid w:val="004B549F"/>
    <w:rsid w:val="004B6238"/>
    <w:rsid w:val="004B69BF"/>
    <w:rsid w:val="004B6CE0"/>
    <w:rsid w:val="004B7820"/>
    <w:rsid w:val="004B7A87"/>
    <w:rsid w:val="004B7F94"/>
    <w:rsid w:val="004C0130"/>
    <w:rsid w:val="004C0289"/>
    <w:rsid w:val="004C02CA"/>
    <w:rsid w:val="004C0F48"/>
    <w:rsid w:val="004C0FCE"/>
    <w:rsid w:val="004C150E"/>
    <w:rsid w:val="004C39B8"/>
    <w:rsid w:val="004C3B8E"/>
    <w:rsid w:val="004C3C7D"/>
    <w:rsid w:val="004C451F"/>
    <w:rsid w:val="004C4698"/>
    <w:rsid w:val="004C47A6"/>
    <w:rsid w:val="004C49B5"/>
    <w:rsid w:val="004C4C6A"/>
    <w:rsid w:val="004C5020"/>
    <w:rsid w:val="004C5237"/>
    <w:rsid w:val="004C5807"/>
    <w:rsid w:val="004C67EA"/>
    <w:rsid w:val="004C6AB7"/>
    <w:rsid w:val="004C6E9B"/>
    <w:rsid w:val="004C7BEB"/>
    <w:rsid w:val="004C7BF5"/>
    <w:rsid w:val="004C7D54"/>
    <w:rsid w:val="004D0CC5"/>
    <w:rsid w:val="004D1998"/>
    <w:rsid w:val="004D1E15"/>
    <w:rsid w:val="004D3024"/>
    <w:rsid w:val="004D3E5B"/>
    <w:rsid w:val="004D42D8"/>
    <w:rsid w:val="004D4BB6"/>
    <w:rsid w:val="004D51B3"/>
    <w:rsid w:val="004D52A3"/>
    <w:rsid w:val="004D5C05"/>
    <w:rsid w:val="004D6731"/>
    <w:rsid w:val="004D67BF"/>
    <w:rsid w:val="004D7090"/>
    <w:rsid w:val="004D735A"/>
    <w:rsid w:val="004D7712"/>
    <w:rsid w:val="004D7ACE"/>
    <w:rsid w:val="004E0303"/>
    <w:rsid w:val="004E1567"/>
    <w:rsid w:val="004E16EE"/>
    <w:rsid w:val="004E181E"/>
    <w:rsid w:val="004E1E66"/>
    <w:rsid w:val="004E2186"/>
    <w:rsid w:val="004E2F9E"/>
    <w:rsid w:val="004E4D65"/>
    <w:rsid w:val="004E5342"/>
    <w:rsid w:val="004E5A3F"/>
    <w:rsid w:val="004E5EF0"/>
    <w:rsid w:val="004E6091"/>
    <w:rsid w:val="004E612B"/>
    <w:rsid w:val="004E6670"/>
    <w:rsid w:val="004F0BD5"/>
    <w:rsid w:val="004F0EBE"/>
    <w:rsid w:val="004F1076"/>
    <w:rsid w:val="004F13E1"/>
    <w:rsid w:val="004F1A7E"/>
    <w:rsid w:val="004F5FAA"/>
    <w:rsid w:val="004F783D"/>
    <w:rsid w:val="004F7966"/>
    <w:rsid w:val="005036AB"/>
    <w:rsid w:val="0050425F"/>
    <w:rsid w:val="005049A1"/>
    <w:rsid w:val="0050540F"/>
    <w:rsid w:val="00505D01"/>
    <w:rsid w:val="0050679D"/>
    <w:rsid w:val="00510870"/>
    <w:rsid w:val="00511F2D"/>
    <w:rsid w:val="00512B89"/>
    <w:rsid w:val="00512BD0"/>
    <w:rsid w:val="00512C13"/>
    <w:rsid w:val="005130E4"/>
    <w:rsid w:val="00513701"/>
    <w:rsid w:val="00514450"/>
    <w:rsid w:val="00515BDA"/>
    <w:rsid w:val="00515C76"/>
    <w:rsid w:val="00515E55"/>
    <w:rsid w:val="00515EDB"/>
    <w:rsid w:val="00516AB3"/>
    <w:rsid w:val="0051770E"/>
    <w:rsid w:val="00522FE7"/>
    <w:rsid w:val="005253FD"/>
    <w:rsid w:val="0052663F"/>
    <w:rsid w:val="0052678F"/>
    <w:rsid w:val="00527397"/>
    <w:rsid w:val="00527499"/>
    <w:rsid w:val="005277AA"/>
    <w:rsid w:val="00527A33"/>
    <w:rsid w:val="00530561"/>
    <w:rsid w:val="005316E4"/>
    <w:rsid w:val="00533C78"/>
    <w:rsid w:val="00533F67"/>
    <w:rsid w:val="00535109"/>
    <w:rsid w:val="005351B0"/>
    <w:rsid w:val="0053561C"/>
    <w:rsid w:val="005359D5"/>
    <w:rsid w:val="0053626C"/>
    <w:rsid w:val="00536336"/>
    <w:rsid w:val="00537B93"/>
    <w:rsid w:val="005402BD"/>
    <w:rsid w:val="0054068F"/>
    <w:rsid w:val="00542133"/>
    <w:rsid w:val="005424A5"/>
    <w:rsid w:val="00542791"/>
    <w:rsid w:val="0054317B"/>
    <w:rsid w:val="00543B1E"/>
    <w:rsid w:val="00545A6F"/>
    <w:rsid w:val="00545FA3"/>
    <w:rsid w:val="00547069"/>
    <w:rsid w:val="0054710D"/>
    <w:rsid w:val="00547683"/>
    <w:rsid w:val="005478CB"/>
    <w:rsid w:val="00550041"/>
    <w:rsid w:val="005504EC"/>
    <w:rsid w:val="005515AB"/>
    <w:rsid w:val="00553132"/>
    <w:rsid w:val="00553DDE"/>
    <w:rsid w:val="00554655"/>
    <w:rsid w:val="005570D7"/>
    <w:rsid w:val="005570EF"/>
    <w:rsid w:val="005602B0"/>
    <w:rsid w:val="0056044D"/>
    <w:rsid w:val="00560EDF"/>
    <w:rsid w:val="00561362"/>
    <w:rsid w:val="005617B5"/>
    <w:rsid w:val="00562632"/>
    <w:rsid w:val="00563603"/>
    <w:rsid w:val="00563ABD"/>
    <w:rsid w:val="00563D0E"/>
    <w:rsid w:val="00563D26"/>
    <w:rsid w:val="00563EA0"/>
    <w:rsid w:val="00565374"/>
    <w:rsid w:val="00565586"/>
    <w:rsid w:val="005660E2"/>
    <w:rsid w:val="005672CF"/>
    <w:rsid w:val="0056740B"/>
    <w:rsid w:val="00570EC9"/>
    <w:rsid w:val="00571021"/>
    <w:rsid w:val="00571A79"/>
    <w:rsid w:val="00571EC9"/>
    <w:rsid w:val="00572679"/>
    <w:rsid w:val="00572771"/>
    <w:rsid w:val="00572B34"/>
    <w:rsid w:val="0057346A"/>
    <w:rsid w:val="00573CB0"/>
    <w:rsid w:val="00574017"/>
    <w:rsid w:val="0057433D"/>
    <w:rsid w:val="0057444D"/>
    <w:rsid w:val="00575441"/>
    <w:rsid w:val="0057633C"/>
    <w:rsid w:val="00577E0F"/>
    <w:rsid w:val="00580164"/>
    <w:rsid w:val="005827BA"/>
    <w:rsid w:val="00582D9A"/>
    <w:rsid w:val="00582F0A"/>
    <w:rsid w:val="00584A3E"/>
    <w:rsid w:val="005850C9"/>
    <w:rsid w:val="005858C5"/>
    <w:rsid w:val="0058607F"/>
    <w:rsid w:val="00586165"/>
    <w:rsid w:val="0059088F"/>
    <w:rsid w:val="00591365"/>
    <w:rsid w:val="00591BB7"/>
    <w:rsid w:val="00591DBA"/>
    <w:rsid w:val="00591EB6"/>
    <w:rsid w:val="00593591"/>
    <w:rsid w:val="005935AE"/>
    <w:rsid w:val="00594059"/>
    <w:rsid w:val="00594B09"/>
    <w:rsid w:val="00595FB9"/>
    <w:rsid w:val="005967F9"/>
    <w:rsid w:val="00596888"/>
    <w:rsid w:val="00596DA9"/>
    <w:rsid w:val="005A016C"/>
    <w:rsid w:val="005A0839"/>
    <w:rsid w:val="005A34E3"/>
    <w:rsid w:val="005A3A44"/>
    <w:rsid w:val="005A5251"/>
    <w:rsid w:val="005A61FD"/>
    <w:rsid w:val="005A6B6A"/>
    <w:rsid w:val="005A6C12"/>
    <w:rsid w:val="005A71A4"/>
    <w:rsid w:val="005A789C"/>
    <w:rsid w:val="005B0D81"/>
    <w:rsid w:val="005B121F"/>
    <w:rsid w:val="005B1944"/>
    <w:rsid w:val="005B1E9F"/>
    <w:rsid w:val="005B2356"/>
    <w:rsid w:val="005B4C74"/>
    <w:rsid w:val="005B5323"/>
    <w:rsid w:val="005B55F1"/>
    <w:rsid w:val="005B56B3"/>
    <w:rsid w:val="005B59B6"/>
    <w:rsid w:val="005B7AA7"/>
    <w:rsid w:val="005B7B3B"/>
    <w:rsid w:val="005B7B8D"/>
    <w:rsid w:val="005B7CFD"/>
    <w:rsid w:val="005C019B"/>
    <w:rsid w:val="005C036D"/>
    <w:rsid w:val="005C048E"/>
    <w:rsid w:val="005C2A62"/>
    <w:rsid w:val="005C3909"/>
    <w:rsid w:val="005C3DA6"/>
    <w:rsid w:val="005C4E82"/>
    <w:rsid w:val="005C4F63"/>
    <w:rsid w:val="005C55E3"/>
    <w:rsid w:val="005C5658"/>
    <w:rsid w:val="005C5FEF"/>
    <w:rsid w:val="005C60EB"/>
    <w:rsid w:val="005C65F7"/>
    <w:rsid w:val="005C77D4"/>
    <w:rsid w:val="005C7AED"/>
    <w:rsid w:val="005C7BB5"/>
    <w:rsid w:val="005C7F30"/>
    <w:rsid w:val="005D01E8"/>
    <w:rsid w:val="005D4099"/>
    <w:rsid w:val="005D4BF8"/>
    <w:rsid w:val="005D58EC"/>
    <w:rsid w:val="005D590B"/>
    <w:rsid w:val="005D59F4"/>
    <w:rsid w:val="005D6352"/>
    <w:rsid w:val="005D65C6"/>
    <w:rsid w:val="005D6B13"/>
    <w:rsid w:val="005E0E96"/>
    <w:rsid w:val="005E10FF"/>
    <w:rsid w:val="005E1C99"/>
    <w:rsid w:val="005E2972"/>
    <w:rsid w:val="005E2A78"/>
    <w:rsid w:val="005E3398"/>
    <w:rsid w:val="005E3860"/>
    <w:rsid w:val="005E4989"/>
    <w:rsid w:val="005E4B89"/>
    <w:rsid w:val="005E4BF9"/>
    <w:rsid w:val="005E4DEF"/>
    <w:rsid w:val="005E5332"/>
    <w:rsid w:val="005E5AD5"/>
    <w:rsid w:val="005E6472"/>
    <w:rsid w:val="005E7291"/>
    <w:rsid w:val="005E7F6B"/>
    <w:rsid w:val="005F068B"/>
    <w:rsid w:val="005F27C3"/>
    <w:rsid w:val="005F2FAA"/>
    <w:rsid w:val="005F42EE"/>
    <w:rsid w:val="005F4A4D"/>
    <w:rsid w:val="005F5A50"/>
    <w:rsid w:val="005F6590"/>
    <w:rsid w:val="005F6A23"/>
    <w:rsid w:val="005F6BAB"/>
    <w:rsid w:val="005F6EA1"/>
    <w:rsid w:val="005F7DAF"/>
    <w:rsid w:val="00600E61"/>
    <w:rsid w:val="00600E79"/>
    <w:rsid w:val="00602F77"/>
    <w:rsid w:val="00603990"/>
    <w:rsid w:val="006039E8"/>
    <w:rsid w:val="00603B79"/>
    <w:rsid w:val="00603D58"/>
    <w:rsid w:val="00603DFB"/>
    <w:rsid w:val="00603E11"/>
    <w:rsid w:val="00604F7E"/>
    <w:rsid w:val="00605848"/>
    <w:rsid w:val="006061CE"/>
    <w:rsid w:val="006064A1"/>
    <w:rsid w:val="006067AC"/>
    <w:rsid w:val="0060696D"/>
    <w:rsid w:val="00606EAE"/>
    <w:rsid w:val="00607C1C"/>
    <w:rsid w:val="00610815"/>
    <w:rsid w:val="00610BAE"/>
    <w:rsid w:val="00610C96"/>
    <w:rsid w:val="00611DD0"/>
    <w:rsid w:val="00611DE1"/>
    <w:rsid w:val="00611DE7"/>
    <w:rsid w:val="00612511"/>
    <w:rsid w:val="00612A47"/>
    <w:rsid w:val="00612C5D"/>
    <w:rsid w:val="00613140"/>
    <w:rsid w:val="00613339"/>
    <w:rsid w:val="006145F5"/>
    <w:rsid w:val="00614F25"/>
    <w:rsid w:val="00615C68"/>
    <w:rsid w:val="0061676C"/>
    <w:rsid w:val="006201B7"/>
    <w:rsid w:val="006203BE"/>
    <w:rsid w:val="00620488"/>
    <w:rsid w:val="0062049F"/>
    <w:rsid w:val="00621EE3"/>
    <w:rsid w:val="006224D2"/>
    <w:rsid w:val="00623186"/>
    <w:rsid w:val="006242CA"/>
    <w:rsid w:val="00625755"/>
    <w:rsid w:val="00626538"/>
    <w:rsid w:val="00626EA1"/>
    <w:rsid w:val="00626EBD"/>
    <w:rsid w:val="006272A9"/>
    <w:rsid w:val="00627F6A"/>
    <w:rsid w:val="00630EB7"/>
    <w:rsid w:val="00631401"/>
    <w:rsid w:val="006314CE"/>
    <w:rsid w:val="00631DBC"/>
    <w:rsid w:val="00632677"/>
    <w:rsid w:val="00632BB3"/>
    <w:rsid w:val="00632DAF"/>
    <w:rsid w:val="00633081"/>
    <w:rsid w:val="00633621"/>
    <w:rsid w:val="00634971"/>
    <w:rsid w:val="00634C56"/>
    <w:rsid w:val="0063511A"/>
    <w:rsid w:val="00635A1B"/>
    <w:rsid w:val="00635C35"/>
    <w:rsid w:val="0063603E"/>
    <w:rsid w:val="00637344"/>
    <w:rsid w:val="006379A1"/>
    <w:rsid w:val="00637F54"/>
    <w:rsid w:val="0064133D"/>
    <w:rsid w:val="00641584"/>
    <w:rsid w:val="00641C19"/>
    <w:rsid w:val="00641DBF"/>
    <w:rsid w:val="00641F3F"/>
    <w:rsid w:val="00642840"/>
    <w:rsid w:val="00642C88"/>
    <w:rsid w:val="00643279"/>
    <w:rsid w:val="006433D4"/>
    <w:rsid w:val="0064391F"/>
    <w:rsid w:val="00646467"/>
    <w:rsid w:val="00646F75"/>
    <w:rsid w:val="0065035B"/>
    <w:rsid w:val="00650DF5"/>
    <w:rsid w:val="0065469C"/>
    <w:rsid w:val="00654E19"/>
    <w:rsid w:val="00656C7E"/>
    <w:rsid w:val="00656E6F"/>
    <w:rsid w:val="00657377"/>
    <w:rsid w:val="00657A78"/>
    <w:rsid w:val="006637EF"/>
    <w:rsid w:val="006647F1"/>
    <w:rsid w:val="00665977"/>
    <w:rsid w:val="00665AF8"/>
    <w:rsid w:val="00667C75"/>
    <w:rsid w:val="00670830"/>
    <w:rsid w:val="00671A7E"/>
    <w:rsid w:val="00671DF3"/>
    <w:rsid w:val="0067308B"/>
    <w:rsid w:val="00673300"/>
    <w:rsid w:val="00673364"/>
    <w:rsid w:val="00673ACF"/>
    <w:rsid w:val="006744C4"/>
    <w:rsid w:val="00675DF1"/>
    <w:rsid w:val="006768D7"/>
    <w:rsid w:val="00676DFF"/>
    <w:rsid w:val="00677748"/>
    <w:rsid w:val="00680046"/>
    <w:rsid w:val="00680089"/>
    <w:rsid w:val="0068054B"/>
    <w:rsid w:val="00680605"/>
    <w:rsid w:val="006816E5"/>
    <w:rsid w:val="00681A95"/>
    <w:rsid w:val="00681E20"/>
    <w:rsid w:val="00682110"/>
    <w:rsid w:val="00682157"/>
    <w:rsid w:val="0068262F"/>
    <w:rsid w:val="0068267A"/>
    <w:rsid w:val="006830E0"/>
    <w:rsid w:val="0068331F"/>
    <w:rsid w:val="0068412D"/>
    <w:rsid w:val="00684BB1"/>
    <w:rsid w:val="00684C8F"/>
    <w:rsid w:val="00685E50"/>
    <w:rsid w:val="006870A2"/>
    <w:rsid w:val="006875AD"/>
    <w:rsid w:val="00687981"/>
    <w:rsid w:val="00690077"/>
    <w:rsid w:val="006908B4"/>
    <w:rsid w:val="00690992"/>
    <w:rsid w:val="00691262"/>
    <w:rsid w:val="00691918"/>
    <w:rsid w:val="00691CD6"/>
    <w:rsid w:val="0069224E"/>
    <w:rsid w:val="006927BC"/>
    <w:rsid w:val="0069358C"/>
    <w:rsid w:val="006951F5"/>
    <w:rsid w:val="0069581D"/>
    <w:rsid w:val="006958AD"/>
    <w:rsid w:val="00696030"/>
    <w:rsid w:val="00696A77"/>
    <w:rsid w:val="00696C6D"/>
    <w:rsid w:val="00697343"/>
    <w:rsid w:val="0069736D"/>
    <w:rsid w:val="00697C6F"/>
    <w:rsid w:val="006A0223"/>
    <w:rsid w:val="006A0B35"/>
    <w:rsid w:val="006A1B67"/>
    <w:rsid w:val="006A1CB4"/>
    <w:rsid w:val="006A2767"/>
    <w:rsid w:val="006A2C7F"/>
    <w:rsid w:val="006A357A"/>
    <w:rsid w:val="006A3BD0"/>
    <w:rsid w:val="006A3D11"/>
    <w:rsid w:val="006A4A7A"/>
    <w:rsid w:val="006A522D"/>
    <w:rsid w:val="006A6176"/>
    <w:rsid w:val="006A7451"/>
    <w:rsid w:val="006A7CAF"/>
    <w:rsid w:val="006B0A86"/>
    <w:rsid w:val="006B1234"/>
    <w:rsid w:val="006B1377"/>
    <w:rsid w:val="006B1CE2"/>
    <w:rsid w:val="006B239D"/>
    <w:rsid w:val="006B33C2"/>
    <w:rsid w:val="006B3A9D"/>
    <w:rsid w:val="006B424B"/>
    <w:rsid w:val="006B473C"/>
    <w:rsid w:val="006B50E2"/>
    <w:rsid w:val="006B72B5"/>
    <w:rsid w:val="006B7C84"/>
    <w:rsid w:val="006B7CC0"/>
    <w:rsid w:val="006C02A5"/>
    <w:rsid w:val="006C0BFA"/>
    <w:rsid w:val="006C11C9"/>
    <w:rsid w:val="006C1B69"/>
    <w:rsid w:val="006C1B9C"/>
    <w:rsid w:val="006C2152"/>
    <w:rsid w:val="006C2683"/>
    <w:rsid w:val="006C44FB"/>
    <w:rsid w:val="006C4A12"/>
    <w:rsid w:val="006C578C"/>
    <w:rsid w:val="006C581D"/>
    <w:rsid w:val="006C5AA0"/>
    <w:rsid w:val="006C5B31"/>
    <w:rsid w:val="006C5E55"/>
    <w:rsid w:val="006C5F78"/>
    <w:rsid w:val="006C5FEB"/>
    <w:rsid w:val="006D1AB5"/>
    <w:rsid w:val="006D1F7F"/>
    <w:rsid w:val="006D2419"/>
    <w:rsid w:val="006D387D"/>
    <w:rsid w:val="006D46AF"/>
    <w:rsid w:val="006D4E13"/>
    <w:rsid w:val="006D52AD"/>
    <w:rsid w:val="006D6105"/>
    <w:rsid w:val="006D6894"/>
    <w:rsid w:val="006D71EC"/>
    <w:rsid w:val="006D7A17"/>
    <w:rsid w:val="006D7CA9"/>
    <w:rsid w:val="006D7CAA"/>
    <w:rsid w:val="006E09A9"/>
    <w:rsid w:val="006E3605"/>
    <w:rsid w:val="006E3609"/>
    <w:rsid w:val="006E3A50"/>
    <w:rsid w:val="006E3CFB"/>
    <w:rsid w:val="006E4828"/>
    <w:rsid w:val="006E5835"/>
    <w:rsid w:val="006E584D"/>
    <w:rsid w:val="006E5959"/>
    <w:rsid w:val="006E6022"/>
    <w:rsid w:val="006E7DF9"/>
    <w:rsid w:val="006F0501"/>
    <w:rsid w:val="006F0F44"/>
    <w:rsid w:val="006F1089"/>
    <w:rsid w:val="006F1B1C"/>
    <w:rsid w:val="006F4672"/>
    <w:rsid w:val="006F4FF5"/>
    <w:rsid w:val="006F53B1"/>
    <w:rsid w:val="006F5712"/>
    <w:rsid w:val="006F5DB8"/>
    <w:rsid w:val="006F6D90"/>
    <w:rsid w:val="006F6F4A"/>
    <w:rsid w:val="00700131"/>
    <w:rsid w:val="00700588"/>
    <w:rsid w:val="00700933"/>
    <w:rsid w:val="00702E5C"/>
    <w:rsid w:val="00703340"/>
    <w:rsid w:val="00703E9A"/>
    <w:rsid w:val="00704ACD"/>
    <w:rsid w:val="00704F32"/>
    <w:rsid w:val="00706002"/>
    <w:rsid w:val="00706C44"/>
    <w:rsid w:val="00707FD5"/>
    <w:rsid w:val="0071013A"/>
    <w:rsid w:val="0071237B"/>
    <w:rsid w:val="0071290A"/>
    <w:rsid w:val="0071334D"/>
    <w:rsid w:val="00713AB7"/>
    <w:rsid w:val="00713B5F"/>
    <w:rsid w:val="00713C1C"/>
    <w:rsid w:val="00714A70"/>
    <w:rsid w:val="00714DD2"/>
    <w:rsid w:val="00714F16"/>
    <w:rsid w:val="00715332"/>
    <w:rsid w:val="00717927"/>
    <w:rsid w:val="00717B05"/>
    <w:rsid w:val="007200F8"/>
    <w:rsid w:val="007205D6"/>
    <w:rsid w:val="00722546"/>
    <w:rsid w:val="0072288E"/>
    <w:rsid w:val="007228E7"/>
    <w:rsid w:val="0072351F"/>
    <w:rsid w:val="00723A2D"/>
    <w:rsid w:val="007243B8"/>
    <w:rsid w:val="00724D30"/>
    <w:rsid w:val="00725611"/>
    <w:rsid w:val="00725810"/>
    <w:rsid w:val="0072720B"/>
    <w:rsid w:val="00727CA9"/>
    <w:rsid w:val="00730933"/>
    <w:rsid w:val="00731099"/>
    <w:rsid w:val="0073243F"/>
    <w:rsid w:val="0073263B"/>
    <w:rsid w:val="00732963"/>
    <w:rsid w:val="007332BC"/>
    <w:rsid w:val="007337C4"/>
    <w:rsid w:val="00734D6F"/>
    <w:rsid w:val="00735223"/>
    <w:rsid w:val="00735B38"/>
    <w:rsid w:val="007369BC"/>
    <w:rsid w:val="00736B3A"/>
    <w:rsid w:val="00737AE1"/>
    <w:rsid w:val="00740043"/>
    <w:rsid w:val="007401E4"/>
    <w:rsid w:val="007405DE"/>
    <w:rsid w:val="00741516"/>
    <w:rsid w:val="00741B27"/>
    <w:rsid w:val="00742157"/>
    <w:rsid w:val="00742658"/>
    <w:rsid w:val="00742E93"/>
    <w:rsid w:val="00743078"/>
    <w:rsid w:val="007460B4"/>
    <w:rsid w:val="007462C7"/>
    <w:rsid w:val="00747131"/>
    <w:rsid w:val="00747848"/>
    <w:rsid w:val="00747977"/>
    <w:rsid w:val="00747FE3"/>
    <w:rsid w:val="00750204"/>
    <w:rsid w:val="00751ED4"/>
    <w:rsid w:val="00752FB6"/>
    <w:rsid w:val="007534F3"/>
    <w:rsid w:val="007534FD"/>
    <w:rsid w:val="00754CE6"/>
    <w:rsid w:val="00754F7D"/>
    <w:rsid w:val="00755148"/>
    <w:rsid w:val="0075517F"/>
    <w:rsid w:val="00755479"/>
    <w:rsid w:val="00755C70"/>
    <w:rsid w:val="00756476"/>
    <w:rsid w:val="00756B54"/>
    <w:rsid w:val="00757AE6"/>
    <w:rsid w:val="00757F9D"/>
    <w:rsid w:val="00760536"/>
    <w:rsid w:val="007610ED"/>
    <w:rsid w:val="00761A8F"/>
    <w:rsid w:val="00762BAA"/>
    <w:rsid w:val="0076317C"/>
    <w:rsid w:val="00763F95"/>
    <w:rsid w:val="007648B5"/>
    <w:rsid w:val="00764A45"/>
    <w:rsid w:val="00764D98"/>
    <w:rsid w:val="007661CF"/>
    <w:rsid w:val="00766254"/>
    <w:rsid w:val="00766999"/>
    <w:rsid w:val="00766B8B"/>
    <w:rsid w:val="00767370"/>
    <w:rsid w:val="00767394"/>
    <w:rsid w:val="00767983"/>
    <w:rsid w:val="00767DCC"/>
    <w:rsid w:val="00767E81"/>
    <w:rsid w:val="00770A08"/>
    <w:rsid w:val="00772692"/>
    <w:rsid w:val="00772748"/>
    <w:rsid w:val="007727C3"/>
    <w:rsid w:val="007728F1"/>
    <w:rsid w:val="00774034"/>
    <w:rsid w:val="00774D00"/>
    <w:rsid w:val="007752F4"/>
    <w:rsid w:val="0077582D"/>
    <w:rsid w:val="00776442"/>
    <w:rsid w:val="00776736"/>
    <w:rsid w:val="00777319"/>
    <w:rsid w:val="00777714"/>
    <w:rsid w:val="0078037E"/>
    <w:rsid w:val="00780EFE"/>
    <w:rsid w:val="00782012"/>
    <w:rsid w:val="00782242"/>
    <w:rsid w:val="0078242B"/>
    <w:rsid w:val="0078385B"/>
    <w:rsid w:val="00783B19"/>
    <w:rsid w:val="0078433E"/>
    <w:rsid w:val="007849F5"/>
    <w:rsid w:val="00784AE3"/>
    <w:rsid w:val="00784D04"/>
    <w:rsid w:val="00785BB2"/>
    <w:rsid w:val="00786D4B"/>
    <w:rsid w:val="00787B62"/>
    <w:rsid w:val="00787DDF"/>
    <w:rsid w:val="00790B3E"/>
    <w:rsid w:val="00791111"/>
    <w:rsid w:val="00791342"/>
    <w:rsid w:val="00791970"/>
    <w:rsid w:val="00791C30"/>
    <w:rsid w:val="00791D59"/>
    <w:rsid w:val="00793D8E"/>
    <w:rsid w:val="00794063"/>
    <w:rsid w:val="007944BB"/>
    <w:rsid w:val="0079458E"/>
    <w:rsid w:val="00795DA2"/>
    <w:rsid w:val="00796A0F"/>
    <w:rsid w:val="00796CE7"/>
    <w:rsid w:val="00797E43"/>
    <w:rsid w:val="00797E96"/>
    <w:rsid w:val="007A060A"/>
    <w:rsid w:val="007A06E6"/>
    <w:rsid w:val="007A183D"/>
    <w:rsid w:val="007A1C94"/>
    <w:rsid w:val="007A38C9"/>
    <w:rsid w:val="007A4D94"/>
    <w:rsid w:val="007A507B"/>
    <w:rsid w:val="007A696C"/>
    <w:rsid w:val="007A6DA3"/>
    <w:rsid w:val="007A71E7"/>
    <w:rsid w:val="007B0DEE"/>
    <w:rsid w:val="007B15FF"/>
    <w:rsid w:val="007B2809"/>
    <w:rsid w:val="007B41AA"/>
    <w:rsid w:val="007C02F0"/>
    <w:rsid w:val="007C124B"/>
    <w:rsid w:val="007C371F"/>
    <w:rsid w:val="007C3F8D"/>
    <w:rsid w:val="007C3FBF"/>
    <w:rsid w:val="007C7242"/>
    <w:rsid w:val="007C743F"/>
    <w:rsid w:val="007C75BA"/>
    <w:rsid w:val="007C782C"/>
    <w:rsid w:val="007C7B7A"/>
    <w:rsid w:val="007C7E8B"/>
    <w:rsid w:val="007D197D"/>
    <w:rsid w:val="007D1A97"/>
    <w:rsid w:val="007D267E"/>
    <w:rsid w:val="007D2E78"/>
    <w:rsid w:val="007D30B9"/>
    <w:rsid w:val="007D32DB"/>
    <w:rsid w:val="007D3CD6"/>
    <w:rsid w:val="007D4AE5"/>
    <w:rsid w:val="007D4C4B"/>
    <w:rsid w:val="007D5280"/>
    <w:rsid w:val="007D5BF6"/>
    <w:rsid w:val="007D6DCC"/>
    <w:rsid w:val="007D7841"/>
    <w:rsid w:val="007E04AD"/>
    <w:rsid w:val="007E14C8"/>
    <w:rsid w:val="007E1618"/>
    <w:rsid w:val="007E44B0"/>
    <w:rsid w:val="007E4B67"/>
    <w:rsid w:val="007E4FE6"/>
    <w:rsid w:val="007E541C"/>
    <w:rsid w:val="007E5E58"/>
    <w:rsid w:val="007E6F60"/>
    <w:rsid w:val="007E794D"/>
    <w:rsid w:val="007E7E82"/>
    <w:rsid w:val="007F0281"/>
    <w:rsid w:val="007F0A9D"/>
    <w:rsid w:val="007F16DF"/>
    <w:rsid w:val="007F19C8"/>
    <w:rsid w:val="007F370C"/>
    <w:rsid w:val="007F3BDA"/>
    <w:rsid w:val="007F53BB"/>
    <w:rsid w:val="007F5DC0"/>
    <w:rsid w:val="007F66AF"/>
    <w:rsid w:val="0080062A"/>
    <w:rsid w:val="008009D1"/>
    <w:rsid w:val="00801298"/>
    <w:rsid w:val="00802511"/>
    <w:rsid w:val="00802A50"/>
    <w:rsid w:val="00802E96"/>
    <w:rsid w:val="008030D5"/>
    <w:rsid w:val="008030E3"/>
    <w:rsid w:val="00803856"/>
    <w:rsid w:val="00804636"/>
    <w:rsid w:val="0080548E"/>
    <w:rsid w:val="00805897"/>
    <w:rsid w:val="008061FA"/>
    <w:rsid w:val="0080624E"/>
    <w:rsid w:val="00806A20"/>
    <w:rsid w:val="00806D49"/>
    <w:rsid w:val="00806D91"/>
    <w:rsid w:val="00807FE7"/>
    <w:rsid w:val="00811C55"/>
    <w:rsid w:val="008142A6"/>
    <w:rsid w:val="0081439B"/>
    <w:rsid w:val="00814416"/>
    <w:rsid w:val="008146B6"/>
    <w:rsid w:val="00814DD1"/>
    <w:rsid w:val="00814F0C"/>
    <w:rsid w:val="00815134"/>
    <w:rsid w:val="008153E9"/>
    <w:rsid w:val="008154C3"/>
    <w:rsid w:val="0081673E"/>
    <w:rsid w:val="00816ED4"/>
    <w:rsid w:val="00817B37"/>
    <w:rsid w:val="008205E1"/>
    <w:rsid w:val="0082068E"/>
    <w:rsid w:val="00820B29"/>
    <w:rsid w:val="00820C69"/>
    <w:rsid w:val="008212CE"/>
    <w:rsid w:val="008220D6"/>
    <w:rsid w:val="008228D1"/>
    <w:rsid w:val="008229EA"/>
    <w:rsid w:val="00824086"/>
    <w:rsid w:val="00824C67"/>
    <w:rsid w:val="00825144"/>
    <w:rsid w:val="00825299"/>
    <w:rsid w:val="00825690"/>
    <w:rsid w:val="00825F23"/>
    <w:rsid w:val="0082657D"/>
    <w:rsid w:val="008275A3"/>
    <w:rsid w:val="00827D4C"/>
    <w:rsid w:val="008314E2"/>
    <w:rsid w:val="00832069"/>
    <w:rsid w:val="008320E4"/>
    <w:rsid w:val="00832431"/>
    <w:rsid w:val="00833282"/>
    <w:rsid w:val="008334F9"/>
    <w:rsid w:val="00833A94"/>
    <w:rsid w:val="00833D18"/>
    <w:rsid w:val="00834FB7"/>
    <w:rsid w:val="008352A7"/>
    <w:rsid w:val="008359D3"/>
    <w:rsid w:val="00836447"/>
    <w:rsid w:val="00836687"/>
    <w:rsid w:val="0083753D"/>
    <w:rsid w:val="008404BA"/>
    <w:rsid w:val="008414EF"/>
    <w:rsid w:val="0084154F"/>
    <w:rsid w:val="008416A7"/>
    <w:rsid w:val="0084220F"/>
    <w:rsid w:val="0084235F"/>
    <w:rsid w:val="0084395E"/>
    <w:rsid w:val="00844352"/>
    <w:rsid w:val="00844770"/>
    <w:rsid w:val="00844A2A"/>
    <w:rsid w:val="00844BDE"/>
    <w:rsid w:val="00844DF7"/>
    <w:rsid w:val="00846636"/>
    <w:rsid w:val="008467B5"/>
    <w:rsid w:val="008468EF"/>
    <w:rsid w:val="008474D4"/>
    <w:rsid w:val="008478A3"/>
    <w:rsid w:val="00847F2A"/>
    <w:rsid w:val="00850790"/>
    <w:rsid w:val="008507B3"/>
    <w:rsid w:val="00853E32"/>
    <w:rsid w:val="0085405E"/>
    <w:rsid w:val="0085498F"/>
    <w:rsid w:val="008549F1"/>
    <w:rsid w:val="00854BC0"/>
    <w:rsid w:val="00854EE8"/>
    <w:rsid w:val="0085581C"/>
    <w:rsid w:val="00855E5F"/>
    <w:rsid w:val="00856971"/>
    <w:rsid w:val="008569FA"/>
    <w:rsid w:val="0085726A"/>
    <w:rsid w:val="0085748A"/>
    <w:rsid w:val="00857F10"/>
    <w:rsid w:val="00860876"/>
    <w:rsid w:val="0086183B"/>
    <w:rsid w:val="00862B47"/>
    <w:rsid w:val="00862CC7"/>
    <w:rsid w:val="00862DEC"/>
    <w:rsid w:val="00863438"/>
    <w:rsid w:val="00863461"/>
    <w:rsid w:val="008639E6"/>
    <w:rsid w:val="00863C7A"/>
    <w:rsid w:val="0086479D"/>
    <w:rsid w:val="008677F8"/>
    <w:rsid w:val="00871429"/>
    <w:rsid w:val="0087308A"/>
    <w:rsid w:val="0087347B"/>
    <w:rsid w:val="008748E5"/>
    <w:rsid w:val="00874C4B"/>
    <w:rsid w:val="00875F62"/>
    <w:rsid w:val="008769F5"/>
    <w:rsid w:val="00876A9E"/>
    <w:rsid w:val="00881828"/>
    <w:rsid w:val="00881D42"/>
    <w:rsid w:val="008824EF"/>
    <w:rsid w:val="0088341A"/>
    <w:rsid w:val="00883769"/>
    <w:rsid w:val="00883C1A"/>
    <w:rsid w:val="00883E3D"/>
    <w:rsid w:val="00886DF8"/>
    <w:rsid w:val="00886E5B"/>
    <w:rsid w:val="0089024A"/>
    <w:rsid w:val="00892358"/>
    <w:rsid w:val="00892AD9"/>
    <w:rsid w:val="00893903"/>
    <w:rsid w:val="00894764"/>
    <w:rsid w:val="00894930"/>
    <w:rsid w:val="00894E4A"/>
    <w:rsid w:val="008955B5"/>
    <w:rsid w:val="00895920"/>
    <w:rsid w:val="00895EAD"/>
    <w:rsid w:val="00896E19"/>
    <w:rsid w:val="00896F9C"/>
    <w:rsid w:val="00897EE6"/>
    <w:rsid w:val="008A0091"/>
    <w:rsid w:val="008A2085"/>
    <w:rsid w:val="008A41D0"/>
    <w:rsid w:val="008A50C7"/>
    <w:rsid w:val="008A57A1"/>
    <w:rsid w:val="008A6677"/>
    <w:rsid w:val="008A76C9"/>
    <w:rsid w:val="008A78F1"/>
    <w:rsid w:val="008A7A06"/>
    <w:rsid w:val="008B027E"/>
    <w:rsid w:val="008B10FC"/>
    <w:rsid w:val="008B1537"/>
    <w:rsid w:val="008B20ED"/>
    <w:rsid w:val="008B3A93"/>
    <w:rsid w:val="008B3E10"/>
    <w:rsid w:val="008B41BE"/>
    <w:rsid w:val="008B58FC"/>
    <w:rsid w:val="008B63FD"/>
    <w:rsid w:val="008B75D4"/>
    <w:rsid w:val="008B7988"/>
    <w:rsid w:val="008C14EA"/>
    <w:rsid w:val="008C17EA"/>
    <w:rsid w:val="008C1C11"/>
    <w:rsid w:val="008C5462"/>
    <w:rsid w:val="008C5580"/>
    <w:rsid w:val="008C55B3"/>
    <w:rsid w:val="008C5659"/>
    <w:rsid w:val="008C5EF9"/>
    <w:rsid w:val="008C6258"/>
    <w:rsid w:val="008C6A6C"/>
    <w:rsid w:val="008C6DD3"/>
    <w:rsid w:val="008C6F69"/>
    <w:rsid w:val="008C7ACF"/>
    <w:rsid w:val="008D088B"/>
    <w:rsid w:val="008D0C54"/>
    <w:rsid w:val="008D0D3F"/>
    <w:rsid w:val="008D12CC"/>
    <w:rsid w:val="008D1891"/>
    <w:rsid w:val="008D2199"/>
    <w:rsid w:val="008D2C74"/>
    <w:rsid w:val="008D2D37"/>
    <w:rsid w:val="008D2EEE"/>
    <w:rsid w:val="008D34A4"/>
    <w:rsid w:val="008D3F7D"/>
    <w:rsid w:val="008D4F74"/>
    <w:rsid w:val="008D51D1"/>
    <w:rsid w:val="008D5BF7"/>
    <w:rsid w:val="008D6A51"/>
    <w:rsid w:val="008D6BAE"/>
    <w:rsid w:val="008D7C54"/>
    <w:rsid w:val="008E060E"/>
    <w:rsid w:val="008E0DA3"/>
    <w:rsid w:val="008E1151"/>
    <w:rsid w:val="008E1AE9"/>
    <w:rsid w:val="008E1F3A"/>
    <w:rsid w:val="008E2263"/>
    <w:rsid w:val="008E27B9"/>
    <w:rsid w:val="008E32B9"/>
    <w:rsid w:val="008E32C5"/>
    <w:rsid w:val="008E3607"/>
    <w:rsid w:val="008E36AA"/>
    <w:rsid w:val="008E4AE3"/>
    <w:rsid w:val="008E56D2"/>
    <w:rsid w:val="008E6411"/>
    <w:rsid w:val="008E7142"/>
    <w:rsid w:val="008F150E"/>
    <w:rsid w:val="008F154D"/>
    <w:rsid w:val="008F1835"/>
    <w:rsid w:val="008F1961"/>
    <w:rsid w:val="008F23F7"/>
    <w:rsid w:val="008F2BFD"/>
    <w:rsid w:val="008F2E7B"/>
    <w:rsid w:val="008F327F"/>
    <w:rsid w:val="008F50A7"/>
    <w:rsid w:val="008F55F7"/>
    <w:rsid w:val="008F5F39"/>
    <w:rsid w:val="008F7281"/>
    <w:rsid w:val="00901102"/>
    <w:rsid w:val="009027A9"/>
    <w:rsid w:val="00902F68"/>
    <w:rsid w:val="00903992"/>
    <w:rsid w:val="00903F10"/>
    <w:rsid w:val="00904FD5"/>
    <w:rsid w:val="00905603"/>
    <w:rsid w:val="009058D0"/>
    <w:rsid w:val="00906AC3"/>
    <w:rsid w:val="00907281"/>
    <w:rsid w:val="0091066D"/>
    <w:rsid w:val="00910966"/>
    <w:rsid w:val="00910EB7"/>
    <w:rsid w:val="00911A6B"/>
    <w:rsid w:val="00911C8C"/>
    <w:rsid w:val="0091419D"/>
    <w:rsid w:val="0091437F"/>
    <w:rsid w:val="00914A7D"/>
    <w:rsid w:val="00914BB7"/>
    <w:rsid w:val="00914FE3"/>
    <w:rsid w:val="00916914"/>
    <w:rsid w:val="009173D1"/>
    <w:rsid w:val="00921680"/>
    <w:rsid w:val="0092196F"/>
    <w:rsid w:val="00921984"/>
    <w:rsid w:val="0092201D"/>
    <w:rsid w:val="0092244B"/>
    <w:rsid w:val="00922BF4"/>
    <w:rsid w:val="00922C95"/>
    <w:rsid w:val="0092529F"/>
    <w:rsid w:val="0092721B"/>
    <w:rsid w:val="0092746F"/>
    <w:rsid w:val="00927901"/>
    <w:rsid w:val="00927A51"/>
    <w:rsid w:val="00927DE7"/>
    <w:rsid w:val="00930A36"/>
    <w:rsid w:val="00930D91"/>
    <w:rsid w:val="00930F2E"/>
    <w:rsid w:val="009311DA"/>
    <w:rsid w:val="00933AD5"/>
    <w:rsid w:val="00934A74"/>
    <w:rsid w:val="00934EAB"/>
    <w:rsid w:val="00935E81"/>
    <w:rsid w:val="00935FB2"/>
    <w:rsid w:val="00936C4A"/>
    <w:rsid w:val="00936D2D"/>
    <w:rsid w:val="00937783"/>
    <w:rsid w:val="009412D9"/>
    <w:rsid w:val="0094392E"/>
    <w:rsid w:val="00943BE8"/>
    <w:rsid w:val="009447D9"/>
    <w:rsid w:val="00945ABF"/>
    <w:rsid w:val="00946234"/>
    <w:rsid w:val="00946F9A"/>
    <w:rsid w:val="00947AE7"/>
    <w:rsid w:val="00947F94"/>
    <w:rsid w:val="009502F9"/>
    <w:rsid w:val="009506FF"/>
    <w:rsid w:val="009526AC"/>
    <w:rsid w:val="00952B50"/>
    <w:rsid w:val="00952EE5"/>
    <w:rsid w:val="00953AA3"/>
    <w:rsid w:val="00954459"/>
    <w:rsid w:val="00954831"/>
    <w:rsid w:val="00954932"/>
    <w:rsid w:val="00954D9E"/>
    <w:rsid w:val="0095660B"/>
    <w:rsid w:val="00956D80"/>
    <w:rsid w:val="00957FDE"/>
    <w:rsid w:val="00961D44"/>
    <w:rsid w:val="009621CF"/>
    <w:rsid w:val="00963014"/>
    <w:rsid w:val="009636C3"/>
    <w:rsid w:val="00963E0F"/>
    <w:rsid w:val="009647C9"/>
    <w:rsid w:val="00964D8F"/>
    <w:rsid w:val="0096524C"/>
    <w:rsid w:val="009665D3"/>
    <w:rsid w:val="00966D11"/>
    <w:rsid w:val="009677A0"/>
    <w:rsid w:val="00967E1B"/>
    <w:rsid w:val="00970B33"/>
    <w:rsid w:val="00970D06"/>
    <w:rsid w:val="00970F44"/>
    <w:rsid w:val="00971FD7"/>
    <w:rsid w:val="00972419"/>
    <w:rsid w:val="009729AF"/>
    <w:rsid w:val="009736D9"/>
    <w:rsid w:val="00973BAE"/>
    <w:rsid w:val="009741E3"/>
    <w:rsid w:val="009754C9"/>
    <w:rsid w:val="009757CE"/>
    <w:rsid w:val="00975960"/>
    <w:rsid w:val="009761DD"/>
    <w:rsid w:val="009768AD"/>
    <w:rsid w:val="00977C42"/>
    <w:rsid w:val="0098050E"/>
    <w:rsid w:val="00980B04"/>
    <w:rsid w:val="00981188"/>
    <w:rsid w:val="00982807"/>
    <w:rsid w:val="00983743"/>
    <w:rsid w:val="00983F9C"/>
    <w:rsid w:val="009840A1"/>
    <w:rsid w:val="009840E7"/>
    <w:rsid w:val="009843B9"/>
    <w:rsid w:val="00990452"/>
    <w:rsid w:val="00990BCD"/>
    <w:rsid w:val="00990C05"/>
    <w:rsid w:val="00991204"/>
    <w:rsid w:val="009917C2"/>
    <w:rsid w:val="00991C92"/>
    <w:rsid w:val="00991D01"/>
    <w:rsid w:val="00992D51"/>
    <w:rsid w:val="00993364"/>
    <w:rsid w:val="00994169"/>
    <w:rsid w:val="009945C8"/>
    <w:rsid w:val="0099468D"/>
    <w:rsid w:val="009948E8"/>
    <w:rsid w:val="009952A8"/>
    <w:rsid w:val="00995C39"/>
    <w:rsid w:val="00996D49"/>
    <w:rsid w:val="00996DB9"/>
    <w:rsid w:val="009973A8"/>
    <w:rsid w:val="00997553"/>
    <w:rsid w:val="00997BC5"/>
    <w:rsid w:val="009A08D2"/>
    <w:rsid w:val="009A0EFA"/>
    <w:rsid w:val="009A1174"/>
    <w:rsid w:val="009A26BF"/>
    <w:rsid w:val="009A2764"/>
    <w:rsid w:val="009A3968"/>
    <w:rsid w:val="009A551E"/>
    <w:rsid w:val="009A5F11"/>
    <w:rsid w:val="009A6C0D"/>
    <w:rsid w:val="009A6C5D"/>
    <w:rsid w:val="009A7722"/>
    <w:rsid w:val="009B0297"/>
    <w:rsid w:val="009B04E3"/>
    <w:rsid w:val="009B07BA"/>
    <w:rsid w:val="009B16AA"/>
    <w:rsid w:val="009B44BA"/>
    <w:rsid w:val="009B4E2E"/>
    <w:rsid w:val="009B52B5"/>
    <w:rsid w:val="009B636E"/>
    <w:rsid w:val="009B7044"/>
    <w:rsid w:val="009C13EE"/>
    <w:rsid w:val="009C2274"/>
    <w:rsid w:val="009C24A7"/>
    <w:rsid w:val="009C41BB"/>
    <w:rsid w:val="009C4200"/>
    <w:rsid w:val="009C46BF"/>
    <w:rsid w:val="009C6819"/>
    <w:rsid w:val="009C6822"/>
    <w:rsid w:val="009C6DFB"/>
    <w:rsid w:val="009C6EC0"/>
    <w:rsid w:val="009C714A"/>
    <w:rsid w:val="009C7D2F"/>
    <w:rsid w:val="009C7F65"/>
    <w:rsid w:val="009D0084"/>
    <w:rsid w:val="009D030B"/>
    <w:rsid w:val="009D06D3"/>
    <w:rsid w:val="009D0BC7"/>
    <w:rsid w:val="009D1720"/>
    <w:rsid w:val="009D224B"/>
    <w:rsid w:val="009D264D"/>
    <w:rsid w:val="009D2F68"/>
    <w:rsid w:val="009D32C9"/>
    <w:rsid w:val="009D3B9B"/>
    <w:rsid w:val="009D3BB4"/>
    <w:rsid w:val="009D48B7"/>
    <w:rsid w:val="009D4AD3"/>
    <w:rsid w:val="009D4D12"/>
    <w:rsid w:val="009D5569"/>
    <w:rsid w:val="009D59F3"/>
    <w:rsid w:val="009D61C4"/>
    <w:rsid w:val="009D7C52"/>
    <w:rsid w:val="009E09BA"/>
    <w:rsid w:val="009E62F1"/>
    <w:rsid w:val="009E6875"/>
    <w:rsid w:val="009F0C6E"/>
    <w:rsid w:val="009F18DB"/>
    <w:rsid w:val="009F1F30"/>
    <w:rsid w:val="009F2D50"/>
    <w:rsid w:val="009F33A8"/>
    <w:rsid w:val="009F3E2C"/>
    <w:rsid w:val="009F47D6"/>
    <w:rsid w:val="009F4879"/>
    <w:rsid w:val="009F6D06"/>
    <w:rsid w:val="009F78E9"/>
    <w:rsid w:val="009F7998"/>
    <w:rsid w:val="00A010B7"/>
    <w:rsid w:val="00A02027"/>
    <w:rsid w:val="00A02068"/>
    <w:rsid w:val="00A02CA6"/>
    <w:rsid w:val="00A04476"/>
    <w:rsid w:val="00A05056"/>
    <w:rsid w:val="00A051B5"/>
    <w:rsid w:val="00A066F8"/>
    <w:rsid w:val="00A06FB6"/>
    <w:rsid w:val="00A07C7A"/>
    <w:rsid w:val="00A13262"/>
    <w:rsid w:val="00A13539"/>
    <w:rsid w:val="00A135CA"/>
    <w:rsid w:val="00A13E98"/>
    <w:rsid w:val="00A1460C"/>
    <w:rsid w:val="00A15403"/>
    <w:rsid w:val="00A16674"/>
    <w:rsid w:val="00A16FA0"/>
    <w:rsid w:val="00A2097F"/>
    <w:rsid w:val="00A22449"/>
    <w:rsid w:val="00A2309C"/>
    <w:rsid w:val="00A233D3"/>
    <w:rsid w:val="00A245E9"/>
    <w:rsid w:val="00A26382"/>
    <w:rsid w:val="00A26A9C"/>
    <w:rsid w:val="00A26C83"/>
    <w:rsid w:val="00A26ED7"/>
    <w:rsid w:val="00A2789D"/>
    <w:rsid w:val="00A27A9D"/>
    <w:rsid w:val="00A27B19"/>
    <w:rsid w:val="00A30FD4"/>
    <w:rsid w:val="00A30FDD"/>
    <w:rsid w:val="00A3177F"/>
    <w:rsid w:val="00A318F2"/>
    <w:rsid w:val="00A32185"/>
    <w:rsid w:val="00A343B2"/>
    <w:rsid w:val="00A356A4"/>
    <w:rsid w:val="00A36D04"/>
    <w:rsid w:val="00A40CCE"/>
    <w:rsid w:val="00A40D9A"/>
    <w:rsid w:val="00A41316"/>
    <w:rsid w:val="00A41325"/>
    <w:rsid w:val="00A414A9"/>
    <w:rsid w:val="00A4158A"/>
    <w:rsid w:val="00A41CD2"/>
    <w:rsid w:val="00A42A70"/>
    <w:rsid w:val="00A42AEC"/>
    <w:rsid w:val="00A44334"/>
    <w:rsid w:val="00A4457F"/>
    <w:rsid w:val="00A447A9"/>
    <w:rsid w:val="00A4486D"/>
    <w:rsid w:val="00A44907"/>
    <w:rsid w:val="00A466CA"/>
    <w:rsid w:val="00A5039A"/>
    <w:rsid w:val="00A517A6"/>
    <w:rsid w:val="00A541A4"/>
    <w:rsid w:val="00A54B65"/>
    <w:rsid w:val="00A553CE"/>
    <w:rsid w:val="00A55C6C"/>
    <w:rsid w:val="00A57A6C"/>
    <w:rsid w:val="00A57B8D"/>
    <w:rsid w:val="00A61081"/>
    <w:rsid w:val="00A61613"/>
    <w:rsid w:val="00A61F85"/>
    <w:rsid w:val="00A627DC"/>
    <w:rsid w:val="00A631D3"/>
    <w:rsid w:val="00A63D23"/>
    <w:rsid w:val="00A63E72"/>
    <w:rsid w:val="00A641A1"/>
    <w:rsid w:val="00A6493E"/>
    <w:rsid w:val="00A65F1A"/>
    <w:rsid w:val="00A675B4"/>
    <w:rsid w:val="00A70264"/>
    <w:rsid w:val="00A70E1A"/>
    <w:rsid w:val="00A711ED"/>
    <w:rsid w:val="00A723F2"/>
    <w:rsid w:val="00A7408E"/>
    <w:rsid w:val="00A7438E"/>
    <w:rsid w:val="00A74AB5"/>
    <w:rsid w:val="00A74DA9"/>
    <w:rsid w:val="00A75702"/>
    <w:rsid w:val="00A759DF"/>
    <w:rsid w:val="00A75B80"/>
    <w:rsid w:val="00A75F2D"/>
    <w:rsid w:val="00A75F56"/>
    <w:rsid w:val="00A76D65"/>
    <w:rsid w:val="00A80D6A"/>
    <w:rsid w:val="00A82330"/>
    <w:rsid w:val="00A8241E"/>
    <w:rsid w:val="00A83958"/>
    <w:rsid w:val="00A8468E"/>
    <w:rsid w:val="00A84C28"/>
    <w:rsid w:val="00A85D7A"/>
    <w:rsid w:val="00A862D2"/>
    <w:rsid w:val="00A8669E"/>
    <w:rsid w:val="00A87049"/>
    <w:rsid w:val="00A90291"/>
    <w:rsid w:val="00A90617"/>
    <w:rsid w:val="00A908B5"/>
    <w:rsid w:val="00A90F8F"/>
    <w:rsid w:val="00A913BD"/>
    <w:rsid w:val="00A91EC0"/>
    <w:rsid w:val="00A92D1C"/>
    <w:rsid w:val="00A93626"/>
    <w:rsid w:val="00A9430D"/>
    <w:rsid w:val="00A95140"/>
    <w:rsid w:val="00A95755"/>
    <w:rsid w:val="00A95B19"/>
    <w:rsid w:val="00A9650E"/>
    <w:rsid w:val="00A96578"/>
    <w:rsid w:val="00A96598"/>
    <w:rsid w:val="00A96634"/>
    <w:rsid w:val="00A96A4B"/>
    <w:rsid w:val="00A96A6C"/>
    <w:rsid w:val="00A96EB8"/>
    <w:rsid w:val="00A9783D"/>
    <w:rsid w:val="00A97D55"/>
    <w:rsid w:val="00AA1C2B"/>
    <w:rsid w:val="00AA27B4"/>
    <w:rsid w:val="00AA30E8"/>
    <w:rsid w:val="00AA3188"/>
    <w:rsid w:val="00AA3319"/>
    <w:rsid w:val="00AA3614"/>
    <w:rsid w:val="00AA379F"/>
    <w:rsid w:val="00AA3DE9"/>
    <w:rsid w:val="00AA3DFD"/>
    <w:rsid w:val="00AA4B89"/>
    <w:rsid w:val="00AA4DB8"/>
    <w:rsid w:val="00AA4FEA"/>
    <w:rsid w:val="00AA5241"/>
    <w:rsid w:val="00AA5CF6"/>
    <w:rsid w:val="00AA6094"/>
    <w:rsid w:val="00AA6CFA"/>
    <w:rsid w:val="00AA7184"/>
    <w:rsid w:val="00AB0405"/>
    <w:rsid w:val="00AB06C9"/>
    <w:rsid w:val="00AB1FB1"/>
    <w:rsid w:val="00AB2BA9"/>
    <w:rsid w:val="00AB2CCB"/>
    <w:rsid w:val="00AB2E03"/>
    <w:rsid w:val="00AB36E1"/>
    <w:rsid w:val="00AB3AD2"/>
    <w:rsid w:val="00AB45B1"/>
    <w:rsid w:val="00AB576D"/>
    <w:rsid w:val="00AB5CC6"/>
    <w:rsid w:val="00AB5D7D"/>
    <w:rsid w:val="00AB5E14"/>
    <w:rsid w:val="00AB61B9"/>
    <w:rsid w:val="00AB61F6"/>
    <w:rsid w:val="00AB6A0F"/>
    <w:rsid w:val="00AB7397"/>
    <w:rsid w:val="00AB772E"/>
    <w:rsid w:val="00AB78EE"/>
    <w:rsid w:val="00AB7E63"/>
    <w:rsid w:val="00AB7E75"/>
    <w:rsid w:val="00AC01F1"/>
    <w:rsid w:val="00AC0DA6"/>
    <w:rsid w:val="00AC0FCB"/>
    <w:rsid w:val="00AC16AE"/>
    <w:rsid w:val="00AC1A02"/>
    <w:rsid w:val="00AC2148"/>
    <w:rsid w:val="00AC244F"/>
    <w:rsid w:val="00AC2958"/>
    <w:rsid w:val="00AC3738"/>
    <w:rsid w:val="00AC422D"/>
    <w:rsid w:val="00AC4FDD"/>
    <w:rsid w:val="00AC5710"/>
    <w:rsid w:val="00AC5921"/>
    <w:rsid w:val="00AC5E9E"/>
    <w:rsid w:val="00AC7236"/>
    <w:rsid w:val="00AC782F"/>
    <w:rsid w:val="00AD00AA"/>
    <w:rsid w:val="00AD0EF1"/>
    <w:rsid w:val="00AD1AC7"/>
    <w:rsid w:val="00AD361C"/>
    <w:rsid w:val="00AD4109"/>
    <w:rsid w:val="00AD5507"/>
    <w:rsid w:val="00AD56F0"/>
    <w:rsid w:val="00AD591D"/>
    <w:rsid w:val="00AD5B4F"/>
    <w:rsid w:val="00AD5D7F"/>
    <w:rsid w:val="00AD5FA7"/>
    <w:rsid w:val="00AD61D1"/>
    <w:rsid w:val="00AD646F"/>
    <w:rsid w:val="00AD659A"/>
    <w:rsid w:val="00AD6996"/>
    <w:rsid w:val="00AD69D8"/>
    <w:rsid w:val="00AD6E39"/>
    <w:rsid w:val="00AD740C"/>
    <w:rsid w:val="00AE0D70"/>
    <w:rsid w:val="00AE1595"/>
    <w:rsid w:val="00AE1AF1"/>
    <w:rsid w:val="00AE20E1"/>
    <w:rsid w:val="00AE223A"/>
    <w:rsid w:val="00AE2549"/>
    <w:rsid w:val="00AE2838"/>
    <w:rsid w:val="00AE2C18"/>
    <w:rsid w:val="00AE3000"/>
    <w:rsid w:val="00AE3DE5"/>
    <w:rsid w:val="00AE412B"/>
    <w:rsid w:val="00AE423E"/>
    <w:rsid w:val="00AE4450"/>
    <w:rsid w:val="00AE4BED"/>
    <w:rsid w:val="00AE5B77"/>
    <w:rsid w:val="00AE5BB1"/>
    <w:rsid w:val="00AE6032"/>
    <w:rsid w:val="00AE7751"/>
    <w:rsid w:val="00AF009A"/>
    <w:rsid w:val="00AF0553"/>
    <w:rsid w:val="00AF1BAA"/>
    <w:rsid w:val="00AF247C"/>
    <w:rsid w:val="00AF24C7"/>
    <w:rsid w:val="00AF3315"/>
    <w:rsid w:val="00AF359D"/>
    <w:rsid w:val="00AF5D57"/>
    <w:rsid w:val="00AF69FC"/>
    <w:rsid w:val="00AF6D93"/>
    <w:rsid w:val="00AF6F6D"/>
    <w:rsid w:val="00AF724A"/>
    <w:rsid w:val="00AF7659"/>
    <w:rsid w:val="00AF79EC"/>
    <w:rsid w:val="00B00755"/>
    <w:rsid w:val="00B00C20"/>
    <w:rsid w:val="00B01709"/>
    <w:rsid w:val="00B01830"/>
    <w:rsid w:val="00B028A8"/>
    <w:rsid w:val="00B03506"/>
    <w:rsid w:val="00B03A26"/>
    <w:rsid w:val="00B04DAA"/>
    <w:rsid w:val="00B06A51"/>
    <w:rsid w:val="00B10F2E"/>
    <w:rsid w:val="00B11AD0"/>
    <w:rsid w:val="00B12B74"/>
    <w:rsid w:val="00B1400B"/>
    <w:rsid w:val="00B142CC"/>
    <w:rsid w:val="00B14874"/>
    <w:rsid w:val="00B162AA"/>
    <w:rsid w:val="00B163FA"/>
    <w:rsid w:val="00B1679A"/>
    <w:rsid w:val="00B17076"/>
    <w:rsid w:val="00B17882"/>
    <w:rsid w:val="00B17F49"/>
    <w:rsid w:val="00B213E2"/>
    <w:rsid w:val="00B2224D"/>
    <w:rsid w:val="00B2245C"/>
    <w:rsid w:val="00B23159"/>
    <w:rsid w:val="00B24406"/>
    <w:rsid w:val="00B2474B"/>
    <w:rsid w:val="00B24EDB"/>
    <w:rsid w:val="00B25444"/>
    <w:rsid w:val="00B25F66"/>
    <w:rsid w:val="00B26375"/>
    <w:rsid w:val="00B2686C"/>
    <w:rsid w:val="00B2739E"/>
    <w:rsid w:val="00B27433"/>
    <w:rsid w:val="00B27846"/>
    <w:rsid w:val="00B30161"/>
    <w:rsid w:val="00B30E48"/>
    <w:rsid w:val="00B30EE7"/>
    <w:rsid w:val="00B31390"/>
    <w:rsid w:val="00B324BA"/>
    <w:rsid w:val="00B33EF0"/>
    <w:rsid w:val="00B34B3E"/>
    <w:rsid w:val="00B34D8D"/>
    <w:rsid w:val="00B355FA"/>
    <w:rsid w:val="00B360D6"/>
    <w:rsid w:val="00B371E8"/>
    <w:rsid w:val="00B40B4E"/>
    <w:rsid w:val="00B41691"/>
    <w:rsid w:val="00B420C0"/>
    <w:rsid w:val="00B43079"/>
    <w:rsid w:val="00B4376C"/>
    <w:rsid w:val="00B458A9"/>
    <w:rsid w:val="00B462D9"/>
    <w:rsid w:val="00B51141"/>
    <w:rsid w:val="00B511F2"/>
    <w:rsid w:val="00B52456"/>
    <w:rsid w:val="00B5258C"/>
    <w:rsid w:val="00B53207"/>
    <w:rsid w:val="00B53831"/>
    <w:rsid w:val="00B545C7"/>
    <w:rsid w:val="00B54993"/>
    <w:rsid w:val="00B555B3"/>
    <w:rsid w:val="00B55AF0"/>
    <w:rsid w:val="00B55E37"/>
    <w:rsid w:val="00B56240"/>
    <w:rsid w:val="00B56B21"/>
    <w:rsid w:val="00B601C3"/>
    <w:rsid w:val="00B60778"/>
    <w:rsid w:val="00B60835"/>
    <w:rsid w:val="00B6084B"/>
    <w:rsid w:val="00B60AAF"/>
    <w:rsid w:val="00B60F5F"/>
    <w:rsid w:val="00B61A32"/>
    <w:rsid w:val="00B623CF"/>
    <w:rsid w:val="00B62402"/>
    <w:rsid w:val="00B62441"/>
    <w:rsid w:val="00B63B9F"/>
    <w:rsid w:val="00B63F2C"/>
    <w:rsid w:val="00B65953"/>
    <w:rsid w:val="00B65979"/>
    <w:rsid w:val="00B6620F"/>
    <w:rsid w:val="00B66A6F"/>
    <w:rsid w:val="00B7153B"/>
    <w:rsid w:val="00B72C0D"/>
    <w:rsid w:val="00B74356"/>
    <w:rsid w:val="00B74595"/>
    <w:rsid w:val="00B74E31"/>
    <w:rsid w:val="00B75372"/>
    <w:rsid w:val="00B75A5C"/>
    <w:rsid w:val="00B77167"/>
    <w:rsid w:val="00B77379"/>
    <w:rsid w:val="00B7772C"/>
    <w:rsid w:val="00B77C0E"/>
    <w:rsid w:val="00B80AE5"/>
    <w:rsid w:val="00B80DC3"/>
    <w:rsid w:val="00B81114"/>
    <w:rsid w:val="00B811FD"/>
    <w:rsid w:val="00B81AEE"/>
    <w:rsid w:val="00B81F2E"/>
    <w:rsid w:val="00B8287D"/>
    <w:rsid w:val="00B84746"/>
    <w:rsid w:val="00B84B63"/>
    <w:rsid w:val="00B84C18"/>
    <w:rsid w:val="00B852B8"/>
    <w:rsid w:val="00B853C9"/>
    <w:rsid w:val="00B85CB9"/>
    <w:rsid w:val="00B85E0C"/>
    <w:rsid w:val="00B864B9"/>
    <w:rsid w:val="00B86A55"/>
    <w:rsid w:val="00B90085"/>
    <w:rsid w:val="00B90523"/>
    <w:rsid w:val="00B90B6C"/>
    <w:rsid w:val="00B919FC"/>
    <w:rsid w:val="00B9330A"/>
    <w:rsid w:val="00B939F0"/>
    <w:rsid w:val="00B94D65"/>
    <w:rsid w:val="00B950FD"/>
    <w:rsid w:val="00B95201"/>
    <w:rsid w:val="00B96CB4"/>
    <w:rsid w:val="00B97A7C"/>
    <w:rsid w:val="00B97BB1"/>
    <w:rsid w:val="00BA12C8"/>
    <w:rsid w:val="00BA1898"/>
    <w:rsid w:val="00BA1C34"/>
    <w:rsid w:val="00BA1F00"/>
    <w:rsid w:val="00BA3910"/>
    <w:rsid w:val="00BA3E3A"/>
    <w:rsid w:val="00BA3E59"/>
    <w:rsid w:val="00BA519B"/>
    <w:rsid w:val="00BA530B"/>
    <w:rsid w:val="00BA5644"/>
    <w:rsid w:val="00BA59F3"/>
    <w:rsid w:val="00BA5D34"/>
    <w:rsid w:val="00BA69EB"/>
    <w:rsid w:val="00BA6C6D"/>
    <w:rsid w:val="00BA7E7B"/>
    <w:rsid w:val="00BB0D14"/>
    <w:rsid w:val="00BB2CDD"/>
    <w:rsid w:val="00BB3318"/>
    <w:rsid w:val="00BB3492"/>
    <w:rsid w:val="00BB35FB"/>
    <w:rsid w:val="00BB39EB"/>
    <w:rsid w:val="00BB48EE"/>
    <w:rsid w:val="00BB4F70"/>
    <w:rsid w:val="00BB5457"/>
    <w:rsid w:val="00BB5762"/>
    <w:rsid w:val="00BB5883"/>
    <w:rsid w:val="00BB5E8C"/>
    <w:rsid w:val="00BB5ED5"/>
    <w:rsid w:val="00BC0FF9"/>
    <w:rsid w:val="00BC1490"/>
    <w:rsid w:val="00BC1AA9"/>
    <w:rsid w:val="00BC2945"/>
    <w:rsid w:val="00BC5836"/>
    <w:rsid w:val="00BC6D8A"/>
    <w:rsid w:val="00BC752C"/>
    <w:rsid w:val="00BC7C2F"/>
    <w:rsid w:val="00BD2052"/>
    <w:rsid w:val="00BD2E03"/>
    <w:rsid w:val="00BD5105"/>
    <w:rsid w:val="00BD5414"/>
    <w:rsid w:val="00BD5DF7"/>
    <w:rsid w:val="00BD7325"/>
    <w:rsid w:val="00BE03EE"/>
    <w:rsid w:val="00BE03F3"/>
    <w:rsid w:val="00BE04DB"/>
    <w:rsid w:val="00BE1C2C"/>
    <w:rsid w:val="00BE3AB4"/>
    <w:rsid w:val="00BE45C9"/>
    <w:rsid w:val="00BE4BE9"/>
    <w:rsid w:val="00BE6412"/>
    <w:rsid w:val="00BE64DC"/>
    <w:rsid w:val="00BE6679"/>
    <w:rsid w:val="00BF09B5"/>
    <w:rsid w:val="00BF0B7E"/>
    <w:rsid w:val="00BF0BBF"/>
    <w:rsid w:val="00BF10C6"/>
    <w:rsid w:val="00BF407A"/>
    <w:rsid w:val="00BF4BDF"/>
    <w:rsid w:val="00BF6473"/>
    <w:rsid w:val="00BF6B6C"/>
    <w:rsid w:val="00BF77E2"/>
    <w:rsid w:val="00BF7A75"/>
    <w:rsid w:val="00C00322"/>
    <w:rsid w:val="00C01BEE"/>
    <w:rsid w:val="00C03351"/>
    <w:rsid w:val="00C03403"/>
    <w:rsid w:val="00C03498"/>
    <w:rsid w:val="00C04007"/>
    <w:rsid w:val="00C05072"/>
    <w:rsid w:val="00C051F8"/>
    <w:rsid w:val="00C05935"/>
    <w:rsid w:val="00C0648C"/>
    <w:rsid w:val="00C06B47"/>
    <w:rsid w:val="00C06EEC"/>
    <w:rsid w:val="00C07B0D"/>
    <w:rsid w:val="00C1116D"/>
    <w:rsid w:val="00C11848"/>
    <w:rsid w:val="00C1280A"/>
    <w:rsid w:val="00C13A87"/>
    <w:rsid w:val="00C152E8"/>
    <w:rsid w:val="00C159C6"/>
    <w:rsid w:val="00C17322"/>
    <w:rsid w:val="00C17B97"/>
    <w:rsid w:val="00C21FAF"/>
    <w:rsid w:val="00C2226D"/>
    <w:rsid w:val="00C23592"/>
    <w:rsid w:val="00C23797"/>
    <w:rsid w:val="00C2387E"/>
    <w:rsid w:val="00C244B6"/>
    <w:rsid w:val="00C24C27"/>
    <w:rsid w:val="00C25351"/>
    <w:rsid w:val="00C262F0"/>
    <w:rsid w:val="00C268FA"/>
    <w:rsid w:val="00C2752F"/>
    <w:rsid w:val="00C27840"/>
    <w:rsid w:val="00C30AD3"/>
    <w:rsid w:val="00C30FA3"/>
    <w:rsid w:val="00C31572"/>
    <w:rsid w:val="00C3296C"/>
    <w:rsid w:val="00C32D80"/>
    <w:rsid w:val="00C333C1"/>
    <w:rsid w:val="00C337E6"/>
    <w:rsid w:val="00C33944"/>
    <w:rsid w:val="00C33FE6"/>
    <w:rsid w:val="00C343E7"/>
    <w:rsid w:val="00C34509"/>
    <w:rsid w:val="00C3493C"/>
    <w:rsid w:val="00C3559A"/>
    <w:rsid w:val="00C35B3C"/>
    <w:rsid w:val="00C369FD"/>
    <w:rsid w:val="00C36B54"/>
    <w:rsid w:val="00C376A0"/>
    <w:rsid w:val="00C42DF5"/>
    <w:rsid w:val="00C4643E"/>
    <w:rsid w:val="00C47A49"/>
    <w:rsid w:val="00C47E23"/>
    <w:rsid w:val="00C50E75"/>
    <w:rsid w:val="00C51F87"/>
    <w:rsid w:val="00C52741"/>
    <w:rsid w:val="00C52E14"/>
    <w:rsid w:val="00C53BB8"/>
    <w:rsid w:val="00C541D2"/>
    <w:rsid w:val="00C54BF4"/>
    <w:rsid w:val="00C54D28"/>
    <w:rsid w:val="00C55126"/>
    <w:rsid w:val="00C56356"/>
    <w:rsid w:val="00C5678A"/>
    <w:rsid w:val="00C57D95"/>
    <w:rsid w:val="00C60551"/>
    <w:rsid w:val="00C60BC6"/>
    <w:rsid w:val="00C60D38"/>
    <w:rsid w:val="00C61E11"/>
    <w:rsid w:val="00C626C2"/>
    <w:rsid w:val="00C62965"/>
    <w:rsid w:val="00C6411E"/>
    <w:rsid w:val="00C64BBC"/>
    <w:rsid w:val="00C66A71"/>
    <w:rsid w:val="00C66A99"/>
    <w:rsid w:val="00C677A5"/>
    <w:rsid w:val="00C70F9A"/>
    <w:rsid w:val="00C727A2"/>
    <w:rsid w:val="00C72B05"/>
    <w:rsid w:val="00C73766"/>
    <w:rsid w:val="00C737D2"/>
    <w:rsid w:val="00C74088"/>
    <w:rsid w:val="00C74D7A"/>
    <w:rsid w:val="00C75434"/>
    <w:rsid w:val="00C757EA"/>
    <w:rsid w:val="00C7580D"/>
    <w:rsid w:val="00C75CC2"/>
    <w:rsid w:val="00C76273"/>
    <w:rsid w:val="00C7657A"/>
    <w:rsid w:val="00C76CFC"/>
    <w:rsid w:val="00C809DC"/>
    <w:rsid w:val="00C8144D"/>
    <w:rsid w:val="00C81544"/>
    <w:rsid w:val="00C820C3"/>
    <w:rsid w:val="00C85CC8"/>
    <w:rsid w:val="00C8600B"/>
    <w:rsid w:val="00C862A9"/>
    <w:rsid w:val="00C86407"/>
    <w:rsid w:val="00C873D0"/>
    <w:rsid w:val="00C90C06"/>
    <w:rsid w:val="00C92626"/>
    <w:rsid w:val="00C92BD1"/>
    <w:rsid w:val="00C937DD"/>
    <w:rsid w:val="00C938D7"/>
    <w:rsid w:val="00C93FDA"/>
    <w:rsid w:val="00C93FE9"/>
    <w:rsid w:val="00C94168"/>
    <w:rsid w:val="00C94A07"/>
    <w:rsid w:val="00C94F0A"/>
    <w:rsid w:val="00C94F27"/>
    <w:rsid w:val="00C96CF7"/>
    <w:rsid w:val="00C970C8"/>
    <w:rsid w:val="00C975CE"/>
    <w:rsid w:val="00C97756"/>
    <w:rsid w:val="00CA022A"/>
    <w:rsid w:val="00CA0251"/>
    <w:rsid w:val="00CA0687"/>
    <w:rsid w:val="00CA09D5"/>
    <w:rsid w:val="00CA0BFB"/>
    <w:rsid w:val="00CA0D8F"/>
    <w:rsid w:val="00CA2CB7"/>
    <w:rsid w:val="00CA32C0"/>
    <w:rsid w:val="00CA3907"/>
    <w:rsid w:val="00CA47A8"/>
    <w:rsid w:val="00CA4F0D"/>
    <w:rsid w:val="00CA531D"/>
    <w:rsid w:val="00CA6AFB"/>
    <w:rsid w:val="00CA7B78"/>
    <w:rsid w:val="00CB0966"/>
    <w:rsid w:val="00CB184C"/>
    <w:rsid w:val="00CB32E7"/>
    <w:rsid w:val="00CB4598"/>
    <w:rsid w:val="00CB48C3"/>
    <w:rsid w:val="00CB5EAE"/>
    <w:rsid w:val="00CB5FA3"/>
    <w:rsid w:val="00CB6008"/>
    <w:rsid w:val="00CB7147"/>
    <w:rsid w:val="00CB722D"/>
    <w:rsid w:val="00CC0456"/>
    <w:rsid w:val="00CC0C06"/>
    <w:rsid w:val="00CC0D9B"/>
    <w:rsid w:val="00CC2A82"/>
    <w:rsid w:val="00CC2BB1"/>
    <w:rsid w:val="00CC3057"/>
    <w:rsid w:val="00CC34CD"/>
    <w:rsid w:val="00CC34F9"/>
    <w:rsid w:val="00CC3790"/>
    <w:rsid w:val="00CC48D8"/>
    <w:rsid w:val="00CC4B23"/>
    <w:rsid w:val="00CC53EB"/>
    <w:rsid w:val="00CC5801"/>
    <w:rsid w:val="00CC5FEE"/>
    <w:rsid w:val="00CC6D13"/>
    <w:rsid w:val="00CC6D1A"/>
    <w:rsid w:val="00CC75F3"/>
    <w:rsid w:val="00CC7C16"/>
    <w:rsid w:val="00CD0DA4"/>
    <w:rsid w:val="00CD141B"/>
    <w:rsid w:val="00CD151F"/>
    <w:rsid w:val="00CD168F"/>
    <w:rsid w:val="00CD268E"/>
    <w:rsid w:val="00CD38A6"/>
    <w:rsid w:val="00CD4D73"/>
    <w:rsid w:val="00CD51EC"/>
    <w:rsid w:val="00CD5B81"/>
    <w:rsid w:val="00CD63A2"/>
    <w:rsid w:val="00CD63C8"/>
    <w:rsid w:val="00CD703C"/>
    <w:rsid w:val="00CD7CBC"/>
    <w:rsid w:val="00CD7CE5"/>
    <w:rsid w:val="00CE0700"/>
    <w:rsid w:val="00CE0B13"/>
    <w:rsid w:val="00CE0B99"/>
    <w:rsid w:val="00CE1543"/>
    <w:rsid w:val="00CE195E"/>
    <w:rsid w:val="00CE20E9"/>
    <w:rsid w:val="00CE24DF"/>
    <w:rsid w:val="00CE27E1"/>
    <w:rsid w:val="00CE33E4"/>
    <w:rsid w:val="00CE365E"/>
    <w:rsid w:val="00CE3E56"/>
    <w:rsid w:val="00CE4202"/>
    <w:rsid w:val="00CE4456"/>
    <w:rsid w:val="00CE4C9C"/>
    <w:rsid w:val="00CE5018"/>
    <w:rsid w:val="00CE50D3"/>
    <w:rsid w:val="00CE5213"/>
    <w:rsid w:val="00CE587D"/>
    <w:rsid w:val="00CE5E1A"/>
    <w:rsid w:val="00CE734A"/>
    <w:rsid w:val="00CF05E8"/>
    <w:rsid w:val="00CF0687"/>
    <w:rsid w:val="00CF123D"/>
    <w:rsid w:val="00CF1C8C"/>
    <w:rsid w:val="00CF1F55"/>
    <w:rsid w:val="00CF1F68"/>
    <w:rsid w:val="00CF313B"/>
    <w:rsid w:val="00CF424D"/>
    <w:rsid w:val="00CF48D4"/>
    <w:rsid w:val="00CF5E75"/>
    <w:rsid w:val="00CF646F"/>
    <w:rsid w:val="00CF7287"/>
    <w:rsid w:val="00D006B0"/>
    <w:rsid w:val="00D01693"/>
    <w:rsid w:val="00D03046"/>
    <w:rsid w:val="00D033F2"/>
    <w:rsid w:val="00D03FA1"/>
    <w:rsid w:val="00D04E3B"/>
    <w:rsid w:val="00D04EF4"/>
    <w:rsid w:val="00D074C2"/>
    <w:rsid w:val="00D11049"/>
    <w:rsid w:val="00D113CC"/>
    <w:rsid w:val="00D113F5"/>
    <w:rsid w:val="00D11FE8"/>
    <w:rsid w:val="00D12929"/>
    <w:rsid w:val="00D1307A"/>
    <w:rsid w:val="00D14E70"/>
    <w:rsid w:val="00D1512E"/>
    <w:rsid w:val="00D15DDC"/>
    <w:rsid w:val="00D16F72"/>
    <w:rsid w:val="00D170B1"/>
    <w:rsid w:val="00D2004C"/>
    <w:rsid w:val="00D20B57"/>
    <w:rsid w:val="00D21016"/>
    <w:rsid w:val="00D22119"/>
    <w:rsid w:val="00D23D90"/>
    <w:rsid w:val="00D23F42"/>
    <w:rsid w:val="00D2404A"/>
    <w:rsid w:val="00D2429A"/>
    <w:rsid w:val="00D2448F"/>
    <w:rsid w:val="00D247C6"/>
    <w:rsid w:val="00D25D9B"/>
    <w:rsid w:val="00D27AAE"/>
    <w:rsid w:val="00D27E3D"/>
    <w:rsid w:val="00D31247"/>
    <w:rsid w:val="00D31449"/>
    <w:rsid w:val="00D316FD"/>
    <w:rsid w:val="00D33683"/>
    <w:rsid w:val="00D33BF3"/>
    <w:rsid w:val="00D34334"/>
    <w:rsid w:val="00D34BF3"/>
    <w:rsid w:val="00D34C40"/>
    <w:rsid w:val="00D34EF2"/>
    <w:rsid w:val="00D36615"/>
    <w:rsid w:val="00D37B97"/>
    <w:rsid w:val="00D405EC"/>
    <w:rsid w:val="00D41278"/>
    <w:rsid w:val="00D4143F"/>
    <w:rsid w:val="00D41AFA"/>
    <w:rsid w:val="00D435C2"/>
    <w:rsid w:val="00D45145"/>
    <w:rsid w:val="00D45353"/>
    <w:rsid w:val="00D45952"/>
    <w:rsid w:val="00D46122"/>
    <w:rsid w:val="00D46164"/>
    <w:rsid w:val="00D47F17"/>
    <w:rsid w:val="00D51A2A"/>
    <w:rsid w:val="00D520D8"/>
    <w:rsid w:val="00D5271D"/>
    <w:rsid w:val="00D53C4F"/>
    <w:rsid w:val="00D5464B"/>
    <w:rsid w:val="00D54B32"/>
    <w:rsid w:val="00D55D4A"/>
    <w:rsid w:val="00D5681F"/>
    <w:rsid w:val="00D57327"/>
    <w:rsid w:val="00D57F01"/>
    <w:rsid w:val="00D61BE7"/>
    <w:rsid w:val="00D620FD"/>
    <w:rsid w:val="00D631E4"/>
    <w:rsid w:val="00D635A8"/>
    <w:rsid w:val="00D64F3E"/>
    <w:rsid w:val="00D65B73"/>
    <w:rsid w:val="00D65D46"/>
    <w:rsid w:val="00D66176"/>
    <w:rsid w:val="00D670D5"/>
    <w:rsid w:val="00D67305"/>
    <w:rsid w:val="00D67421"/>
    <w:rsid w:val="00D678A1"/>
    <w:rsid w:val="00D70E7F"/>
    <w:rsid w:val="00D711B7"/>
    <w:rsid w:val="00D71AE0"/>
    <w:rsid w:val="00D72540"/>
    <w:rsid w:val="00D72657"/>
    <w:rsid w:val="00D72AD8"/>
    <w:rsid w:val="00D7310C"/>
    <w:rsid w:val="00D732FC"/>
    <w:rsid w:val="00D7332C"/>
    <w:rsid w:val="00D747A7"/>
    <w:rsid w:val="00D75620"/>
    <w:rsid w:val="00D75CB2"/>
    <w:rsid w:val="00D75FE1"/>
    <w:rsid w:val="00D75FEB"/>
    <w:rsid w:val="00D760C1"/>
    <w:rsid w:val="00D761FD"/>
    <w:rsid w:val="00D76601"/>
    <w:rsid w:val="00D76827"/>
    <w:rsid w:val="00D77636"/>
    <w:rsid w:val="00D80054"/>
    <w:rsid w:val="00D806FA"/>
    <w:rsid w:val="00D81A5C"/>
    <w:rsid w:val="00D82D1A"/>
    <w:rsid w:val="00D82DBD"/>
    <w:rsid w:val="00D8528F"/>
    <w:rsid w:val="00D869A9"/>
    <w:rsid w:val="00D876CB"/>
    <w:rsid w:val="00D92A88"/>
    <w:rsid w:val="00D94AA5"/>
    <w:rsid w:val="00D94DB1"/>
    <w:rsid w:val="00D95FCD"/>
    <w:rsid w:val="00D9704A"/>
    <w:rsid w:val="00DA0B94"/>
    <w:rsid w:val="00DA0F74"/>
    <w:rsid w:val="00DA2371"/>
    <w:rsid w:val="00DA2385"/>
    <w:rsid w:val="00DA2FC1"/>
    <w:rsid w:val="00DA3A9E"/>
    <w:rsid w:val="00DA4845"/>
    <w:rsid w:val="00DA616B"/>
    <w:rsid w:val="00DA62E0"/>
    <w:rsid w:val="00DA683C"/>
    <w:rsid w:val="00DA7702"/>
    <w:rsid w:val="00DA77C6"/>
    <w:rsid w:val="00DB0A7C"/>
    <w:rsid w:val="00DB37B5"/>
    <w:rsid w:val="00DB4081"/>
    <w:rsid w:val="00DB42EE"/>
    <w:rsid w:val="00DB441C"/>
    <w:rsid w:val="00DB5898"/>
    <w:rsid w:val="00DB5F84"/>
    <w:rsid w:val="00DB62F7"/>
    <w:rsid w:val="00DC024E"/>
    <w:rsid w:val="00DC0D56"/>
    <w:rsid w:val="00DC0DFE"/>
    <w:rsid w:val="00DC1611"/>
    <w:rsid w:val="00DC1EF3"/>
    <w:rsid w:val="00DC2871"/>
    <w:rsid w:val="00DC43D1"/>
    <w:rsid w:val="00DC5E87"/>
    <w:rsid w:val="00DC65D2"/>
    <w:rsid w:val="00DC6914"/>
    <w:rsid w:val="00DC6EC7"/>
    <w:rsid w:val="00DC7579"/>
    <w:rsid w:val="00DC765F"/>
    <w:rsid w:val="00DD27E5"/>
    <w:rsid w:val="00DD3F18"/>
    <w:rsid w:val="00DD4006"/>
    <w:rsid w:val="00DD4EE5"/>
    <w:rsid w:val="00DD5857"/>
    <w:rsid w:val="00DD639F"/>
    <w:rsid w:val="00DD7226"/>
    <w:rsid w:val="00DD7F62"/>
    <w:rsid w:val="00DE05FB"/>
    <w:rsid w:val="00DE0BE5"/>
    <w:rsid w:val="00DE1009"/>
    <w:rsid w:val="00DE1B8D"/>
    <w:rsid w:val="00DE1EC5"/>
    <w:rsid w:val="00DE2135"/>
    <w:rsid w:val="00DE49A5"/>
    <w:rsid w:val="00DE4B7E"/>
    <w:rsid w:val="00DE52D5"/>
    <w:rsid w:val="00DE5304"/>
    <w:rsid w:val="00DE556D"/>
    <w:rsid w:val="00DE65A9"/>
    <w:rsid w:val="00DE7EE6"/>
    <w:rsid w:val="00DF0172"/>
    <w:rsid w:val="00DF0E20"/>
    <w:rsid w:val="00DF2132"/>
    <w:rsid w:val="00DF2E61"/>
    <w:rsid w:val="00DF46B6"/>
    <w:rsid w:val="00DF5C4B"/>
    <w:rsid w:val="00DF6F00"/>
    <w:rsid w:val="00DF77D3"/>
    <w:rsid w:val="00E00123"/>
    <w:rsid w:val="00E00590"/>
    <w:rsid w:val="00E00CFC"/>
    <w:rsid w:val="00E0132A"/>
    <w:rsid w:val="00E0177D"/>
    <w:rsid w:val="00E01F3A"/>
    <w:rsid w:val="00E0256C"/>
    <w:rsid w:val="00E029AF"/>
    <w:rsid w:val="00E03C2C"/>
    <w:rsid w:val="00E04FB8"/>
    <w:rsid w:val="00E055C2"/>
    <w:rsid w:val="00E05BAF"/>
    <w:rsid w:val="00E0681F"/>
    <w:rsid w:val="00E06C2A"/>
    <w:rsid w:val="00E06D6B"/>
    <w:rsid w:val="00E075A6"/>
    <w:rsid w:val="00E1021D"/>
    <w:rsid w:val="00E105B9"/>
    <w:rsid w:val="00E107DF"/>
    <w:rsid w:val="00E10DE7"/>
    <w:rsid w:val="00E11039"/>
    <w:rsid w:val="00E126CD"/>
    <w:rsid w:val="00E12C41"/>
    <w:rsid w:val="00E13278"/>
    <w:rsid w:val="00E1479C"/>
    <w:rsid w:val="00E14F70"/>
    <w:rsid w:val="00E156DF"/>
    <w:rsid w:val="00E15AB5"/>
    <w:rsid w:val="00E162EC"/>
    <w:rsid w:val="00E16B9F"/>
    <w:rsid w:val="00E20ADB"/>
    <w:rsid w:val="00E20B3C"/>
    <w:rsid w:val="00E20FE8"/>
    <w:rsid w:val="00E23B1A"/>
    <w:rsid w:val="00E23BA3"/>
    <w:rsid w:val="00E26210"/>
    <w:rsid w:val="00E2697E"/>
    <w:rsid w:val="00E26E7A"/>
    <w:rsid w:val="00E271B7"/>
    <w:rsid w:val="00E27FB8"/>
    <w:rsid w:val="00E27FDF"/>
    <w:rsid w:val="00E324CC"/>
    <w:rsid w:val="00E34E21"/>
    <w:rsid w:val="00E3511A"/>
    <w:rsid w:val="00E35F7F"/>
    <w:rsid w:val="00E368D9"/>
    <w:rsid w:val="00E368F1"/>
    <w:rsid w:val="00E411E0"/>
    <w:rsid w:val="00E41F6A"/>
    <w:rsid w:val="00E42232"/>
    <w:rsid w:val="00E426A6"/>
    <w:rsid w:val="00E42B56"/>
    <w:rsid w:val="00E43060"/>
    <w:rsid w:val="00E433A9"/>
    <w:rsid w:val="00E44258"/>
    <w:rsid w:val="00E451EA"/>
    <w:rsid w:val="00E45606"/>
    <w:rsid w:val="00E45DEC"/>
    <w:rsid w:val="00E45F1C"/>
    <w:rsid w:val="00E460DC"/>
    <w:rsid w:val="00E464BD"/>
    <w:rsid w:val="00E46843"/>
    <w:rsid w:val="00E478C7"/>
    <w:rsid w:val="00E50618"/>
    <w:rsid w:val="00E5126F"/>
    <w:rsid w:val="00E516A9"/>
    <w:rsid w:val="00E51B13"/>
    <w:rsid w:val="00E51FAB"/>
    <w:rsid w:val="00E5205A"/>
    <w:rsid w:val="00E52B77"/>
    <w:rsid w:val="00E53017"/>
    <w:rsid w:val="00E547F7"/>
    <w:rsid w:val="00E55063"/>
    <w:rsid w:val="00E5607D"/>
    <w:rsid w:val="00E6100D"/>
    <w:rsid w:val="00E61B59"/>
    <w:rsid w:val="00E6242D"/>
    <w:rsid w:val="00E625AC"/>
    <w:rsid w:val="00E63796"/>
    <w:rsid w:val="00E63AAC"/>
    <w:rsid w:val="00E63D79"/>
    <w:rsid w:val="00E64514"/>
    <w:rsid w:val="00E64DCD"/>
    <w:rsid w:val="00E656CD"/>
    <w:rsid w:val="00E66522"/>
    <w:rsid w:val="00E66549"/>
    <w:rsid w:val="00E67203"/>
    <w:rsid w:val="00E675B3"/>
    <w:rsid w:val="00E67930"/>
    <w:rsid w:val="00E7012D"/>
    <w:rsid w:val="00E701F1"/>
    <w:rsid w:val="00E70CF5"/>
    <w:rsid w:val="00E72A0D"/>
    <w:rsid w:val="00E73095"/>
    <w:rsid w:val="00E738BD"/>
    <w:rsid w:val="00E73F5C"/>
    <w:rsid w:val="00E74048"/>
    <w:rsid w:val="00E74061"/>
    <w:rsid w:val="00E741FB"/>
    <w:rsid w:val="00E74465"/>
    <w:rsid w:val="00E74604"/>
    <w:rsid w:val="00E74F44"/>
    <w:rsid w:val="00E764BC"/>
    <w:rsid w:val="00E7728D"/>
    <w:rsid w:val="00E7772F"/>
    <w:rsid w:val="00E77B17"/>
    <w:rsid w:val="00E805F9"/>
    <w:rsid w:val="00E80C93"/>
    <w:rsid w:val="00E818A0"/>
    <w:rsid w:val="00E826CB"/>
    <w:rsid w:val="00E82C4D"/>
    <w:rsid w:val="00E83967"/>
    <w:rsid w:val="00E83DE8"/>
    <w:rsid w:val="00E84A46"/>
    <w:rsid w:val="00E84B4C"/>
    <w:rsid w:val="00E84DD5"/>
    <w:rsid w:val="00E851C6"/>
    <w:rsid w:val="00E851DB"/>
    <w:rsid w:val="00E85A84"/>
    <w:rsid w:val="00E86F9B"/>
    <w:rsid w:val="00E874A2"/>
    <w:rsid w:val="00E875C7"/>
    <w:rsid w:val="00E87932"/>
    <w:rsid w:val="00E905BA"/>
    <w:rsid w:val="00E90600"/>
    <w:rsid w:val="00E90E0E"/>
    <w:rsid w:val="00E91046"/>
    <w:rsid w:val="00E915C6"/>
    <w:rsid w:val="00E922D4"/>
    <w:rsid w:val="00E93838"/>
    <w:rsid w:val="00E938AC"/>
    <w:rsid w:val="00E94515"/>
    <w:rsid w:val="00E95540"/>
    <w:rsid w:val="00E955EB"/>
    <w:rsid w:val="00E9639F"/>
    <w:rsid w:val="00E96854"/>
    <w:rsid w:val="00E96B42"/>
    <w:rsid w:val="00EA098D"/>
    <w:rsid w:val="00EA0AB2"/>
    <w:rsid w:val="00EA2488"/>
    <w:rsid w:val="00EA2AA9"/>
    <w:rsid w:val="00EA2E7C"/>
    <w:rsid w:val="00EA3632"/>
    <w:rsid w:val="00EA40B3"/>
    <w:rsid w:val="00EA558E"/>
    <w:rsid w:val="00EA5B85"/>
    <w:rsid w:val="00EA62F4"/>
    <w:rsid w:val="00EA6686"/>
    <w:rsid w:val="00EA7525"/>
    <w:rsid w:val="00EB0597"/>
    <w:rsid w:val="00EB126A"/>
    <w:rsid w:val="00EB224D"/>
    <w:rsid w:val="00EB480F"/>
    <w:rsid w:val="00EB4CDB"/>
    <w:rsid w:val="00EB5353"/>
    <w:rsid w:val="00EB591D"/>
    <w:rsid w:val="00EB59CC"/>
    <w:rsid w:val="00EB784C"/>
    <w:rsid w:val="00EB7B90"/>
    <w:rsid w:val="00EB7E8F"/>
    <w:rsid w:val="00EC088A"/>
    <w:rsid w:val="00EC1118"/>
    <w:rsid w:val="00EC113F"/>
    <w:rsid w:val="00EC2DEF"/>
    <w:rsid w:val="00EC3683"/>
    <w:rsid w:val="00EC3A9D"/>
    <w:rsid w:val="00EC3E57"/>
    <w:rsid w:val="00EC515E"/>
    <w:rsid w:val="00EC5D61"/>
    <w:rsid w:val="00EC5F79"/>
    <w:rsid w:val="00EC73DD"/>
    <w:rsid w:val="00EC7C59"/>
    <w:rsid w:val="00ED05D0"/>
    <w:rsid w:val="00ED112A"/>
    <w:rsid w:val="00ED12E9"/>
    <w:rsid w:val="00ED15BA"/>
    <w:rsid w:val="00ED362A"/>
    <w:rsid w:val="00ED3A99"/>
    <w:rsid w:val="00ED3C07"/>
    <w:rsid w:val="00ED4BA5"/>
    <w:rsid w:val="00ED6AF5"/>
    <w:rsid w:val="00ED73B4"/>
    <w:rsid w:val="00ED7813"/>
    <w:rsid w:val="00ED7CEC"/>
    <w:rsid w:val="00EE2574"/>
    <w:rsid w:val="00EE25E8"/>
    <w:rsid w:val="00EE2EA8"/>
    <w:rsid w:val="00EE45D9"/>
    <w:rsid w:val="00EE6F45"/>
    <w:rsid w:val="00EE6F9F"/>
    <w:rsid w:val="00EF0189"/>
    <w:rsid w:val="00EF1009"/>
    <w:rsid w:val="00EF1977"/>
    <w:rsid w:val="00EF1CAC"/>
    <w:rsid w:val="00EF31D4"/>
    <w:rsid w:val="00EF3604"/>
    <w:rsid w:val="00EF3BF2"/>
    <w:rsid w:val="00EF4BB4"/>
    <w:rsid w:val="00EF4CD2"/>
    <w:rsid w:val="00EF56F6"/>
    <w:rsid w:val="00EF611C"/>
    <w:rsid w:val="00EF6982"/>
    <w:rsid w:val="00EF7555"/>
    <w:rsid w:val="00EF7B63"/>
    <w:rsid w:val="00F00F97"/>
    <w:rsid w:val="00F030FE"/>
    <w:rsid w:val="00F03524"/>
    <w:rsid w:val="00F04164"/>
    <w:rsid w:val="00F04CF5"/>
    <w:rsid w:val="00F04EB3"/>
    <w:rsid w:val="00F06782"/>
    <w:rsid w:val="00F07BE6"/>
    <w:rsid w:val="00F104EF"/>
    <w:rsid w:val="00F10A9E"/>
    <w:rsid w:val="00F10B59"/>
    <w:rsid w:val="00F11C7C"/>
    <w:rsid w:val="00F120FB"/>
    <w:rsid w:val="00F12D22"/>
    <w:rsid w:val="00F13926"/>
    <w:rsid w:val="00F13B8F"/>
    <w:rsid w:val="00F14596"/>
    <w:rsid w:val="00F157A3"/>
    <w:rsid w:val="00F15E6F"/>
    <w:rsid w:val="00F16C4A"/>
    <w:rsid w:val="00F1775B"/>
    <w:rsid w:val="00F17773"/>
    <w:rsid w:val="00F22633"/>
    <w:rsid w:val="00F235B1"/>
    <w:rsid w:val="00F23A21"/>
    <w:rsid w:val="00F23C94"/>
    <w:rsid w:val="00F24537"/>
    <w:rsid w:val="00F2503F"/>
    <w:rsid w:val="00F25B85"/>
    <w:rsid w:val="00F25CC9"/>
    <w:rsid w:val="00F268CC"/>
    <w:rsid w:val="00F26AC4"/>
    <w:rsid w:val="00F27487"/>
    <w:rsid w:val="00F2748D"/>
    <w:rsid w:val="00F30DD8"/>
    <w:rsid w:val="00F31710"/>
    <w:rsid w:val="00F32034"/>
    <w:rsid w:val="00F3212B"/>
    <w:rsid w:val="00F3307D"/>
    <w:rsid w:val="00F33320"/>
    <w:rsid w:val="00F34AF9"/>
    <w:rsid w:val="00F356D3"/>
    <w:rsid w:val="00F364AD"/>
    <w:rsid w:val="00F40421"/>
    <w:rsid w:val="00F41526"/>
    <w:rsid w:val="00F418C9"/>
    <w:rsid w:val="00F432C3"/>
    <w:rsid w:val="00F43714"/>
    <w:rsid w:val="00F437AB"/>
    <w:rsid w:val="00F43C63"/>
    <w:rsid w:val="00F4604F"/>
    <w:rsid w:val="00F4676D"/>
    <w:rsid w:val="00F4726B"/>
    <w:rsid w:val="00F47497"/>
    <w:rsid w:val="00F500E7"/>
    <w:rsid w:val="00F50779"/>
    <w:rsid w:val="00F50D32"/>
    <w:rsid w:val="00F51373"/>
    <w:rsid w:val="00F519B6"/>
    <w:rsid w:val="00F51DD1"/>
    <w:rsid w:val="00F52775"/>
    <w:rsid w:val="00F52BAB"/>
    <w:rsid w:val="00F534A4"/>
    <w:rsid w:val="00F547A3"/>
    <w:rsid w:val="00F54942"/>
    <w:rsid w:val="00F55924"/>
    <w:rsid w:val="00F559A3"/>
    <w:rsid w:val="00F55C50"/>
    <w:rsid w:val="00F55EEF"/>
    <w:rsid w:val="00F56831"/>
    <w:rsid w:val="00F57833"/>
    <w:rsid w:val="00F60564"/>
    <w:rsid w:val="00F608B5"/>
    <w:rsid w:val="00F60980"/>
    <w:rsid w:val="00F60F3F"/>
    <w:rsid w:val="00F61058"/>
    <w:rsid w:val="00F614EE"/>
    <w:rsid w:val="00F61765"/>
    <w:rsid w:val="00F6214A"/>
    <w:rsid w:val="00F62F8B"/>
    <w:rsid w:val="00F63266"/>
    <w:rsid w:val="00F63DCD"/>
    <w:rsid w:val="00F64C04"/>
    <w:rsid w:val="00F655B7"/>
    <w:rsid w:val="00F65EE3"/>
    <w:rsid w:val="00F6695D"/>
    <w:rsid w:val="00F6799F"/>
    <w:rsid w:val="00F70F09"/>
    <w:rsid w:val="00F711DB"/>
    <w:rsid w:val="00F7125E"/>
    <w:rsid w:val="00F71FFB"/>
    <w:rsid w:val="00F72098"/>
    <w:rsid w:val="00F72E13"/>
    <w:rsid w:val="00F72ECD"/>
    <w:rsid w:val="00F75331"/>
    <w:rsid w:val="00F7568A"/>
    <w:rsid w:val="00F757A5"/>
    <w:rsid w:val="00F76252"/>
    <w:rsid w:val="00F76A9D"/>
    <w:rsid w:val="00F77590"/>
    <w:rsid w:val="00F77637"/>
    <w:rsid w:val="00F77684"/>
    <w:rsid w:val="00F77C27"/>
    <w:rsid w:val="00F77CB1"/>
    <w:rsid w:val="00F77D3E"/>
    <w:rsid w:val="00F80C9D"/>
    <w:rsid w:val="00F80E9D"/>
    <w:rsid w:val="00F817F2"/>
    <w:rsid w:val="00F83195"/>
    <w:rsid w:val="00F8334C"/>
    <w:rsid w:val="00F839C2"/>
    <w:rsid w:val="00F84375"/>
    <w:rsid w:val="00F84B5B"/>
    <w:rsid w:val="00F84E37"/>
    <w:rsid w:val="00F85572"/>
    <w:rsid w:val="00F85897"/>
    <w:rsid w:val="00F903A4"/>
    <w:rsid w:val="00F9108E"/>
    <w:rsid w:val="00F916E0"/>
    <w:rsid w:val="00F91CEB"/>
    <w:rsid w:val="00F92373"/>
    <w:rsid w:val="00F926E3"/>
    <w:rsid w:val="00F93339"/>
    <w:rsid w:val="00F93A9F"/>
    <w:rsid w:val="00F940F4"/>
    <w:rsid w:val="00F9448E"/>
    <w:rsid w:val="00F94983"/>
    <w:rsid w:val="00F94AC8"/>
    <w:rsid w:val="00F94D01"/>
    <w:rsid w:val="00F952D3"/>
    <w:rsid w:val="00F95AA4"/>
    <w:rsid w:val="00F96256"/>
    <w:rsid w:val="00F9680C"/>
    <w:rsid w:val="00F9683A"/>
    <w:rsid w:val="00F969E5"/>
    <w:rsid w:val="00F978B3"/>
    <w:rsid w:val="00F97967"/>
    <w:rsid w:val="00F97B4D"/>
    <w:rsid w:val="00FA07E8"/>
    <w:rsid w:val="00FA100D"/>
    <w:rsid w:val="00FA1398"/>
    <w:rsid w:val="00FA1939"/>
    <w:rsid w:val="00FA33D4"/>
    <w:rsid w:val="00FA45EB"/>
    <w:rsid w:val="00FA4686"/>
    <w:rsid w:val="00FA46F8"/>
    <w:rsid w:val="00FA6F31"/>
    <w:rsid w:val="00FB00CB"/>
    <w:rsid w:val="00FB03DB"/>
    <w:rsid w:val="00FB0439"/>
    <w:rsid w:val="00FB0E19"/>
    <w:rsid w:val="00FB1EC5"/>
    <w:rsid w:val="00FB2486"/>
    <w:rsid w:val="00FB3392"/>
    <w:rsid w:val="00FB4061"/>
    <w:rsid w:val="00FB482B"/>
    <w:rsid w:val="00FB5171"/>
    <w:rsid w:val="00FB540D"/>
    <w:rsid w:val="00FB57F8"/>
    <w:rsid w:val="00FB5D06"/>
    <w:rsid w:val="00FB6CAD"/>
    <w:rsid w:val="00FC0048"/>
    <w:rsid w:val="00FC162E"/>
    <w:rsid w:val="00FC1E54"/>
    <w:rsid w:val="00FC29CB"/>
    <w:rsid w:val="00FC2B0E"/>
    <w:rsid w:val="00FC3108"/>
    <w:rsid w:val="00FC32BE"/>
    <w:rsid w:val="00FC6288"/>
    <w:rsid w:val="00FC6A8B"/>
    <w:rsid w:val="00FC6F1D"/>
    <w:rsid w:val="00FD08F4"/>
    <w:rsid w:val="00FD136B"/>
    <w:rsid w:val="00FD1479"/>
    <w:rsid w:val="00FD2BD8"/>
    <w:rsid w:val="00FD5F77"/>
    <w:rsid w:val="00FD6031"/>
    <w:rsid w:val="00FD7616"/>
    <w:rsid w:val="00FE01CF"/>
    <w:rsid w:val="00FE0F59"/>
    <w:rsid w:val="00FE19B0"/>
    <w:rsid w:val="00FE36AD"/>
    <w:rsid w:val="00FE38A8"/>
    <w:rsid w:val="00FE3FC5"/>
    <w:rsid w:val="00FE450E"/>
    <w:rsid w:val="00FE4D1A"/>
    <w:rsid w:val="00FE5643"/>
    <w:rsid w:val="00FE65B1"/>
    <w:rsid w:val="00FE65C0"/>
    <w:rsid w:val="00FE6A31"/>
    <w:rsid w:val="00FE6C85"/>
    <w:rsid w:val="00FF0625"/>
    <w:rsid w:val="00FF203B"/>
    <w:rsid w:val="00FF216F"/>
    <w:rsid w:val="00FF2D14"/>
    <w:rsid w:val="00FF2E19"/>
    <w:rsid w:val="00FF522A"/>
    <w:rsid w:val="00FF559D"/>
    <w:rsid w:val="00FF714A"/>
    <w:rsid w:val="00FF72FB"/>
    <w:rsid w:val="00FF79DB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2259EE3C"/>
  <w14:defaultImageDpi w14:val="32767"/>
  <w15:chartTrackingRefBased/>
  <w15:docId w15:val="{82F8EB24-EBA7-474C-96E1-9F97C064E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4E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04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04C"/>
    <w:rPr>
      <w:rFonts w:ascii="Times New Roman" w:eastAsia="MS Mincho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5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F84"/>
    <w:rPr>
      <w:rFonts w:eastAsia="MS Minch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B5F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F84"/>
    <w:rPr>
      <w:rFonts w:eastAsia="MS Mincho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2203A8"/>
  </w:style>
  <w:style w:type="paragraph" w:customStyle="1" w:styleId="EndNoteBibliographyTitle">
    <w:name w:val="EndNote Bibliography Title"/>
    <w:basedOn w:val="Normal"/>
    <w:link w:val="EndNoteBibliographyTitleChar"/>
    <w:rsid w:val="002E48C8"/>
    <w:pPr>
      <w:spacing w:after="0"/>
      <w:jc w:val="center"/>
    </w:pPr>
    <w:rPr>
      <w:rFonts w:ascii="Calibri" w:hAnsi="Calibri" w:cs="Calibri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E48C8"/>
    <w:rPr>
      <w:rFonts w:ascii="Calibri" w:hAnsi="Calibri" w:cs="Calibri"/>
      <w:sz w:val="22"/>
      <w:szCs w:val="22"/>
    </w:rPr>
  </w:style>
  <w:style w:type="paragraph" w:customStyle="1" w:styleId="EndNoteBibliography">
    <w:name w:val="EndNote Bibliography"/>
    <w:basedOn w:val="Normal"/>
    <w:link w:val="EndNoteBibliographyChar"/>
    <w:rsid w:val="002E48C8"/>
    <w:pPr>
      <w:spacing w:line="240" w:lineRule="auto"/>
    </w:pPr>
    <w:rPr>
      <w:rFonts w:ascii="Calibri" w:hAnsi="Calibri" w:cs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2E48C8"/>
    <w:rPr>
      <w:rFonts w:ascii="Calibri" w:hAnsi="Calibri" w:cs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E5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5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E5304"/>
    <w:rPr>
      <w:rFonts w:eastAsia="MS Minch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304"/>
    <w:rPr>
      <w:rFonts w:eastAsia="MS Mincho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CC0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07C91"/>
    <w:rPr>
      <w:color w:val="0563C1" w:themeColor="hyperlink"/>
      <w:u w:val="single"/>
    </w:rPr>
  </w:style>
  <w:style w:type="paragraph" w:customStyle="1" w:styleId="Default">
    <w:name w:val="Default"/>
    <w:rsid w:val="007C02F0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PlaceholderText">
    <w:name w:val="Placeholder Text"/>
    <w:basedOn w:val="DefaultParagraphFont"/>
    <w:uiPriority w:val="99"/>
    <w:semiHidden/>
    <w:rsid w:val="007C02F0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CF0687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F5239"/>
  </w:style>
  <w:style w:type="character" w:styleId="Emphasis">
    <w:name w:val="Emphasis"/>
    <w:basedOn w:val="DefaultParagraphFont"/>
    <w:uiPriority w:val="20"/>
    <w:qFormat/>
    <w:rsid w:val="00855E5F"/>
    <w:rPr>
      <w:i/>
      <w:iCs/>
    </w:rPr>
  </w:style>
  <w:style w:type="table" w:styleId="GridTable1Light">
    <w:name w:val="Grid Table 1 Light"/>
    <w:basedOn w:val="TableNormal"/>
    <w:uiPriority w:val="46"/>
    <w:rsid w:val="00545A6F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9">
    <w:name w:val="Pa9"/>
    <w:basedOn w:val="Normal"/>
    <w:next w:val="Normal"/>
    <w:uiPriority w:val="99"/>
    <w:rsid w:val="00AB61F6"/>
    <w:pPr>
      <w:autoSpaceDE w:val="0"/>
      <w:autoSpaceDN w:val="0"/>
      <w:adjustRightInd w:val="0"/>
      <w:spacing w:after="0" w:line="461" w:lineRule="atLeast"/>
    </w:pPr>
    <w:rPr>
      <w:rFonts w:ascii="Avenir Heavy" w:eastAsia="Calibri" w:hAnsi="Avenir Heavy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F55924"/>
    <w:pPr>
      <w:ind w:left="720"/>
      <w:contextualSpacing/>
    </w:pPr>
  </w:style>
  <w:style w:type="paragraph" w:styleId="Revision">
    <w:name w:val="Revision"/>
    <w:hidden/>
    <w:uiPriority w:val="99"/>
    <w:semiHidden/>
    <w:rsid w:val="00D006B0"/>
    <w:rPr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rsid w:val="00FD5F77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CD268E"/>
    <w:pPr>
      <w:spacing w:after="0" w:line="240" w:lineRule="auto"/>
    </w:pPr>
    <w:rPr>
      <w:rFonts w:ascii="Calibri" w:eastAsiaTheme="minorHAns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CD268E"/>
    <w:rPr>
      <w:rFonts w:ascii="Calibri" w:eastAsiaTheme="minorHAnsi" w:hAnsi="Calibri" w:cs="Calibri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2F5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45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7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4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5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18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6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3" Type="http://schemas.openxmlformats.org/officeDocument/2006/relationships/customXml" Target="../customXml/item3.xml"/><Relationship Id="rId21" Type="http://schemas.openxmlformats.org/officeDocument/2006/relationships/image" Target="media/image8.tmp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tm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jpg"/><Relationship Id="rId23" Type="http://schemas.openxmlformats.org/officeDocument/2006/relationships/image" Target="media/image10.tmp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tmp"/><Relationship Id="rId22" Type="http://schemas.openxmlformats.org/officeDocument/2006/relationships/image" Target="media/image9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BEEEEE04F41941A7C46BB38EA3022D" ma:contentTypeVersion="8" ma:contentTypeDescription="Create a new document." ma:contentTypeScope="" ma:versionID="dd2dd4b6a3679f917aaa459722a998e1">
  <xsd:schema xmlns:xsd="http://www.w3.org/2001/XMLSchema" xmlns:xs="http://www.w3.org/2001/XMLSchema" xmlns:p="http://schemas.microsoft.com/office/2006/metadata/properties" xmlns:ns3="b4df97e1-7f79-4d26-b9d1-fab6c2efe46c" targetNamespace="http://schemas.microsoft.com/office/2006/metadata/properties" ma:root="true" ma:fieldsID="19efd3a95175eed773a99663f1dab290" ns3:_="">
    <xsd:import namespace="b4df97e1-7f79-4d26-b9d1-fab6c2efe46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f97e1-7f79-4d26-b9d1-fab6c2efe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460053-0252-4BDD-B2C8-BD68567777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EFBD7B-45EA-4C8C-A8D9-8DF8C44440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B087FD-AC4A-4BC7-A949-C60650B8DC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3D6A55-B505-4EA2-B5F9-0C6220E7F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df97e1-7f79-4d26-b9d1-fab6c2efe4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2363</TotalTime>
  <Pages>22</Pages>
  <Words>3426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22910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BioC</dc:creator>
  <cp:keywords/>
  <dc:description/>
  <cp:lastModifiedBy>BioConnections</cp:lastModifiedBy>
  <cp:revision>47</cp:revision>
  <cp:lastPrinted>2020-03-09T22:20:00Z</cp:lastPrinted>
  <dcterms:created xsi:type="dcterms:W3CDTF">2020-09-16T01:18:00Z</dcterms:created>
  <dcterms:modified xsi:type="dcterms:W3CDTF">2021-01-20T20:36:00Z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0x0101004BBEEEEE04F41941A7C46BB38EA3022D</vt:lpwstr>
  </property>
</Properties>
</file>