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1BDFC" w14:textId="77777777" w:rsidR="005E7F15" w:rsidRPr="007D5284" w:rsidRDefault="005E7F15" w:rsidP="00136F2B">
      <w:pPr>
        <w:spacing w:line="360" w:lineRule="auto"/>
        <w:rPr>
          <w:rFonts w:ascii="Arial" w:hAnsi="Arial" w:cs="Arial"/>
          <w:b/>
          <w:bCs/>
        </w:rPr>
      </w:pPr>
      <w:r w:rsidRPr="007D5284">
        <w:rPr>
          <w:rFonts w:ascii="Arial" w:hAnsi="Arial" w:cs="Arial"/>
          <w:b/>
          <w:bCs/>
        </w:rPr>
        <w:t>Supplementary Information</w:t>
      </w:r>
    </w:p>
    <w:p w14:paraId="6976FFC0" w14:textId="77777777" w:rsidR="00C4243A" w:rsidRPr="007D5284" w:rsidRDefault="00C4243A" w:rsidP="00C4243A">
      <w:pPr>
        <w:spacing w:line="360" w:lineRule="auto"/>
        <w:jc w:val="center"/>
        <w:rPr>
          <w:rFonts w:ascii="Arial" w:hAnsi="Arial" w:cs="Arial"/>
          <w:b/>
          <w:bCs/>
        </w:rPr>
      </w:pPr>
    </w:p>
    <w:p w14:paraId="2BFE701C" w14:textId="77777777" w:rsidR="00191C10" w:rsidRPr="00DB006A" w:rsidRDefault="00191C10" w:rsidP="00191C10">
      <w:pPr>
        <w:rPr>
          <w:rFonts w:ascii="Arial" w:hAnsi="Arial" w:cs="Arial"/>
        </w:rPr>
      </w:pPr>
      <w:r w:rsidRPr="004A0C47">
        <w:rPr>
          <w:rFonts w:ascii="Arial" w:hAnsi="Arial" w:cs="Arial"/>
          <w:b/>
          <w:bCs/>
        </w:rPr>
        <w:t>St. Jude Cloud</w:t>
      </w:r>
      <w:r w:rsidRPr="00DB006A">
        <w:rPr>
          <w:rFonts w:ascii="Arial" w:hAnsi="Arial" w:cs="Arial"/>
          <w:color w:val="1D1C1D"/>
          <w:shd w:val="clear" w:color="auto" w:fill="F8F8F8"/>
        </w:rPr>
        <w:t>—</w:t>
      </w:r>
      <w:r w:rsidRPr="004A0C47">
        <w:rPr>
          <w:rFonts w:ascii="Arial" w:hAnsi="Arial" w:cs="Arial"/>
          <w:b/>
          <w:bCs/>
        </w:rPr>
        <w:t xml:space="preserve">a </w:t>
      </w:r>
      <w:r w:rsidRPr="001F7C98">
        <w:rPr>
          <w:rFonts w:ascii="Arial" w:hAnsi="Arial" w:cs="Arial"/>
          <w:b/>
          <w:bCs/>
        </w:rPr>
        <w:t xml:space="preserve">Pediatric Cancer </w:t>
      </w:r>
      <w:r w:rsidRPr="00D95155">
        <w:rPr>
          <w:rFonts w:ascii="Arial" w:hAnsi="Arial" w:cs="Arial"/>
          <w:b/>
          <w:bCs/>
        </w:rPr>
        <w:t>G</w:t>
      </w:r>
      <w:r w:rsidRPr="00F57ACB">
        <w:rPr>
          <w:rFonts w:ascii="Arial" w:hAnsi="Arial" w:cs="Arial"/>
          <w:b/>
          <w:bCs/>
        </w:rPr>
        <w:t xml:space="preserve">enomic </w:t>
      </w:r>
      <w:r w:rsidRPr="00491EA1">
        <w:rPr>
          <w:rFonts w:ascii="Arial" w:hAnsi="Arial" w:cs="Arial"/>
          <w:b/>
          <w:bCs/>
        </w:rPr>
        <w:t>Data Sharing Ecosystem</w:t>
      </w:r>
    </w:p>
    <w:p w14:paraId="5B1F99D8" w14:textId="77777777" w:rsidR="00191C10" w:rsidRPr="004A0C47" w:rsidRDefault="00191C10" w:rsidP="00191C10">
      <w:pPr>
        <w:spacing w:line="360" w:lineRule="auto"/>
        <w:rPr>
          <w:rFonts w:ascii="Arial" w:hAnsi="Arial" w:cs="Arial"/>
        </w:rPr>
      </w:pPr>
    </w:p>
    <w:p w14:paraId="665DCBBB" w14:textId="77777777" w:rsidR="00191C10" w:rsidRPr="004A0C47" w:rsidRDefault="00191C10" w:rsidP="00191C10">
      <w:pPr>
        <w:spacing w:line="360" w:lineRule="auto"/>
        <w:rPr>
          <w:rFonts w:ascii="Arial" w:hAnsi="Arial" w:cs="Arial"/>
        </w:rPr>
      </w:pPr>
      <w:bookmarkStart w:id="0" w:name="_Hlk48755343"/>
      <w:bookmarkStart w:id="1" w:name="_Hlk47095403"/>
      <w:r w:rsidRPr="00D95155">
        <w:rPr>
          <w:rFonts w:ascii="Arial" w:hAnsi="Arial" w:cs="Arial"/>
        </w:rPr>
        <w:t>Clay McLeod</w:t>
      </w:r>
      <w:r w:rsidRPr="00F57ACB">
        <w:rPr>
          <w:rFonts w:ascii="Arial" w:hAnsi="Arial" w:cs="Arial"/>
          <w:vertAlign w:val="superscript"/>
        </w:rPr>
        <w:t>1</w:t>
      </w:r>
      <w:r w:rsidRPr="00F57ACB">
        <w:rPr>
          <w:rFonts w:ascii="Arial" w:hAnsi="Arial" w:cs="Arial"/>
        </w:rPr>
        <w:t>*, Alexander M</w:t>
      </w:r>
      <w:r w:rsidRPr="00491EA1">
        <w:rPr>
          <w:rFonts w:ascii="Arial" w:hAnsi="Arial" w:cs="Arial"/>
        </w:rPr>
        <w:t>. Gout</w:t>
      </w:r>
      <w:r w:rsidRPr="00491EA1">
        <w:rPr>
          <w:rFonts w:ascii="Arial" w:hAnsi="Arial" w:cs="Arial"/>
          <w:vertAlign w:val="superscript"/>
        </w:rPr>
        <w:t>1</w:t>
      </w:r>
      <w:r w:rsidRPr="004A0C47">
        <w:rPr>
          <w:rFonts w:ascii="Arial" w:hAnsi="Arial" w:cs="Arial"/>
        </w:rPr>
        <w:t>*, Xin Zhou</w:t>
      </w:r>
      <w:r w:rsidRPr="004A0C47">
        <w:rPr>
          <w:rFonts w:ascii="Arial" w:hAnsi="Arial" w:cs="Arial"/>
          <w:vertAlign w:val="superscript"/>
        </w:rPr>
        <w:t>1</w:t>
      </w:r>
      <w:r w:rsidRPr="004A0C47">
        <w:rPr>
          <w:rFonts w:ascii="Arial" w:hAnsi="Arial" w:cs="Arial"/>
        </w:rPr>
        <w:t xml:space="preserve">, </w:t>
      </w:r>
      <w:bookmarkStart w:id="2" w:name="_Hlk55917373"/>
      <w:r w:rsidRPr="004A0C47">
        <w:rPr>
          <w:rFonts w:ascii="Arial" w:hAnsi="Arial" w:cs="Arial"/>
        </w:rPr>
        <w:t>Andrew Thrasher</w:t>
      </w:r>
      <w:r w:rsidRPr="004A0C47">
        <w:rPr>
          <w:rFonts w:ascii="Arial" w:hAnsi="Arial" w:cs="Arial"/>
          <w:vertAlign w:val="superscript"/>
        </w:rPr>
        <w:t>1</w:t>
      </w:r>
      <w:r w:rsidRPr="004A0C47">
        <w:rPr>
          <w:rFonts w:ascii="Arial" w:hAnsi="Arial" w:cs="Arial"/>
        </w:rPr>
        <w:t xml:space="preserve">, </w:t>
      </w:r>
      <w:proofErr w:type="spellStart"/>
      <w:r w:rsidRPr="004A0C47">
        <w:rPr>
          <w:rFonts w:ascii="Arial" w:hAnsi="Arial" w:cs="Arial"/>
        </w:rPr>
        <w:t>Delaram</w:t>
      </w:r>
      <w:proofErr w:type="spellEnd"/>
      <w:r w:rsidRPr="004A0C47">
        <w:rPr>
          <w:rFonts w:ascii="Arial" w:hAnsi="Arial" w:cs="Arial"/>
        </w:rPr>
        <w:t xml:space="preserve"> Rahbarinia</w:t>
      </w:r>
      <w:r w:rsidRPr="004A0C47">
        <w:rPr>
          <w:rFonts w:ascii="Arial" w:hAnsi="Arial" w:cs="Arial"/>
          <w:vertAlign w:val="superscript"/>
        </w:rPr>
        <w:t>1</w:t>
      </w:r>
      <w:r w:rsidRPr="004A0C47">
        <w:rPr>
          <w:rFonts w:ascii="Arial" w:hAnsi="Arial" w:cs="Arial"/>
        </w:rPr>
        <w:t>, Samuel W. Brady</w:t>
      </w:r>
      <w:r w:rsidRPr="004A0C47">
        <w:rPr>
          <w:rFonts w:ascii="Arial" w:hAnsi="Arial" w:cs="Arial"/>
          <w:vertAlign w:val="superscript"/>
        </w:rPr>
        <w:t>1</w:t>
      </w:r>
      <w:r w:rsidRPr="004A0C47">
        <w:rPr>
          <w:rFonts w:ascii="Arial" w:hAnsi="Arial" w:cs="Arial"/>
        </w:rPr>
        <w:t>, Michael Macias</w:t>
      </w:r>
      <w:r w:rsidRPr="004A0C47">
        <w:rPr>
          <w:rFonts w:ascii="Arial" w:hAnsi="Arial" w:cs="Arial"/>
          <w:vertAlign w:val="superscript"/>
        </w:rPr>
        <w:t>1</w:t>
      </w:r>
      <w:r w:rsidRPr="004A0C47">
        <w:rPr>
          <w:rFonts w:ascii="Arial" w:hAnsi="Arial" w:cs="Arial"/>
        </w:rPr>
        <w:t xml:space="preserve">, </w:t>
      </w:r>
      <w:bookmarkEnd w:id="2"/>
      <w:r w:rsidRPr="004A0C47">
        <w:rPr>
          <w:rFonts w:ascii="Arial" w:hAnsi="Arial" w:cs="Arial"/>
        </w:rPr>
        <w:t>Kirby Birch</w:t>
      </w:r>
      <w:r w:rsidRPr="004A0C47">
        <w:rPr>
          <w:rFonts w:ascii="Arial" w:hAnsi="Arial" w:cs="Arial"/>
          <w:vertAlign w:val="superscript"/>
        </w:rPr>
        <w:t>1</w:t>
      </w:r>
      <w:r w:rsidRPr="004A0C47">
        <w:rPr>
          <w:rFonts w:ascii="Arial" w:hAnsi="Arial" w:cs="Arial"/>
        </w:rPr>
        <w:t>, David Finkelstein</w:t>
      </w:r>
      <w:r w:rsidRPr="004A0C47">
        <w:rPr>
          <w:rFonts w:ascii="Arial" w:hAnsi="Arial" w:cs="Arial"/>
          <w:vertAlign w:val="superscript"/>
        </w:rPr>
        <w:t>1</w:t>
      </w:r>
      <w:r w:rsidRPr="004A0C47">
        <w:rPr>
          <w:rFonts w:ascii="Arial" w:hAnsi="Arial" w:cs="Arial"/>
        </w:rPr>
        <w:t>, Jobin Sunny</w:t>
      </w:r>
      <w:r w:rsidRPr="004A0C47">
        <w:rPr>
          <w:rFonts w:ascii="Arial" w:hAnsi="Arial" w:cs="Arial"/>
          <w:vertAlign w:val="superscript"/>
        </w:rPr>
        <w:t>1</w:t>
      </w:r>
      <w:r w:rsidRPr="004A0C47">
        <w:rPr>
          <w:rFonts w:ascii="Arial" w:hAnsi="Arial" w:cs="Arial"/>
        </w:rPr>
        <w:t>, Rahul Mudunuri</w:t>
      </w:r>
      <w:r w:rsidRPr="004A0C47">
        <w:rPr>
          <w:rFonts w:ascii="Arial" w:hAnsi="Arial" w:cs="Arial"/>
          <w:vertAlign w:val="superscript"/>
        </w:rPr>
        <w:t>1</w:t>
      </w:r>
      <w:r w:rsidRPr="004A0C47">
        <w:rPr>
          <w:rFonts w:ascii="Arial" w:hAnsi="Arial" w:cs="Arial"/>
        </w:rPr>
        <w:t>, Brent A. Orr</w:t>
      </w:r>
      <w:r w:rsidRPr="004A0C47">
        <w:rPr>
          <w:rFonts w:ascii="Arial" w:hAnsi="Arial" w:cs="Arial"/>
          <w:vertAlign w:val="superscript"/>
        </w:rPr>
        <w:t>2</w:t>
      </w:r>
      <w:r w:rsidRPr="004A0C47">
        <w:rPr>
          <w:rFonts w:ascii="Arial" w:hAnsi="Arial" w:cs="Arial"/>
        </w:rPr>
        <w:t>, Madison Treadway</w:t>
      </w:r>
      <w:r w:rsidRPr="004A0C47">
        <w:rPr>
          <w:rFonts w:ascii="Arial" w:hAnsi="Arial" w:cs="Arial"/>
          <w:vertAlign w:val="superscript"/>
        </w:rPr>
        <w:t>1</w:t>
      </w:r>
      <w:r w:rsidRPr="004A0C47">
        <w:rPr>
          <w:rFonts w:ascii="Arial" w:hAnsi="Arial" w:cs="Arial"/>
        </w:rPr>
        <w:t>, Bob Davidson</w:t>
      </w:r>
      <w:r w:rsidRPr="004A0C47">
        <w:rPr>
          <w:rFonts w:ascii="Arial" w:hAnsi="Arial" w:cs="Arial"/>
          <w:vertAlign w:val="superscript"/>
        </w:rPr>
        <w:t>3</w:t>
      </w:r>
      <w:r w:rsidRPr="004A0C47">
        <w:rPr>
          <w:rFonts w:ascii="Arial" w:hAnsi="Arial" w:cs="Arial"/>
        </w:rPr>
        <w:t xml:space="preserve">, Tracy </w:t>
      </w:r>
      <w:r>
        <w:rPr>
          <w:rFonts w:ascii="Arial" w:hAnsi="Arial" w:cs="Arial"/>
        </w:rPr>
        <w:t xml:space="preserve">K. </w:t>
      </w:r>
      <w:r w:rsidRPr="004A0C47">
        <w:rPr>
          <w:rFonts w:ascii="Arial" w:hAnsi="Arial" w:cs="Arial"/>
        </w:rPr>
        <w:t>Ard</w:t>
      </w:r>
      <w:r w:rsidRPr="004A0C47">
        <w:rPr>
          <w:rFonts w:ascii="Arial" w:hAnsi="Arial" w:cs="Arial"/>
          <w:vertAlign w:val="superscript"/>
        </w:rPr>
        <w:t>3</w:t>
      </w:r>
      <w:r w:rsidRPr="004A0C47">
        <w:rPr>
          <w:rFonts w:ascii="Arial" w:hAnsi="Arial" w:cs="Arial"/>
        </w:rPr>
        <w:t xml:space="preserve">, </w:t>
      </w:r>
      <w:bookmarkStart w:id="3" w:name="_Hlk55917305"/>
      <w:r w:rsidRPr="004A0C47">
        <w:rPr>
          <w:rFonts w:ascii="Arial" w:hAnsi="Arial" w:cs="Arial"/>
        </w:rPr>
        <w:t>Arthur Chiao</w:t>
      </w:r>
      <w:r w:rsidRPr="004A0C47">
        <w:rPr>
          <w:rFonts w:ascii="Arial" w:hAnsi="Arial" w:cs="Arial"/>
          <w:vertAlign w:val="superscript"/>
        </w:rPr>
        <w:t>1</w:t>
      </w:r>
      <w:bookmarkEnd w:id="3"/>
      <w:r w:rsidRPr="004A0C47">
        <w:rPr>
          <w:rFonts w:ascii="Arial" w:hAnsi="Arial" w:cs="Arial"/>
        </w:rPr>
        <w:t>, Andrew Swistak</w:t>
      </w:r>
      <w:r w:rsidRPr="004A0C47">
        <w:rPr>
          <w:rFonts w:ascii="Arial" w:hAnsi="Arial" w:cs="Arial"/>
          <w:vertAlign w:val="superscript"/>
        </w:rPr>
        <w:t>1</w:t>
      </w:r>
      <w:r w:rsidRPr="004A0C47">
        <w:rPr>
          <w:rFonts w:ascii="Arial" w:hAnsi="Arial" w:cs="Arial"/>
        </w:rPr>
        <w:t>, Stephanie Wiggins</w:t>
      </w:r>
      <w:r w:rsidRPr="004A0C47">
        <w:rPr>
          <w:rFonts w:ascii="Arial" w:hAnsi="Arial" w:cs="Arial"/>
          <w:vertAlign w:val="superscript"/>
        </w:rPr>
        <w:t>1</w:t>
      </w:r>
      <w:r w:rsidRPr="004A0C47">
        <w:rPr>
          <w:rFonts w:ascii="Arial" w:hAnsi="Arial" w:cs="Arial"/>
        </w:rPr>
        <w:t>, Scott Foy</w:t>
      </w:r>
      <w:r w:rsidRPr="004A0C47">
        <w:rPr>
          <w:rFonts w:ascii="Arial" w:hAnsi="Arial" w:cs="Arial"/>
          <w:vertAlign w:val="superscript"/>
        </w:rPr>
        <w:t>1</w:t>
      </w:r>
      <w:r w:rsidRPr="004A0C47">
        <w:rPr>
          <w:rFonts w:ascii="Arial" w:hAnsi="Arial" w:cs="Arial"/>
        </w:rPr>
        <w:t>, Jian Wang</w:t>
      </w:r>
      <w:r w:rsidRPr="004A0C47">
        <w:rPr>
          <w:rFonts w:ascii="Arial" w:hAnsi="Arial" w:cs="Arial"/>
          <w:vertAlign w:val="superscript"/>
        </w:rPr>
        <w:t>1</w:t>
      </w:r>
      <w:r w:rsidRPr="004A0C47">
        <w:rPr>
          <w:rFonts w:ascii="Arial" w:hAnsi="Arial" w:cs="Arial"/>
        </w:rPr>
        <w:t>, Edgar Sioson</w:t>
      </w:r>
      <w:r w:rsidRPr="004A0C47">
        <w:rPr>
          <w:rFonts w:ascii="Arial" w:hAnsi="Arial" w:cs="Arial"/>
          <w:vertAlign w:val="superscript"/>
        </w:rPr>
        <w:t>1</w:t>
      </w:r>
      <w:r w:rsidRPr="004A0C47">
        <w:rPr>
          <w:rFonts w:ascii="Arial" w:hAnsi="Arial" w:cs="Arial"/>
        </w:rPr>
        <w:t xml:space="preserve">, </w:t>
      </w:r>
      <w:proofErr w:type="spellStart"/>
      <w:r w:rsidRPr="004A0C47">
        <w:rPr>
          <w:rFonts w:ascii="Arial" w:hAnsi="Arial" w:cs="Arial"/>
        </w:rPr>
        <w:t>Shuoguo</w:t>
      </w:r>
      <w:proofErr w:type="spellEnd"/>
      <w:r w:rsidRPr="004A0C47">
        <w:rPr>
          <w:rFonts w:ascii="Arial" w:hAnsi="Arial" w:cs="Arial"/>
        </w:rPr>
        <w:t xml:space="preserve"> Wang</w:t>
      </w:r>
      <w:r w:rsidRPr="004A0C47">
        <w:rPr>
          <w:rFonts w:ascii="Arial" w:hAnsi="Arial" w:cs="Arial"/>
          <w:vertAlign w:val="superscript"/>
        </w:rPr>
        <w:t>1</w:t>
      </w:r>
      <w:r w:rsidRPr="004A0C47">
        <w:rPr>
          <w:rFonts w:ascii="Arial" w:hAnsi="Arial" w:cs="Arial"/>
        </w:rPr>
        <w:t>, J. Robert Michael</w:t>
      </w:r>
      <w:r w:rsidRPr="004A0C47">
        <w:rPr>
          <w:rFonts w:ascii="Arial" w:hAnsi="Arial" w:cs="Arial"/>
          <w:vertAlign w:val="superscript"/>
        </w:rPr>
        <w:t>1</w:t>
      </w:r>
      <w:r w:rsidRPr="004A0C47">
        <w:rPr>
          <w:rFonts w:ascii="Arial" w:hAnsi="Arial" w:cs="Arial"/>
        </w:rPr>
        <w:t>, Yu Liu</w:t>
      </w:r>
      <w:r w:rsidRPr="004A0C47">
        <w:rPr>
          <w:rFonts w:ascii="Arial" w:hAnsi="Arial" w:cs="Arial"/>
          <w:vertAlign w:val="superscript"/>
        </w:rPr>
        <w:t>1</w:t>
      </w:r>
      <w:r w:rsidRPr="004A0C47">
        <w:rPr>
          <w:rFonts w:ascii="Arial" w:hAnsi="Arial" w:cs="Arial"/>
        </w:rPr>
        <w:t xml:space="preserve">, </w:t>
      </w:r>
      <w:proofErr w:type="spellStart"/>
      <w:r w:rsidRPr="004A0C47">
        <w:rPr>
          <w:rFonts w:ascii="Arial" w:hAnsi="Arial" w:cs="Arial"/>
        </w:rPr>
        <w:t>Xiaotu</w:t>
      </w:r>
      <w:proofErr w:type="spellEnd"/>
      <w:r w:rsidRPr="004A0C47">
        <w:rPr>
          <w:rFonts w:ascii="Arial" w:hAnsi="Arial" w:cs="Arial"/>
        </w:rPr>
        <w:t xml:space="preserve"> Ma</w:t>
      </w:r>
      <w:r w:rsidRPr="004A0C47">
        <w:rPr>
          <w:rFonts w:ascii="Arial" w:hAnsi="Arial" w:cs="Arial"/>
          <w:vertAlign w:val="superscript"/>
        </w:rPr>
        <w:t>1</w:t>
      </w:r>
      <w:r w:rsidRPr="004A0C47">
        <w:rPr>
          <w:rFonts w:ascii="Arial" w:hAnsi="Arial" w:cs="Arial"/>
        </w:rPr>
        <w:t>, Aman Patel</w:t>
      </w:r>
      <w:r w:rsidRPr="004A0C47">
        <w:rPr>
          <w:rFonts w:ascii="Arial" w:hAnsi="Arial" w:cs="Arial"/>
          <w:vertAlign w:val="superscript"/>
        </w:rPr>
        <w:t>1</w:t>
      </w:r>
      <w:r w:rsidRPr="004A0C47">
        <w:rPr>
          <w:rFonts w:ascii="Arial" w:hAnsi="Arial" w:cs="Arial"/>
        </w:rPr>
        <w:t>, Michael N. Edmonson</w:t>
      </w:r>
      <w:r w:rsidRPr="004A0C47">
        <w:rPr>
          <w:rFonts w:ascii="Arial" w:hAnsi="Arial" w:cs="Arial"/>
          <w:vertAlign w:val="superscript"/>
        </w:rPr>
        <w:t>1</w:t>
      </w:r>
      <w:r w:rsidRPr="004A0C47">
        <w:rPr>
          <w:rFonts w:ascii="Arial" w:hAnsi="Arial" w:cs="Arial"/>
        </w:rPr>
        <w:t>, Mark R. Wilkinson</w:t>
      </w:r>
      <w:r w:rsidRPr="004A0C47">
        <w:rPr>
          <w:rFonts w:ascii="Arial" w:hAnsi="Arial" w:cs="Arial"/>
          <w:vertAlign w:val="superscript"/>
        </w:rPr>
        <w:t>1</w:t>
      </w:r>
      <w:r w:rsidRPr="004A0C47">
        <w:rPr>
          <w:rFonts w:ascii="Arial" w:hAnsi="Arial" w:cs="Arial"/>
        </w:rPr>
        <w:t xml:space="preserve">, Andrew </w:t>
      </w:r>
      <w:r>
        <w:rPr>
          <w:rFonts w:ascii="Arial" w:hAnsi="Arial" w:cs="Arial"/>
        </w:rPr>
        <w:t xml:space="preserve">M. </w:t>
      </w:r>
      <w:r w:rsidRPr="004A0C47">
        <w:rPr>
          <w:rFonts w:ascii="Arial" w:hAnsi="Arial" w:cs="Arial"/>
        </w:rPr>
        <w:t>Frantz</w:t>
      </w:r>
      <w:r w:rsidRPr="004A0C47">
        <w:rPr>
          <w:rFonts w:ascii="Arial" w:hAnsi="Arial" w:cs="Arial"/>
          <w:vertAlign w:val="superscript"/>
        </w:rPr>
        <w:t>1</w:t>
      </w:r>
      <w:r w:rsidRPr="004A0C47">
        <w:rPr>
          <w:rFonts w:ascii="Arial" w:hAnsi="Arial" w:cs="Arial"/>
        </w:rPr>
        <w:t xml:space="preserve">, </w:t>
      </w:r>
      <w:proofErr w:type="spellStart"/>
      <w:r w:rsidRPr="004A0C47">
        <w:rPr>
          <w:rFonts w:ascii="Arial" w:hAnsi="Arial" w:cs="Arial"/>
        </w:rPr>
        <w:t>Ti</w:t>
      </w:r>
      <w:proofErr w:type="spellEnd"/>
      <w:r w:rsidRPr="004A0C47">
        <w:rPr>
          <w:rFonts w:ascii="Arial" w:hAnsi="Arial" w:cs="Arial"/>
        </w:rPr>
        <w:t>-Cheng Chang</w:t>
      </w:r>
      <w:r w:rsidRPr="004A0C47">
        <w:rPr>
          <w:rFonts w:ascii="Arial" w:hAnsi="Arial" w:cs="Arial"/>
          <w:vertAlign w:val="superscript"/>
        </w:rPr>
        <w:t>1</w:t>
      </w:r>
      <w:r w:rsidRPr="004A0C47">
        <w:rPr>
          <w:rFonts w:ascii="Arial" w:hAnsi="Arial" w:cs="Arial"/>
        </w:rPr>
        <w:t xml:space="preserve">, </w:t>
      </w:r>
      <w:proofErr w:type="spellStart"/>
      <w:r w:rsidRPr="004A0C47">
        <w:rPr>
          <w:rFonts w:ascii="Arial" w:hAnsi="Arial" w:cs="Arial"/>
        </w:rPr>
        <w:t>Liqing</w:t>
      </w:r>
      <w:proofErr w:type="spellEnd"/>
      <w:r w:rsidRPr="004A0C47">
        <w:rPr>
          <w:rFonts w:ascii="Arial" w:hAnsi="Arial" w:cs="Arial"/>
        </w:rPr>
        <w:t xml:space="preserve"> Tian</w:t>
      </w:r>
      <w:r w:rsidRPr="004A0C47">
        <w:rPr>
          <w:rFonts w:ascii="Arial" w:hAnsi="Arial" w:cs="Arial"/>
          <w:vertAlign w:val="superscript"/>
        </w:rPr>
        <w:t>1</w:t>
      </w:r>
      <w:r w:rsidRPr="004A0C47">
        <w:rPr>
          <w:rFonts w:ascii="Arial" w:hAnsi="Arial" w:cs="Arial"/>
        </w:rPr>
        <w:t xml:space="preserve">, </w:t>
      </w:r>
      <w:proofErr w:type="spellStart"/>
      <w:r w:rsidRPr="004A0C47">
        <w:rPr>
          <w:rFonts w:ascii="Arial" w:hAnsi="Arial" w:cs="Arial"/>
        </w:rPr>
        <w:t>Shaohua</w:t>
      </w:r>
      <w:proofErr w:type="spellEnd"/>
      <w:r w:rsidRPr="004A0C47">
        <w:rPr>
          <w:rFonts w:ascii="Arial" w:hAnsi="Arial" w:cs="Arial"/>
        </w:rPr>
        <w:t xml:space="preserve"> Lei</w:t>
      </w:r>
      <w:r w:rsidRPr="004A0C47">
        <w:rPr>
          <w:rFonts w:ascii="Arial" w:hAnsi="Arial" w:cs="Arial"/>
          <w:vertAlign w:val="superscript"/>
        </w:rPr>
        <w:t>1</w:t>
      </w:r>
      <w:r w:rsidRPr="004A0C47">
        <w:rPr>
          <w:rFonts w:ascii="Arial" w:hAnsi="Arial" w:cs="Arial"/>
        </w:rPr>
        <w:t xml:space="preserve">, </w:t>
      </w:r>
      <w:bookmarkStart w:id="4" w:name="_Hlk55917325"/>
      <w:r w:rsidRPr="004A0C47">
        <w:rPr>
          <w:rFonts w:ascii="Arial" w:hAnsi="Arial" w:cs="Arial"/>
        </w:rPr>
        <w:t xml:space="preserve">S. M. </w:t>
      </w:r>
      <w:proofErr w:type="spellStart"/>
      <w:r w:rsidRPr="004A0C47">
        <w:rPr>
          <w:rFonts w:ascii="Arial" w:hAnsi="Arial" w:cs="Arial"/>
        </w:rPr>
        <w:t>Ashiqul</w:t>
      </w:r>
      <w:proofErr w:type="spellEnd"/>
      <w:r w:rsidRPr="004A0C47">
        <w:rPr>
          <w:rFonts w:ascii="Arial" w:hAnsi="Arial" w:cs="Arial"/>
        </w:rPr>
        <w:t xml:space="preserve"> Islam</w:t>
      </w:r>
      <w:r w:rsidRPr="004A0C47">
        <w:rPr>
          <w:rFonts w:ascii="Arial" w:hAnsi="Arial" w:cs="Arial"/>
          <w:vertAlign w:val="superscript"/>
        </w:rPr>
        <w:t>4</w:t>
      </w:r>
      <w:bookmarkEnd w:id="4"/>
      <w:r w:rsidRPr="004A0C47">
        <w:rPr>
          <w:rFonts w:ascii="Arial" w:hAnsi="Arial" w:cs="Arial"/>
        </w:rPr>
        <w:t>, Christopher Meyer</w:t>
      </w:r>
      <w:r w:rsidRPr="004A0C47">
        <w:rPr>
          <w:rFonts w:ascii="Arial" w:hAnsi="Arial" w:cs="Arial"/>
          <w:vertAlign w:val="superscript"/>
        </w:rPr>
        <w:t>5</w:t>
      </w:r>
      <w:r w:rsidRPr="004A0C47">
        <w:rPr>
          <w:rFonts w:ascii="Arial" w:hAnsi="Arial" w:cs="Arial"/>
        </w:rPr>
        <w:t xml:space="preserve">, </w:t>
      </w:r>
      <w:proofErr w:type="spellStart"/>
      <w:r w:rsidRPr="004A0C47">
        <w:rPr>
          <w:rFonts w:ascii="Arial" w:hAnsi="Arial" w:cs="Arial"/>
        </w:rPr>
        <w:t>Naina</w:t>
      </w:r>
      <w:proofErr w:type="spellEnd"/>
      <w:r w:rsidRPr="004A0C47">
        <w:rPr>
          <w:rFonts w:ascii="Arial" w:hAnsi="Arial" w:cs="Arial"/>
        </w:rPr>
        <w:t xml:space="preserve"> Thangaraj</w:t>
      </w:r>
      <w:r w:rsidRPr="004A0C47">
        <w:rPr>
          <w:rFonts w:ascii="Arial" w:hAnsi="Arial" w:cs="Arial"/>
          <w:vertAlign w:val="superscript"/>
        </w:rPr>
        <w:t>5</w:t>
      </w:r>
      <w:r w:rsidRPr="004A0C47">
        <w:rPr>
          <w:rFonts w:ascii="Arial" w:hAnsi="Arial" w:cs="Arial"/>
        </w:rPr>
        <w:t xml:space="preserve">, </w:t>
      </w:r>
      <w:proofErr w:type="spellStart"/>
      <w:r w:rsidRPr="004A0C47">
        <w:rPr>
          <w:rFonts w:ascii="Arial" w:hAnsi="Arial" w:cs="Arial"/>
        </w:rPr>
        <w:t>Pamella</w:t>
      </w:r>
      <w:proofErr w:type="spellEnd"/>
      <w:r w:rsidRPr="004A0C47">
        <w:rPr>
          <w:rFonts w:ascii="Arial" w:hAnsi="Arial" w:cs="Arial"/>
        </w:rPr>
        <w:t xml:space="preserve"> Tater</w:t>
      </w:r>
      <w:r w:rsidRPr="004A0C47">
        <w:rPr>
          <w:rFonts w:ascii="Arial" w:hAnsi="Arial" w:cs="Arial"/>
          <w:vertAlign w:val="superscript"/>
        </w:rPr>
        <w:t>5</w:t>
      </w:r>
      <w:r w:rsidRPr="004A0C47">
        <w:rPr>
          <w:rFonts w:ascii="Arial" w:hAnsi="Arial" w:cs="Arial"/>
        </w:rPr>
        <w:t>, Vijay Kandali</w:t>
      </w:r>
      <w:r w:rsidRPr="004A0C47">
        <w:rPr>
          <w:rFonts w:ascii="Arial" w:hAnsi="Arial" w:cs="Arial"/>
          <w:vertAlign w:val="superscript"/>
        </w:rPr>
        <w:t>5</w:t>
      </w:r>
      <w:r w:rsidRPr="004A0C47">
        <w:rPr>
          <w:rFonts w:ascii="Arial" w:hAnsi="Arial" w:cs="Arial"/>
        </w:rPr>
        <w:t>, Singer Ma</w:t>
      </w:r>
      <w:r w:rsidRPr="004A0C47">
        <w:rPr>
          <w:rFonts w:ascii="Arial" w:hAnsi="Arial" w:cs="Arial"/>
          <w:vertAlign w:val="superscript"/>
        </w:rPr>
        <w:t>5</w:t>
      </w:r>
      <w:r w:rsidRPr="004A0C47">
        <w:rPr>
          <w:rFonts w:ascii="Arial" w:hAnsi="Arial" w:cs="Arial"/>
        </w:rPr>
        <w:t>, Tuan Nguyen</w:t>
      </w:r>
      <w:r w:rsidRPr="004A0C47">
        <w:rPr>
          <w:rFonts w:ascii="Arial" w:hAnsi="Arial" w:cs="Arial"/>
          <w:vertAlign w:val="superscript"/>
        </w:rPr>
        <w:t>5</w:t>
      </w:r>
      <w:r w:rsidRPr="004A0C47">
        <w:rPr>
          <w:rFonts w:ascii="Arial" w:hAnsi="Arial" w:cs="Arial"/>
        </w:rPr>
        <w:t>, Omar Serang</w:t>
      </w:r>
      <w:r w:rsidRPr="004A0C47">
        <w:rPr>
          <w:rFonts w:ascii="Arial" w:hAnsi="Arial" w:cs="Arial"/>
          <w:vertAlign w:val="superscript"/>
        </w:rPr>
        <w:t>5</w:t>
      </w:r>
      <w:r w:rsidRPr="004A0C47">
        <w:rPr>
          <w:rFonts w:ascii="Arial" w:hAnsi="Arial" w:cs="Arial"/>
        </w:rPr>
        <w:t>, Irina McGuire</w:t>
      </w:r>
      <w:r w:rsidRPr="004A0C47">
        <w:rPr>
          <w:rFonts w:ascii="Arial" w:hAnsi="Arial" w:cs="Arial"/>
          <w:vertAlign w:val="superscript"/>
        </w:rPr>
        <w:t>6</w:t>
      </w:r>
      <w:r w:rsidRPr="004A0C47">
        <w:rPr>
          <w:rFonts w:ascii="Arial" w:hAnsi="Arial" w:cs="Arial"/>
        </w:rPr>
        <w:t>, Nedra Robison</w:t>
      </w:r>
      <w:r w:rsidRPr="004A0C47">
        <w:rPr>
          <w:rFonts w:ascii="Arial" w:hAnsi="Arial" w:cs="Arial"/>
          <w:vertAlign w:val="superscript"/>
        </w:rPr>
        <w:t>6</w:t>
      </w:r>
      <w:r w:rsidRPr="004A0C47">
        <w:rPr>
          <w:rFonts w:ascii="Arial" w:hAnsi="Arial" w:cs="Arial"/>
        </w:rPr>
        <w:t>, Darrell Gentry</w:t>
      </w:r>
      <w:r w:rsidRPr="004A0C47">
        <w:rPr>
          <w:rFonts w:ascii="Arial" w:hAnsi="Arial" w:cs="Arial"/>
          <w:vertAlign w:val="superscript"/>
        </w:rPr>
        <w:t>6</w:t>
      </w:r>
      <w:r w:rsidRPr="004A0C47">
        <w:rPr>
          <w:rFonts w:ascii="Arial" w:hAnsi="Arial" w:cs="Arial"/>
        </w:rPr>
        <w:t>, Xing Tang</w:t>
      </w:r>
      <w:r w:rsidRPr="004A0C47">
        <w:rPr>
          <w:rFonts w:ascii="Arial" w:hAnsi="Arial" w:cs="Arial"/>
          <w:vertAlign w:val="superscript"/>
        </w:rPr>
        <w:t>7</w:t>
      </w:r>
      <w:r w:rsidRPr="004A0C47">
        <w:rPr>
          <w:rFonts w:ascii="Arial" w:hAnsi="Arial" w:cs="Arial"/>
        </w:rPr>
        <w:t xml:space="preserve">, Lance </w:t>
      </w:r>
      <w:r>
        <w:rPr>
          <w:rFonts w:ascii="Arial" w:hAnsi="Arial" w:cs="Arial"/>
        </w:rPr>
        <w:t xml:space="preserve">E. </w:t>
      </w:r>
      <w:r w:rsidRPr="004A0C47">
        <w:rPr>
          <w:rFonts w:ascii="Arial" w:hAnsi="Arial" w:cs="Arial"/>
        </w:rPr>
        <w:t>Palmer</w:t>
      </w:r>
      <w:r w:rsidRPr="004A0C47">
        <w:rPr>
          <w:rFonts w:ascii="Arial" w:hAnsi="Arial" w:cs="Arial"/>
          <w:vertAlign w:val="superscript"/>
        </w:rPr>
        <w:t>7</w:t>
      </w:r>
      <w:r w:rsidRPr="004A0C47">
        <w:rPr>
          <w:rFonts w:ascii="Arial" w:hAnsi="Arial" w:cs="Arial"/>
        </w:rPr>
        <w:t>, Gang Wu</w:t>
      </w:r>
      <w:r w:rsidRPr="004A0C47">
        <w:rPr>
          <w:rFonts w:ascii="Arial" w:hAnsi="Arial" w:cs="Arial"/>
          <w:vertAlign w:val="superscript"/>
        </w:rPr>
        <w:t>1</w:t>
      </w:r>
      <w:r w:rsidRPr="004A0C47">
        <w:rPr>
          <w:rFonts w:ascii="Arial" w:hAnsi="Arial" w:cs="Arial"/>
        </w:rPr>
        <w:t>, Ed Suh</w:t>
      </w:r>
      <w:r w:rsidRPr="004A0C47">
        <w:rPr>
          <w:rFonts w:ascii="Arial" w:hAnsi="Arial" w:cs="Arial"/>
          <w:vertAlign w:val="superscript"/>
        </w:rPr>
        <w:t>6</w:t>
      </w:r>
      <w:r w:rsidRPr="004A0C47">
        <w:rPr>
          <w:rFonts w:ascii="Arial" w:hAnsi="Arial" w:cs="Arial"/>
        </w:rPr>
        <w:t>, Leigh Tanner</w:t>
      </w:r>
      <w:r w:rsidRPr="004A0C47">
        <w:rPr>
          <w:rFonts w:ascii="Arial" w:hAnsi="Arial" w:cs="Arial"/>
          <w:vertAlign w:val="superscript"/>
        </w:rPr>
        <w:t>6</w:t>
      </w:r>
      <w:r w:rsidRPr="004A0C47">
        <w:rPr>
          <w:rFonts w:ascii="Arial" w:hAnsi="Arial" w:cs="Arial"/>
        </w:rPr>
        <w:t>, James McMurry</w:t>
      </w:r>
      <w:r w:rsidRPr="004A0C47">
        <w:rPr>
          <w:rFonts w:ascii="Arial" w:hAnsi="Arial" w:cs="Arial"/>
          <w:vertAlign w:val="superscript"/>
        </w:rPr>
        <w:t>6</w:t>
      </w:r>
      <w:r w:rsidRPr="004A0C47">
        <w:rPr>
          <w:rFonts w:ascii="Arial" w:hAnsi="Arial" w:cs="Arial"/>
        </w:rPr>
        <w:t>, Matthew Lear</w:t>
      </w:r>
      <w:r w:rsidRPr="004A0C47">
        <w:rPr>
          <w:rFonts w:ascii="Arial" w:hAnsi="Arial" w:cs="Arial"/>
          <w:vertAlign w:val="superscript"/>
        </w:rPr>
        <w:t>2</w:t>
      </w:r>
      <w:r w:rsidRPr="00C95C0C">
        <w:rPr>
          <w:rFonts w:ascii="Arial" w:hAnsi="Arial" w:cs="Arial"/>
        </w:rPr>
        <w:t>, Alberto S. Pappo</w:t>
      </w:r>
      <w:r w:rsidRPr="00C95C0C">
        <w:rPr>
          <w:rFonts w:ascii="Arial" w:hAnsi="Arial" w:cs="Arial"/>
          <w:vertAlign w:val="superscript"/>
        </w:rPr>
        <w:t>8</w:t>
      </w:r>
      <w:r w:rsidRPr="00C95C0C">
        <w:rPr>
          <w:rFonts w:ascii="Arial" w:hAnsi="Arial" w:cs="Arial"/>
        </w:rPr>
        <w:t xml:space="preserve">, </w:t>
      </w:r>
      <w:proofErr w:type="spellStart"/>
      <w:r w:rsidRPr="00C95C0C">
        <w:rPr>
          <w:rFonts w:ascii="Arial" w:hAnsi="Arial" w:cs="Arial"/>
        </w:rPr>
        <w:t>Zhaoming</w:t>
      </w:r>
      <w:proofErr w:type="spellEnd"/>
      <w:r w:rsidRPr="00C95C0C">
        <w:rPr>
          <w:rFonts w:ascii="Arial" w:hAnsi="Arial" w:cs="Arial"/>
        </w:rPr>
        <w:t xml:space="preserve"> Wang</w:t>
      </w:r>
      <w:r w:rsidRPr="00C95C0C">
        <w:rPr>
          <w:rFonts w:ascii="Arial" w:hAnsi="Arial" w:cs="Arial"/>
          <w:vertAlign w:val="superscript"/>
        </w:rPr>
        <w:t>1,9</w:t>
      </w:r>
      <w:r w:rsidRPr="00C95C0C">
        <w:rPr>
          <w:rFonts w:ascii="Arial" w:hAnsi="Arial" w:cs="Arial"/>
        </w:rPr>
        <w:t xml:space="preserve">, Carmen </w:t>
      </w:r>
      <w:r>
        <w:rPr>
          <w:rFonts w:ascii="Arial" w:hAnsi="Arial" w:cs="Arial"/>
        </w:rPr>
        <w:t xml:space="preserve">L. </w:t>
      </w:r>
      <w:r w:rsidRPr="00C95C0C">
        <w:rPr>
          <w:rFonts w:ascii="Arial" w:hAnsi="Arial" w:cs="Arial"/>
        </w:rPr>
        <w:t>Wilson</w:t>
      </w:r>
      <w:r w:rsidRPr="00C95C0C">
        <w:rPr>
          <w:rFonts w:ascii="Arial" w:hAnsi="Arial" w:cs="Arial"/>
          <w:vertAlign w:val="superscript"/>
        </w:rPr>
        <w:t>9</w:t>
      </w:r>
      <w:r w:rsidRPr="00C95C0C">
        <w:rPr>
          <w:rFonts w:ascii="Arial" w:hAnsi="Arial" w:cs="Arial"/>
        </w:rPr>
        <w:t>, Yong Cheng</w:t>
      </w:r>
      <w:r w:rsidRPr="00C95C0C">
        <w:rPr>
          <w:rFonts w:ascii="Arial" w:hAnsi="Arial" w:cs="Arial"/>
          <w:vertAlign w:val="superscript"/>
        </w:rPr>
        <w:t>7</w:t>
      </w:r>
      <w:r w:rsidRPr="00C95C0C">
        <w:rPr>
          <w:rFonts w:ascii="Arial" w:hAnsi="Arial" w:cs="Arial"/>
        </w:rPr>
        <w:t xml:space="preserve">, </w:t>
      </w:r>
      <w:bookmarkStart w:id="5" w:name="_Hlk55917346"/>
      <w:r w:rsidRPr="00C95C0C">
        <w:rPr>
          <w:rFonts w:ascii="Arial" w:hAnsi="Arial" w:cs="Arial"/>
        </w:rPr>
        <w:t>Soheil Meshinchi</w:t>
      </w:r>
      <w:r w:rsidRPr="00C95C0C">
        <w:rPr>
          <w:rFonts w:ascii="Arial" w:hAnsi="Arial" w:cs="Arial"/>
          <w:vertAlign w:val="superscript"/>
        </w:rPr>
        <w:t>10</w:t>
      </w:r>
      <w:bookmarkEnd w:id="5"/>
      <w:r w:rsidRPr="00C95C0C">
        <w:rPr>
          <w:rFonts w:ascii="Arial" w:hAnsi="Arial" w:cs="Arial"/>
        </w:rPr>
        <w:t xml:space="preserve">, </w:t>
      </w:r>
      <w:bookmarkStart w:id="6" w:name="_Hlk55917338"/>
      <w:proofErr w:type="spellStart"/>
      <w:r w:rsidRPr="00C95C0C">
        <w:rPr>
          <w:rFonts w:ascii="Arial" w:hAnsi="Arial" w:cs="Arial"/>
        </w:rPr>
        <w:t>Ludmil</w:t>
      </w:r>
      <w:proofErr w:type="spellEnd"/>
      <w:r w:rsidRPr="00C95C0C">
        <w:rPr>
          <w:rFonts w:ascii="Arial" w:hAnsi="Arial" w:cs="Arial"/>
        </w:rPr>
        <w:t xml:space="preserve"> B. Alexandrov</w:t>
      </w:r>
      <w:bookmarkEnd w:id="6"/>
      <w:r w:rsidRPr="00C95C0C">
        <w:rPr>
          <w:rFonts w:ascii="Arial" w:hAnsi="Arial" w:cs="Arial"/>
          <w:vertAlign w:val="superscript"/>
        </w:rPr>
        <w:t>4</w:t>
      </w:r>
      <w:r w:rsidRPr="00C95C0C">
        <w:rPr>
          <w:rFonts w:ascii="Arial" w:hAnsi="Arial" w:cs="Arial"/>
        </w:rPr>
        <w:t>, Mitch Weiss</w:t>
      </w:r>
      <w:r w:rsidRPr="00C95C0C">
        <w:rPr>
          <w:rFonts w:ascii="Arial" w:hAnsi="Arial" w:cs="Arial"/>
          <w:vertAlign w:val="superscript"/>
        </w:rPr>
        <w:t>7</w:t>
      </w:r>
      <w:r w:rsidRPr="00C95C0C">
        <w:rPr>
          <w:rFonts w:ascii="Arial" w:hAnsi="Arial" w:cs="Arial"/>
        </w:rPr>
        <w:t>, Gregory T. Armstrong</w:t>
      </w:r>
      <w:r w:rsidRPr="00C95C0C">
        <w:rPr>
          <w:rFonts w:ascii="Arial" w:hAnsi="Arial" w:cs="Arial"/>
          <w:vertAlign w:val="superscript"/>
        </w:rPr>
        <w:t>9</w:t>
      </w:r>
      <w:r w:rsidRPr="00C95C0C">
        <w:rPr>
          <w:rFonts w:ascii="Arial" w:hAnsi="Arial" w:cs="Arial"/>
        </w:rPr>
        <w:t>, Leslie L. Robison</w:t>
      </w:r>
      <w:r w:rsidRPr="00C95C0C">
        <w:rPr>
          <w:rFonts w:ascii="Arial" w:hAnsi="Arial" w:cs="Arial"/>
          <w:vertAlign w:val="superscript"/>
        </w:rPr>
        <w:t>9</w:t>
      </w:r>
      <w:r w:rsidRPr="00C95C0C">
        <w:rPr>
          <w:rFonts w:ascii="Arial" w:hAnsi="Arial" w:cs="Arial"/>
        </w:rPr>
        <w:t>, Yutaka Yasui</w:t>
      </w:r>
      <w:r w:rsidRPr="00C95C0C">
        <w:rPr>
          <w:rFonts w:ascii="Arial" w:hAnsi="Arial" w:cs="Arial"/>
          <w:vertAlign w:val="superscript"/>
        </w:rPr>
        <w:t>9</w:t>
      </w:r>
      <w:r w:rsidRPr="00C95C0C">
        <w:rPr>
          <w:rFonts w:ascii="Arial" w:hAnsi="Arial" w:cs="Arial"/>
        </w:rPr>
        <w:t xml:space="preserve">, Kim E. </w:t>
      </w:r>
      <w:r w:rsidRPr="004A0C47">
        <w:rPr>
          <w:rFonts w:ascii="Arial" w:hAnsi="Arial" w:cs="Arial"/>
        </w:rPr>
        <w:t>Nichols</w:t>
      </w:r>
      <w:r>
        <w:rPr>
          <w:rFonts w:ascii="Arial" w:hAnsi="Arial" w:cs="Arial"/>
          <w:vertAlign w:val="superscript"/>
        </w:rPr>
        <w:t>8</w:t>
      </w:r>
      <w:r w:rsidRPr="004A0C47">
        <w:rPr>
          <w:rFonts w:ascii="Arial" w:hAnsi="Arial" w:cs="Arial"/>
        </w:rPr>
        <w:t>, David W. Ellison</w:t>
      </w:r>
      <w:r w:rsidRPr="004A0C47">
        <w:rPr>
          <w:rFonts w:ascii="Arial" w:hAnsi="Arial" w:cs="Arial"/>
          <w:vertAlign w:val="superscript"/>
        </w:rPr>
        <w:t>2</w:t>
      </w:r>
      <w:r w:rsidRPr="004A0C47">
        <w:rPr>
          <w:rFonts w:ascii="Arial" w:hAnsi="Arial" w:cs="Arial"/>
        </w:rPr>
        <w:t>, Ch</w:t>
      </w:r>
      <w:r>
        <w:rPr>
          <w:rFonts w:ascii="Arial" w:hAnsi="Arial" w:cs="Arial"/>
        </w:rPr>
        <w:t>a</w:t>
      </w:r>
      <w:r w:rsidRPr="004A0C47">
        <w:rPr>
          <w:rFonts w:ascii="Arial" w:hAnsi="Arial" w:cs="Arial"/>
        </w:rPr>
        <w:t>itanya Bangur</w:t>
      </w:r>
      <w:r w:rsidRPr="004A0C47">
        <w:rPr>
          <w:rFonts w:ascii="Arial" w:hAnsi="Arial" w:cs="Arial"/>
          <w:vertAlign w:val="superscript"/>
        </w:rPr>
        <w:t>3</w:t>
      </w:r>
      <w:r w:rsidRPr="004A0C47">
        <w:rPr>
          <w:rFonts w:ascii="Arial" w:hAnsi="Arial" w:cs="Arial"/>
        </w:rPr>
        <w:t>, Charles G. Mullighan</w:t>
      </w:r>
      <w:r w:rsidRPr="004A0C47">
        <w:rPr>
          <w:rFonts w:ascii="Arial" w:hAnsi="Arial" w:cs="Arial"/>
          <w:vertAlign w:val="superscript"/>
        </w:rPr>
        <w:t>2</w:t>
      </w:r>
      <w:r w:rsidRPr="004A0C47">
        <w:rPr>
          <w:rFonts w:ascii="Arial" w:hAnsi="Arial" w:cs="Arial"/>
        </w:rPr>
        <w:t>, Suzanne J. Baker</w:t>
      </w:r>
      <w:r w:rsidRPr="004A0C47">
        <w:rPr>
          <w:rFonts w:ascii="Arial" w:hAnsi="Arial" w:cs="Arial"/>
          <w:vertAlign w:val="superscript"/>
        </w:rPr>
        <w:t>11</w:t>
      </w:r>
      <w:r w:rsidRPr="004A0C47">
        <w:rPr>
          <w:rFonts w:ascii="Arial" w:hAnsi="Arial" w:cs="Arial"/>
        </w:rPr>
        <w:t xml:space="preserve">, Michael </w:t>
      </w:r>
      <w:r>
        <w:rPr>
          <w:rFonts w:ascii="Arial" w:hAnsi="Arial" w:cs="Arial"/>
        </w:rPr>
        <w:t xml:space="preserve">A. </w:t>
      </w:r>
      <w:r w:rsidRPr="004A0C47">
        <w:rPr>
          <w:rFonts w:ascii="Arial" w:hAnsi="Arial" w:cs="Arial"/>
        </w:rPr>
        <w:t>Dyer</w:t>
      </w:r>
      <w:r w:rsidRPr="004A0C47">
        <w:rPr>
          <w:rFonts w:ascii="Arial" w:hAnsi="Arial" w:cs="Arial"/>
          <w:vertAlign w:val="superscript"/>
        </w:rPr>
        <w:t>11</w:t>
      </w:r>
      <w:r w:rsidRPr="004A0C47">
        <w:rPr>
          <w:rFonts w:ascii="Arial" w:hAnsi="Arial" w:cs="Arial"/>
        </w:rPr>
        <w:t>, Geralyn Miller</w:t>
      </w:r>
      <w:r w:rsidRPr="004A0C47">
        <w:rPr>
          <w:rFonts w:ascii="Arial" w:hAnsi="Arial" w:cs="Arial"/>
          <w:vertAlign w:val="superscript"/>
        </w:rPr>
        <w:t>3</w:t>
      </w:r>
      <w:r w:rsidRPr="004A0C47">
        <w:rPr>
          <w:rFonts w:ascii="Arial" w:hAnsi="Arial" w:cs="Arial"/>
        </w:rPr>
        <w:t>, Scott Newman</w:t>
      </w:r>
      <w:r w:rsidRPr="004A0C47">
        <w:rPr>
          <w:rFonts w:ascii="Arial" w:hAnsi="Arial" w:cs="Arial"/>
          <w:vertAlign w:val="superscript"/>
        </w:rPr>
        <w:t>1</w:t>
      </w:r>
      <w:r w:rsidRPr="004A0C47">
        <w:rPr>
          <w:rFonts w:ascii="Arial" w:hAnsi="Arial" w:cs="Arial"/>
        </w:rPr>
        <w:t>, Michael Rusch</w:t>
      </w:r>
      <w:r w:rsidRPr="004A0C47">
        <w:rPr>
          <w:rFonts w:ascii="Arial" w:hAnsi="Arial" w:cs="Arial"/>
          <w:vertAlign w:val="superscript"/>
        </w:rPr>
        <w:t>1</w:t>
      </w:r>
      <w:r w:rsidRPr="004A0C47">
        <w:rPr>
          <w:rFonts w:ascii="Arial" w:hAnsi="Arial" w:cs="Arial"/>
        </w:rPr>
        <w:t>, Richard Daly</w:t>
      </w:r>
      <w:r w:rsidRPr="004A0C47">
        <w:rPr>
          <w:rFonts w:ascii="Arial" w:hAnsi="Arial" w:cs="Arial"/>
          <w:vertAlign w:val="superscript"/>
        </w:rPr>
        <w:t>5</w:t>
      </w:r>
      <w:r w:rsidRPr="004A0C47">
        <w:rPr>
          <w:rFonts w:ascii="Arial" w:hAnsi="Arial" w:cs="Arial"/>
        </w:rPr>
        <w:t>, Keith Perry</w:t>
      </w:r>
      <w:r w:rsidRPr="004A0C47">
        <w:rPr>
          <w:rFonts w:ascii="Arial" w:hAnsi="Arial" w:cs="Arial"/>
          <w:vertAlign w:val="superscript"/>
        </w:rPr>
        <w:t>6$</w:t>
      </w:r>
      <w:r w:rsidRPr="004A0C47">
        <w:rPr>
          <w:rFonts w:ascii="Arial" w:hAnsi="Arial" w:cs="Arial"/>
        </w:rPr>
        <w:t>, James R. Downing</w:t>
      </w:r>
      <w:r w:rsidRPr="004A0C47">
        <w:rPr>
          <w:rFonts w:ascii="Arial" w:hAnsi="Arial" w:cs="Arial"/>
          <w:vertAlign w:val="superscript"/>
        </w:rPr>
        <w:t xml:space="preserve">2$ </w:t>
      </w:r>
      <w:r w:rsidRPr="004A0C47">
        <w:rPr>
          <w:rFonts w:ascii="Arial" w:hAnsi="Arial" w:cs="Arial"/>
        </w:rPr>
        <w:t>and Jinghui Zhang</w:t>
      </w:r>
      <w:r w:rsidRPr="004A0C47">
        <w:rPr>
          <w:rFonts w:ascii="Arial" w:hAnsi="Arial" w:cs="Arial"/>
          <w:vertAlign w:val="superscript"/>
        </w:rPr>
        <w:t>1$</w:t>
      </w:r>
    </w:p>
    <w:bookmarkEnd w:id="0"/>
    <w:p w14:paraId="375DC416" w14:textId="77777777" w:rsidR="00191C10" w:rsidRPr="004A0C47" w:rsidRDefault="00191C10" w:rsidP="00191C10">
      <w:pPr>
        <w:spacing w:line="360" w:lineRule="auto"/>
        <w:rPr>
          <w:rFonts w:ascii="Arial" w:hAnsi="Arial" w:cs="Arial"/>
        </w:rPr>
      </w:pPr>
    </w:p>
    <w:bookmarkEnd w:id="1"/>
    <w:p w14:paraId="23386333" w14:textId="77777777" w:rsidR="00191C10" w:rsidRPr="004A0C47" w:rsidRDefault="00191C10" w:rsidP="00191C10">
      <w:pPr>
        <w:spacing w:line="360" w:lineRule="auto"/>
        <w:rPr>
          <w:rFonts w:ascii="Arial" w:hAnsi="Arial" w:cs="Arial"/>
        </w:rPr>
      </w:pPr>
      <w:r w:rsidRPr="004A0C47">
        <w:rPr>
          <w:rFonts w:ascii="Arial" w:hAnsi="Arial" w:cs="Arial"/>
          <w:b/>
          <w:bCs/>
        </w:rPr>
        <w:t>AFFILIATIONS:</w:t>
      </w:r>
    </w:p>
    <w:p w14:paraId="454261E3" w14:textId="77777777" w:rsidR="00191C10" w:rsidRPr="004A0C47" w:rsidRDefault="00191C10" w:rsidP="00191C10">
      <w:pPr>
        <w:spacing w:line="360" w:lineRule="auto"/>
        <w:rPr>
          <w:rFonts w:ascii="Arial" w:hAnsi="Arial" w:cs="Arial"/>
        </w:rPr>
      </w:pPr>
      <w:r w:rsidRPr="004A0C47">
        <w:rPr>
          <w:rFonts w:ascii="Arial" w:hAnsi="Arial" w:cs="Arial"/>
        </w:rPr>
        <w:t>1. Department of Computational Biology, St. Jude Children's Research Hospital, Memphis, 38105, Tennessee, USA</w:t>
      </w:r>
    </w:p>
    <w:p w14:paraId="1EB20A73" w14:textId="77777777" w:rsidR="00191C10" w:rsidRPr="004A0C47" w:rsidRDefault="00191C10" w:rsidP="00191C10">
      <w:pPr>
        <w:spacing w:line="360" w:lineRule="auto"/>
        <w:rPr>
          <w:rFonts w:ascii="Arial" w:hAnsi="Arial" w:cs="Arial"/>
        </w:rPr>
      </w:pPr>
      <w:r w:rsidRPr="004A0C47">
        <w:rPr>
          <w:rFonts w:ascii="Arial" w:hAnsi="Arial" w:cs="Arial"/>
        </w:rPr>
        <w:t>2. Department of Pathology, St. Jude Children's Research Hospital, Memphis, 38105, Tennessee, USA</w:t>
      </w:r>
      <w:r w:rsidRPr="004A0C47" w:rsidDel="00B53D21">
        <w:rPr>
          <w:rFonts w:ascii="Arial" w:hAnsi="Arial" w:cs="Arial"/>
        </w:rPr>
        <w:t xml:space="preserve"> </w:t>
      </w:r>
    </w:p>
    <w:p w14:paraId="2F478E1C" w14:textId="77777777" w:rsidR="00191C10" w:rsidRPr="004A0C47" w:rsidRDefault="00191C10" w:rsidP="00191C10">
      <w:pPr>
        <w:spacing w:line="360" w:lineRule="auto"/>
        <w:rPr>
          <w:rFonts w:ascii="Arial" w:hAnsi="Arial" w:cs="Arial"/>
        </w:rPr>
      </w:pPr>
      <w:r w:rsidRPr="004A0C47">
        <w:rPr>
          <w:rFonts w:ascii="Arial" w:hAnsi="Arial" w:cs="Arial"/>
        </w:rPr>
        <w:t>3. Microsoft Research, Redmond, 98052, Washington, USA</w:t>
      </w:r>
    </w:p>
    <w:p w14:paraId="672381B7" w14:textId="77777777" w:rsidR="00191C10" w:rsidRPr="004A0C47" w:rsidRDefault="00191C10" w:rsidP="00191C10">
      <w:pPr>
        <w:spacing w:line="360" w:lineRule="auto"/>
        <w:rPr>
          <w:rFonts w:ascii="Arial" w:hAnsi="Arial" w:cs="Arial"/>
        </w:rPr>
      </w:pPr>
      <w:r w:rsidRPr="004A0C47">
        <w:rPr>
          <w:rFonts w:ascii="Arial" w:hAnsi="Arial" w:cs="Arial"/>
        </w:rPr>
        <w:t xml:space="preserve">4. Department of Cellular and Molecular Medicine and Department of Bioengineering, </w:t>
      </w:r>
      <w:proofErr w:type="spellStart"/>
      <w:r w:rsidRPr="004A0C47">
        <w:rPr>
          <w:rFonts w:ascii="Arial" w:hAnsi="Arial" w:cs="Arial"/>
        </w:rPr>
        <w:t>Moores</w:t>
      </w:r>
      <w:proofErr w:type="spellEnd"/>
      <w:r w:rsidRPr="004A0C47">
        <w:rPr>
          <w:rFonts w:ascii="Arial" w:hAnsi="Arial" w:cs="Arial"/>
        </w:rPr>
        <w:t xml:space="preserve"> Cancer Center, University of California San Diego, La Jolla, 92093, California, USA</w:t>
      </w:r>
    </w:p>
    <w:p w14:paraId="58343680" w14:textId="77777777" w:rsidR="00191C10" w:rsidRPr="004A0C47" w:rsidRDefault="00191C10" w:rsidP="00191C10">
      <w:pPr>
        <w:spacing w:line="360" w:lineRule="auto"/>
        <w:rPr>
          <w:rFonts w:ascii="Arial" w:hAnsi="Arial" w:cs="Arial"/>
        </w:rPr>
      </w:pPr>
      <w:r w:rsidRPr="004A0C47">
        <w:rPr>
          <w:rFonts w:ascii="Arial" w:hAnsi="Arial" w:cs="Arial"/>
        </w:rPr>
        <w:t xml:space="preserve">5. </w:t>
      </w:r>
      <w:proofErr w:type="spellStart"/>
      <w:r w:rsidRPr="004A0C47">
        <w:rPr>
          <w:rFonts w:ascii="Arial" w:hAnsi="Arial" w:cs="Arial"/>
        </w:rPr>
        <w:t>DNAnexus</w:t>
      </w:r>
      <w:proofErr w:type="spellEnd"/>
      <w:r w:rsidRPr="004A0C47">
        <w:rPr>
          <w:rFonts w:ascii="Arial" w:hAnsi="Arial" w:cs="Arial"/>
        </w:rPr>
        <w:t>, Mountain View, 94040, California, USA</w:t>
      </w:r>
    </w:p>
    <w:p w14:paraId="661BB15A" w14:textId="77777777" w:rsidR="00191C10" w:rsidRPr="004A0C47" w:rsidRDefault="00191C10" w:rsidP="00191C10">
      <w:pPr>
        <w:spacing w:line="360" w:lineRule="auto"/>
        <w:rPr>
          <w:rFonts w:ascii="Arial" w:hAnsi="Arial" w:cs="Arial"/>
        </w:rPr>
      </w:pPr>
      <w:r w:rsidRPr="004A0C47">
        <w:rPr>
          <w:rFonts w:ascii="Arial" w:hAnsi="Arial" w:cs="Arial"/>
        </w:rPr>
        <w:t>6. Department of Information Services, St. Jude Children's Research Hospital, Memphis, 38105, Tennessee, USA</w:t>
      </w:r>
      <w:r w:rsidRPr="004A0C47" w:rsidDel="00B53D21">
        <w:rPr>
          <w:rFonts w:ascii="Arial" w:hAnsi="Arial" w:cs="Arial"/>
        </w:rPr>
        <w:t xml:space="preserve"> </w:t>
      </w:r>
    </w:p>
    <w:p w14:paraId="4F6FB644" w14:textId="77777777" w:rsidR="00191C10" w:rsidRDefault="00191C10" w:rsidP="00191C10">
      <w:pPr>
        <w:spacing w:line="360" w:lineRule="auto"/>
        <w:rPr>
          <w:rFonts w:ascii="Arial" w:hAnsi="Arial" w:cs="Arial"/>
        </w:rPr>
      </w:pPr>
      <w:r w:rsidRPr="004A0C47">
        <w:rPr>
          <w:rFonts w:ascii="Arial" w:hAnsi="Arial" w:cs="Arial"/>
        </w:rPr>
        <w:t>7. Department of Hematology, St. Jude Children's Research Hospital, Memphis, 38105, Tennessee, USA</w:t>
      </w:r>
      <w:r w:rsidRPr="004A0C47" w:rsidDel="00B53D21">
        <w:rPr>
          <w:rFonts w:ascii="Arial" w:hAnsi="Arial" w:cs="Arial"/>
        </w:rPr>
        <w:t xml:space="preserve"> </w:t>
      </w:r>
    </w:p>
    <w:p w14:paraId="0BB0301D" w14:textId="77777777" w:rsidR="00191C10" w:rsidRPr="004A0C47" w:rsidRDefault="00191C10" w:rsidP="00191C10">
      <w:pPr>
        <w:spacing w:line="360" w:lineRule="auto"/>
        <w:rPr>
          <w:rFonts w:ascii="Arial" w:hAnsi="Arial" w:cs="Arial"/>
        </w:rPr>
      </w:pPr>
      <w:r>
        <w:rPr>
          <w:rFonts w:ascii="Arial" w:hAnsi="Arial" w:cs="Arial"/>
        </w:rPr>
        <w:t>8</w:t>
      </w:r>
      <w:r w:rsidRPr="004A0C47" w:rsidDel="002F4974">
        <w:rPr>
          <w:rFonts w:ascii="Arial" w:hAnsi="Arial" w:cs="Arial"/>
        </w:rPr>
        <w:t xml:space="preserve">. Department of Oncology, St. Jude Children's Research Hospital, Memphis, 38105, Tennessee, USA </w:t>
      </w:r>
    </w:p>
    <w:p w14:paraId="0132811C" w14:textId="77777777" w:rsidR="00191C10" w:rsidRPr="004A0C47" w:rsidRDefault="00191C10" w:rsidP="00191C10">
      <w:pPr>
        <w:spacing w:line="360" w:lineRule="auto"/>
        <w:rPr>
          <w:rFonts w:ascii="Arial" w:hAnsi="Arial" w:cs="Arial"/>
        </w:rPr>
      </w:pPr>
      <w:r>
        <w:rPr>
          <w:rFonts w:ascii="Arial" w:hAnsi="Arial" w:cs="Arial"/>
        </w:rPr>
        <w:lastRenderedPageBreak/>
        <w:t>9</w:t>
      </w:r>
      <w:r w:rsidRPr="004A0C47">
        <w:rPr>
          <w:rFonts w:ascii="Arial" w:hAnsi="Arial" w:cs="Arial"/>
        </w:rPr>
        <w:t>. Department of Epidemiology &amp; Cancer Control, St. Jude Children's Research Hospital, Memphis, 38105, Tennessee, USA</w:t>
      </w:r>
      <w:r w:rsidRPr="004A0C47" w:rsidDel="00B53D21">
        <w:rPr>
          <w:rFonts w:ascii="Arial" w:hAnsi="Arial" w:cs="Arial"/>
        </w:rPr>
        <w:t xml:space="preserve"> </w:t>
      </w:r>
    </w:p>
    <w:p w14:paraId="098FC7F9" w14:textId="77777777" w:rsidR="00191C10" w:rsidRPr="004A0C47" w:rsidRDefault="00191C10" w:rsidP="00191C10">
      <w:pPr>
        <w:spacing w:line="360" w:lineRule="auto"/>
        <w:rPr>
          <w:rFonts w:ascii="Arial" w:hAnsi="Arial" w:cs="Arial"/>
        </w:rPr>
      </w:pPr>
      <w:r>
        <w:rPr>
          <w:rFonts w:ascii="Arial" w:hAnsi="Arial" w:cs="Arial"/>
        </w:rPr>
        <w:t>10</w:t>
      </w:r>
      <w:r w:rsidRPr="004A0C47">
        <w:rPr>
          <w:rFonts w:ascii="Arial" w:hAnsi="Arial" w:cs="Arial"/>
        </w:rPr>
        <w:t>. Fred Hutchinson Cancer Research Center Professor of Pediatrics, University of Washington School of Medicine, Seattle, 98109, Washington, USA</w:t>
      </w:r>
    </w:p>
    <w:p w14:paraId="6BF742CB" w14:textId="77777777" w:rsidR="00191C10" w:rsidRPr="004A0C47" w:rsidRDefault="00191C10" w:rsidP="00191C10">
      <w:pPr>
        <w:spacing w:line="360" w:lineRule="auto"/>
        <w:rPr>
          <w:rFonts w:ascii="Arial" w:hAnsi="Arial" w:cs="Arial"/>
        </w:rPr>
      </w:pPr>
      <w:r w:rsidRPr="004A0C47">
        <w:rPr>
          <w:rFonts w:ascii="Arial" w:hAnsi="Arial" w:cs="Arial"/>
        </w:rPr>
        <w:t>11. Department of Developmental Neurobiology, St. Jude Children's Research Hospital, Memphis, 38105, Tennessee, USA</w:t>
      </w:r>
    </w:p>
    <w:p w14:paraId="07CA58F4" w14:textId="77777777" w:rsidR="00191C10" w:rsidRPr="004A0C47" w:rsidRDefault="00191C10" w:rsidP="00191C10">
      <w:pPr>
        <w:spacing w:line="360" w:lineRule="auto"/>
        <w:rPr>
          <w:rFonts w:ascii="Arial" w:hAnsi="Arial" w:cs="Arial"/>
        </w:rPr>
      </w:pPr>
    </w:p>
    <w:p w14:paraId="78C3336C" w14:textId="77777777" w:rsidR="00191C10" w:rsidRPr="004A0C47" w:rsidRDefault="00191C10" w:rsidP="00191C10">
      <w:pPr>
        <w:spacing w:line="360" w:lineRule="auto"/>
        <w:rPr>
          <w:rFonts w:ascii="Arial" w:hAnsi="Arial" w:cs="Arial"/>
        </w:rPr>
      </w:pPr>
      <w:r w:rsidRPr="004A0C47">
        <w:rPr>
          <w:rFonts w:ascii="Arial" w:hAnsi="Arial" w:cs="Arial"/>
        </w:rPr>
        <w:t>* Contributed Equally</w:t>
      </w:r>
    </w:p>
    <w:p w14:paraId="7398AB92" w14:textId="77777777" w:rsidR="00191C10" w:rsidRPr="004A0C47" w:rsidRDefault="00191C10" w:rsidP="00191C10">
      <w:pPr>
        <w:spacing w:line="360" w:lineRule="auto"/>
        <w:rPr>
          <w:rFonts w:ascii="Arial" w:hAnsi="Arial" w:cs="Arial"/>
        </w:rPr>
      </w:pPr>
    </w:p>
    <w:p w14:paraId="7EFED9AA" w14:textId="0D7F858C" w:rsidR="00DC7B33" w:rsidRPr="001F7C98" w:rsidRDefault="00191C10" w:rsidP="00DC7B33">
      <w:pPr>
        <w:spacing w:line="360" w:lineRule="auto"/>
        <w:rPr>
          <w:rFonts w:ascii="Arial" w:hAnsi="Arial" w:cs="Arial"/>
        </w:rPr>
      </w:pPr>
      <w:r w:rsidRPr="004A0C47">
        <w:rPr>
          <w:rFonts w:ascii="Arial" w:hAnsi="Arial" w:cs="Arial"/>
        </w:rPr>
        <w:t>$ Correspondence addressed to Keith Perry (</w:t>
      </w:r>
      <w:hyperlink r:id="rId8" w:history="1">
        <w:r w:rsidRPr="00FD0CF2">
          <w:rPr>
            <w:rStyle w:val="Hyperlink"/>
            <w:rFonts w:ascii="Arial" w:hAnsi="Arial" w:cs="Arial"/>
          </w:rPr>
          <w:t>keith.perry@stjude.org</w:t>
        </w:r>
      </w:hyperlink>
      <w:r>
        <w:rPr>
          <w:rFonts w:ascii="Arial" w:hAnsi="Arial" w:cs="Arial"/>
        </w:rPr>
        <w:t>)</w:t>
      </w:r>
      <w:r w:rsidRPr="004A0C47">
        <w:rPr>
          <w:rFonts w:ascii="Arial" w:hAnsi="Arial" w:cs="Arial"/>
        </w:rPr>
        <w:t>, James R. Downing (</w:t>
      </w:r>
      <w:hyperlink r:id="rId9" w:history="1">
        <w:r w:rsidRPr="00FD0CF2">
          <w:rPr>
            <w:rStyle w:val="Hyperlink"/>
            <w:rFonts w:ascii="Arial" w:hAnsi="Arial" w:cs="Arial"/>
          </w:rPr>
          <w:t>james.downing@stjude.org</w:t>
        </w:r>
      </w:hyperlink>
      <w:r>
        <w:rPr>
          <w:rFonts w:ascii="Arial" w:hAnsi="Arial" w:cs="Arial"/>
        </w:rPr>
        <w:t>)</w:t>
      </w:r>
      <w:r w:rsidRPr="004A0C47">
        <w:rPr>
          <w:rFonts w:ascii="Arial" w:hAnsi="Arial" w:cs="Arial"/>
        </w:rPr>
        <w:t xml:space="preserve"> and Jinghui Zhang (</w:t>
      </w:r>
      <w:hyperlink r:id="rId10" w:history="1">
        <w:r w:rsidRPr="004A0C47">
          <w:rPr>
            <w:rStyle w:val="Hyperlink"/>
            <w:rFonts w:ascii="Arial" w:hAnsi="Arial" w:cs="Arial"/>
          </w:rPr>
          <w:t>jinghui.zhang@stjude.org</w:t>
        </w:r>
      </w:hyperlink>
      <w:r w:rsidRPr="004A0C47">
        <w:rPr>
          <w:rFonts w:ascii="Arial" w:hAnsi="Arial" w:cs="Arial"/>
        </w:rPr>
        <w:t>)</w:t>
      </w:r>
    </w:p>
    <w:p w14:paraId="53ADAD1F" w14:textId="2B00368A" w:rsidR="25EB717C" w:rsidRDefault="25EB717C" w:rsidP="25EB717C">
      <w:pPr>
        <w:rPr>
          <w:rFonts w:ascii="Arial" w:eastAsia="Arial" w:hAnsi="Arial" w:cs="Arial"/>
          <w:color w:val="0563C1"/>
          <w:sz w:val="20"/>
          <w:szCs w:val="20"/>
          <w:u w:val="single"/>
        </w:rPr>
      </w:pPr>
    </w:p>
    <w:p w14:paraId="3DABB23E" w14:textId="72CE8210" w:rsidR="58DC562D" w:rsidRDefault="58DC562D" w:rsidP="58DC562D">
      <w:pPr>
        <w:spacing w:line="360" w:lineRule="auto"/>
        <w:rPr>
          <w:rFonts w:ascii="Arial" w:hAnsi="Arial" w:cs="Arial"/>
          <w:sz w:val="20"/>
          <w:szCs w:val="20"/>
        </w:rPr>
      </w:pPr>
    </w:p>
    <w:p w14:paraId="09B46BD3" w14:textId="012B65D7" w:rsidR="00C11288" w:rsidRPr="00C11288" w:rsidRDefault="00C11288" w:rsidP="00C11288">
      <w:pPr>
        <w:rPr>
          <w:rFonts w:ascii="Arial" w:hAnsi="Arial" w:cs="Arial"/>
          <w:b/>
          <w:bCs/>
          <w:sz w:val="20"/>
          <w:szCs w:val="20"/>
          <w:shd w:val="clear" w:color="auto" w:fill="00FFFF"/>
        </w:rPr>
      </w:pPr>
      <w:r>
        <w:t xml:space="preserve"> </w:t>
      </w:r>
    </w:p>
    <w:p w14:paraId="4BF73BE8" w14:textId="361D8740" w:rsidR="00C11288" w:rsidRDefault="00C11288" w:rsidP="00C11288">
      <w:pPr>
        <w:rPr>
          <w:rFonts w:asciiTheme="majorHAnsi" w:eastAsiaTheme="majorEastAsia" w:hAnsiTheme="majorHAnsi" w:cstheme="majorBidi"/>
          <w:color w:val="2F5496" w:themeColor="accent1" w:themeShade="BF"/>
          <w:sz w:val="32"/>
          <w:szCs w:val="32"/>
        </w:rPr>
      </w:pPr>
      <w:r>
        <w:br w:type="page"/>
      </w:r>
    </w:p>
    <w:p w14:paraId="5E26C014" w14:textId="66C201F4" w:rsidR="00AF3A0B" w:rsidRDefault="00AF3A0B">
      <w:pPr>
        <w:rPr>
          <w:rFonts w:asciiTheme="majorHAnsi" w:eastAsiaTheme="majorEastAsia" w:hAnsiTheme="majorHAnsi" w:cstheme="majorBidi"/>
          <w:color w:val="2F5496" w:themeColor="accent1" w:themeShade="BF"/>
          <w:sz w:val="32"/>
          <w:szCs w:val="32"/>
        </w:rPr>
      </w:pPr>
    </w:p>
    <w:p w14:paraId="78EE6305" w14:textId="12E7B566" w:rsidR="00E52988" w:rsidRPr="005A167E" w:rsidRDefault="00E52988" w:rsidP="0062255B">
      <w:pPr>
        <w:pStyle w:val="Heading1"/>
        <w:rPr>
          <w:rFonts w:ascii="Arial" w:hAnsi="Arial" w:cs="Arial"/>
          <w:b/>
          <w:bCs/>
          <w:shd w:val="clear" w:color="auto" w:fill="00FFFF"/>
        </w:rPr>
      </w:pPr>
      <w:bookmarkStart w:id="7" w:name="_Toc46854655"/>
      <w:bookmarkStart w:id="8" w:name="_Toc48281384"/>
      <w:bookmarkStart w:id="9" w:name="_Toc56128067"/>
      <w:r w:rsidRPr="005A167E">
        <w:rPr>
          <w:rFonts w:ascii="Arial" w:hAnsi="Arial" w:cs="Arial"/>
        </w:rPr>
        <w:t>SUPPLEMENTARY TABLES</w:t>
      </w:r>
      <w:bookmarkEnd w:id="7"/>
      <w:bookmarkEnd w:id="8"/>
      <w:bookmarkEnd w:id="9"/>
    </w:p>
    <w:p w14:paraId="45FAAD27" w14:textId="77777777" w:rsidR="00E52988" w:rsidRPr="0062255B" w:rsidRDefault="00E52988" w:rsidP="00E52988">
      <w:pPr>
        <w:spacing w:line="360" w:lineRule="auto"/>
        <w:rPr>
          <w:rFonts w:ascii="Arial" w:hAnsi="Arial" w:cs="Arial"/>
          <w:b/>
          <w:bCs/>
          <w:sz w:val="20"/>
          <w:szCs w:val="20"/>
          <w:shd w:val="clear" w:color="auto" w:fill="00FFFF"/>
        </w:rPr>
      </w:pPr>
    </w:p>
    <w:p w14:paraId="35B62550" w14:textId="78B326A2" w:rsidR="6F001FB0" w:rsidRPr="005A167E" w:rsidRDefault="6F001FB0" w:rsidP="25EB717C">
      <w:pPr>
        <w:spacing w:line="360" w:lineRule="auto"/>
        <w:rPr>
          <w:rFonts w:ascii="Arial" w:eastAsia="Calibri" w:hAnsi="Arial" w:cs="Arial"/>
          <w:color w:val="000000" w:themeColor="text1"/>
        </w:rPr>
      </w:pPr>
      <w:bookmarkStart w:id="10" w:name="_Toc56128068"/>
      <w:bookmarkStart w:id="11" w:name="_Toc48281385"/>
      <w:r w:rsidRPr="005A167E">
        <w:rPr>
          <w:rStyle w:val="Heading2Char"/>
          <w:rFonts w:ascii="Arial" w:hAnsi="Arial" w:cs="Arial"/>
          <w:sz w:val="22"/>
          <w:szCs w:val="22"/>
        </w:rPr>
        <w:t>Supplementary Table S1</w:t>
      </w:r>
      <w:bookmarkEnd w:id="10"/>
      <w:r w:rsidRPr="005A167E">
        <w:rPr>
          <w:rFonts w:ascii="Arial" w:hAnsi="Arial" w:cs="Arial"/>
        </w:rPr>
        <w:t xml:space="preserve">. </w:t>
      </w:r>
      <w:r w:rsidR="7F10072B" w:rsidRPr="005A167E">
        <w:rPr>
          <w:rFonts w:ascii="Arial" w:eastAsia="Arial" w:hAnsi="Arial" w:cs="Arial"/>
          <w:color w:val="000000" w:themeColor="text1"/>
        </w:rPr>
        <w:t xml:space="preserve">Data Sets in </w:t>
      </w:r>
      <w:proofErr w:type="spellStart"/>
      <w:r w:rsidR="7F10072B" w:rsidRPr="005A167E">
        <w:rPr>
          <w:rFonts w:ascii="Arial" w:eastAsia="Arial" w:hAnsi="Arial" w:cs="Arial"/>
          <w:color w:val="000000" w:themeColor="text1"/>
        </w:rPr>
        <w:t>PeCan</w:t>
      </w:r>
      <w:proofErr w:type="spellEnd"/>
      <w:r w:rsidR="7F10072B" w:rsidRPr="005A167E">
        <w:rPr>
          <w:rFonts w:ascii="Arial" w:eastAsia="Arial" w:hAnsi="Arial" w:cs="Arial"/>
          <w:color w:val="000000" w:themeColor="text1"/>
        </w:rPr>
        <w:t xml:space="preserve"> Knowledgebase.</w:t>
      </w:r>
      <w:bookmarkEnd w:id="11"/>
    </w:p>
    <w:p w14:paraId="7B7E29D0" w14:textId="61A2BC5E" w:rsidR="25EB717C" w:rsidRPr="005A167E" w:rsidRDefault="25EB717C" w:rsidP="25EB717C">
      <w:pPr>
        <w:spacing w:line="360" w:lineRule="auto"/>
        <w:rPr>
          <w:rFonts w:ascii="Arial" w:hAnsi="Arial" w:cs="Arial"/>
        </w:rPr>
      </w:pPr>
    </w:p>
    <w:p w14:paraId="26B641DD" w14:textId="3E76F54E" w:rsidR="00E52988" w:rsidRPr="005A167E" w:rsidRDefault="00E52988" w:rsidP="00E52988">
      <w:pPr>
        <w:spacing w:line="360" w:lineRule="auto"/>
        <w:rPr>
          <w:rFonts w:ascii="Arial" w:hAnsi="Arial" w:cs="Arial"/>
        </w:rPr>
      </w:pPr>
      <w:bookmarkStart w:id="12" w:name="_Toc48281386"/>
      <w:bookmarkStart w:id="13" w:name="_Toc56128069"/>
      <w:bookmarkStart w:id="14" w:name="_Toc46854656"/>
      <w:r w:rsidRPr="005A167E">
        <w:rPr>
          <w:rStyle w:val="Heading2Char"/>
          <w:rFonts w:ascii="Arial" w:hAnsi="Arial" w:cs="Arial"/>
          <w:sz w:val="22"/>
          <w:szCs w:val="22"/>
        </w:rPr>
        <w:t>Supplementary Table S</w:t>
      </w:r>
      <w:r w:rsidR="16DD9203" w:rsidRPr="005A167E">
        <w:rPr>
          <w:rStyle w:val="Heading2Char"/>
          <w:rFonts w:ascii="Arial" w:hAnsi="Arial" w:cs="Arial"/>
          <w:sz w:val="22"/>
          <w:szCs w:val="22"/>
        </w:rPr>
        <w:t>2</w:t>
      </w:r>
      <w:bookmarkEnd w:id="12"/>
      <w:bookmarkEnd w:id="13"/>
      <w:r w:rsidR="0062255B" w:rsidRPr="005A167E">
        <w:rPr>
          <w:rFonts w:ascii="Arial" w:hAnsi="Arial" w:cs="Arial"/>
        </w:rPr>
        <w:t>.</w:t>
      </w:r>
      <w:r w:rsidRPr="005A167E">
        <w:rPr>
          <w:rFonts w:ascii="Arial" w:hAnsi="Arial" w:cs="Arial"/>
        </w:rPr>
        <w:t xml:space="preserve"> </w:t>
      </w:r>
      <w:r w:rsidR="00907F21" w:rsidRPr="005A167E">
        <w:rPr>
          <w:rFonts w:ascii="Arial" w:hAnsi="Arial" w:cs="Arial"/>
          <w:b/>
          <w:bCs/>
        </w:rPr>
        <w:t>(</w:t>
      </w:r>
      <w:r w:rsidR="006E7046">
        <w:rPr>
          <w:rFonts w:ascii="Arial" w:hAnsi="Arial" w:cs="Arial"/>
          <w:b/>
          <w:bCs/>
        </w:rPr>
        <w:t>A</w:t>
      </w:r>
      <w:r w:rsidR="00907F21" w:rsidRPr="005A167E">
        <w:rPr>
          <w:rFonts w:ascii="Arial" w:hAnsi="Arial" w:cs="Arial"/>
          <w:b/>
          <w:bCs/>
        </w:rPr>
        <w:t>)</w:t>
      </w:r>
      <w:r w:rsidR="00907F21" w:rsidRPr="005A167E">
        <w:rPr>
          <w:rFonts w:ascii="Arial" w:hAnsi="Arial" w:cs="Arial"/>
        </w:rPr>
        <w:t xml:space="preserve"> </w:t>
      </w:r>
      <w:r w:rsidRPr="005A167E">
        <w:rPr>
          <w:rFonts w:ascii="Arial" w:hAnsi="Arial" w:cs="Arial"/>
        </w:rPr>
        <w:t xml:space="preserve">Gene set enrichment analysis following differential gene expression analysis between two </w:t>
      </w:r>
      <w:proofErr w:type="spellStart"/>
      <w:r w:rsidRPr="005A167E">
        <w:rPr>
          <w:rFonts w:ascii="Arial" w:hAnsi="Arial" w:cs="Arial"/>
        </w:rPr>
        <w:t>adamantinomatous</w:t>
      </w:r>
      <w:proofErr w:type="spellEnd"/>
      <w:r w:rsidRPr="005A167E">
        <w:rPr>
          <w:rFonts w:ascii="Arial" w:hAnsi="Arial" w:cs="Arial"/>
        </w:rPr>
        <w:t xml:space="preserve"> craniopharyngioma groups (ACPG group1 and ACPG group 2) identified in </w:t>
      </w:r>
      <w:r w:rsidRPr="00C601B7">
        <w:rPr>
          <w:rFonts w:ascii="Arial" w:hAnsi="Arial" w:cs="Arial"/>
        </w:rPr>
        <w:t>Fig</w:t>
      </w:r>
      <w:r w:rsidR="00AF4452" w:rsidRPr="00C601B7">
        <w:rPr>
          <w:rFonts w:ascii="Arial" w:hAnsi="Arial" w:cs="Arial"/>
        </w:rPr>
        <w:t>ure</w:t>
      </w:r>
      <w:r w:rsidRPr="00C601B7">
        <w:rPr>
          <w:rFonts w:ascii="Arial" w:hAnsi="Arial" w:cs="Arial"/>
        </w:rPr>
        <w:t xml:space="preserve"> </w:t>
      </w:r>
      <w:r w:rsidR="005A167E" w:rsidRPr="00C601B7">
        <w:rPr>
          <w:rFonts w:ascii="Arial" w:hAnsi="Arial" w:cs="Arial"/>
        </w:rPr>
        <w:t>4C</w:t>
      </w:r>
      <w:r w:rsidRPr="00C601B7">
        <w:rPr>
          <w:rFonts w:ascii="Arial" w:hAnsi="Arial" w:cs="Arial"/>
        </w:rPr>
        <w:t>. Table displays Human Gene Atlas gene groups over-represented in upregulated genes in ACPG group 1 following ENRICHR analysis.</w:t>
      </w:r>
      <w:r w:rsidR="00907F21" w:rsidRPr="00C601B7">
        <w:rPr>
          <w:rFonts w:ascii="Arial" w:hAnsi="Arial" w:cs="Arial"/>
        </w:rPr>
        <w:t xml:space="preserve"> </w:t>
      </w:r>
      <w:r w:rsidR="00907F21" w:rsidRPr="00C601B7">
        <w:rPr>
          <w:rFonts w:ascii="Arial" w:hAnsi="Arial" w:cs="Arial"/>
          <w:b/>
          <w:bCs/>
        </w:rPr>
        <w:t>(</w:t>
      </w:r>
      <w:r w:rsidR="006E7046" w:rsidRPr="00C601B7">
        <w:rPr>
          <w:rFonts w:ascii="Arial" w:hAnsi="Arial" w:cs="Arial"/>
          <w:b/>
          <w:bCs/>
        </w:rPr>
        <w:t>B</w:t>
      </w:r>
      <w:r w:rsidR="00907F21" w:rsidRPr="00C601B7">
        <w:rPr>
          <w:rFonts w:ascii="Arial" w:hAnsi="Arial" w:cs="Arial"/>
          <w:b/>
          <w:bCs/>
        </w:rPr>
        <w:t>)</w:t>
      </w:r>
      <w:r w:rsidR="00907F21" w:rsidRPr="00C601B7">
        <w:rPr>
          <w:rFonts w:ascii="Arial" w:hAnsi="Arial" w:cs="Arial"/>
        </w:rPr>
        <w:t xml:space="preserve"> </w:t>
      </w:r>
      <w:r w:rsidRPr="00C601B7">
        <w:rPr>
          <w:rFonts w:ascii="Arial" w:hAnsi="Arial" w:cs="Arial"/>
        </w:rPr>
        <w:t xml:space="preserve">Gene set enrichment analysis following differential gene expression analysis between ACPG group1 and ACPG group 2. Table displays </w:t>
      </w:r>
      <w:proofErr w:type="spellStart"/>
      <w:r w:rsidRPr="00C601B7">
        <w:rPr>
          <w:rFonts w:ascii="Arial" w:hAnsi="Arial" w:cs="Arial"/>
        </w:rPr>
        <w:t>WikiPathways</w:t>
      </w:r>
      <w:proofErr w:type="spellEnd"/>
      <w:r w:rsidRPr="00C601B7">
        <w:rPr>
          <w:rFonts w:ascii="Arial" w:hAnsi="Arial" w:cs="Arial"/>
        </w:rPr>
        <w:t xml:space="preserve"> 2019 Human gene groups over-represented in upregulated genes in ACPG group 1 following ENRICHR analysis.</w:t>
      </w:r>
      <w:r w:rsidR="00907F21" w:rsidRPr="00C601B7">
        <w:rPr>
          <w:rFonts w:ascii="Arial" w:hAnsi="Arial" w:cs="Arial"/>
        </w:rPr>
        <w:t xml:space="preserve"> </w:t>
      </w:r>
      <w:r w:rsidR="00C767F5" w:rsidRPr="00C601B7">
        <w:rPr>
          <w:rFonts w:ascii="Arial" w:hAnsi="Arial" w:cs="Arial"/>
          <w:b/>
          <w:bCs/>
        </w:rPr>
        <w:t>(C)</w:t>
      </w:r>
      <w:r w:rsidR="00C767F5" w:rsidRPr="00C601B7">
        <w:rPr>
          <w:rFonts w:ascii="Arial" w:hAnsi="Arial" w:cs="Arial"/>
        </w:rPr>
        <w:t xml:space="preserve"> Gene set enrichment analysis following differential gene expression analysis between ACPG group1 and ACPG group 2. Table displays GO Molecular Function 2018 gene groups over-represented in upregulated genes in ACPG group 2 following ENRICHR analysis.</w:t>
      </w:r>
      <w:r w:rsidR="00C767F5" w:rsidRPr="00C601B7">
        <w:rPr>
          <w:rFonts w:ascii="Arial" w:hAnsi="Arial" w:cs="Arial"/>
          <w:b/>
          <w:bCs/>
        </w:rPr>
        <w:t xml:space="preserve"> </w:t>
      </w:r>
      <w:r w:rsidR="006E7046" w:rsidRPr="00C601B7">
        <w:rPr>
          <w:rFonts w:ascii="Arial" w:hAnsi="Arial" w:cs="Arial"/>
          <w:b/>
          <w:bCs/>
        </w:rPr>
        <w:t>(</w:t>
      </w:r>
      <w:r w:rsidR="00C767F5" w:rsidRPr="00C601B7">
        <w:rPr>
          <w:rFonts w:ascii="Arial" w:hAnsi="Arial" w:cs="Arial"/>
          <w:b/>
          <w:bCs/>
        </w:rPr>
        <w:t>D</w:t>
      </w:r>
      <w:r w:rsidR="006E7046" w:rsidRPr="00C601B7">
        <w:rPr>
          <w:rFonts w:ascii="Arial" w:hAnsi="Arial" w:cs="Arial"/>
          <w:b/>
          <w:bCs/>
        </w:rPr>
        <w:t>)</w:t>
      </w:r>
      <w:r w:rsidR="006E7046" w:rsidRPr="00C601B7">
        <w:rPr>
          <w:rFonts w:ascii="Arial" w:hAnsi="Arial" w:cs="Arial"/>
        </w:rPr>
        <w:t xml:space="preserve"> Gene set enrichment analysis following differential gene expression analysis between metastatic osteosarcomas (circled in Figure 4B)</w:t>
      </w:r>
      <w:r w:rsidR="006E7046" w:rsidRPr="005A167E">
        <w:rPr>
          <w:rFonts w:ascii="Arial" w:hAnsi="Arial" w:cs="Arial"/>
        </w:rPr>
        <w:t xml:space="preserve"> and other and osteosarcomas. Table displays Human Gene Atlas gene groups over-represented in upregulated genes in metastatic osteosarcomas following ENRICHR analysis. </w:t>
      </w:r>
      <w:bookmarkEnd w:id="14"/>
    </w:p>
    <w:p w14:paraId="3909731C" w14:textId="77777777" w:rsidR="00E52988" w:rsidRPr="005A167E" w:rsidRDefault="00E52988" w:rsidP="00E52988">
      <w:pPr>
        <w:spacing w:line="360" w:lineRule="auto"/>
        <w:rPr>
          <w:rFonts w:ascii="Arial" w:hAnsi="Arial" w:cs="Arial"/>
        </w:rPr>
      </w:pPr>
    </w:p>
    <w:p w14:paraId="3A91B903" w14:textId="24C99927" w:rsidR="00E52988" w:rsidRPr="005A167E" w:rsidRDefault="00E52988" w:rsidP="00E52988">
      <w:pPr>
        <w:spacing w:line="360" w:lineRule="auto"/>
        <w:rPr>
          <w:rFonts w:ascii="Arial" w:hAnsi="Arial" w:cs="Arial"/>
        </w:rPr>
      </w:pPr>
      <w:bookmarkStart w:id="15" w:name="_Toc48281387"/>
      <w:bookmarkStart w:id="16" w:name="_Toc56128070"/>
      <w:bookmarkStart w:id="17" w:name="_Toc46854660"/>
      <w:r w:rsidRPr="005A167E">
        <w:rPr>
          <w:rStyle w:val="Heading2Char"/>
          <w:rFonts w:ascii="Arial" w:hAnsi="Arial" w:cs="Arial"/>
          <w:sz w:val="22"/>
          <w:szCs w:val="22"/>
        </w:rPr>
        <w:t>Supplementary Table S</w:t>
      </w:r>
      <w:r w:rsidR="7422908A" w:rsidRPr="005A167E">
        <w:rPr>
          <w:rStyle w:val="Heading2Char"/>
          <w:rFonts w:ascii="Arial" w:hAnsi="Arial" w:cs="Arial"/>
          <w:sz w:val="22"/>
          <w:szCs w:val="22"/>
        </w:rPr>
        <w:t>3</w:t>
      </w:r>
      <w:bookmarkEnd w:id="15"/>
      <w:bookmarkEnd w:id="16"/>
      <w:r w:rsidR="0062255B" w:rsidRPr="005A167E">
        <w:rPr>
          <w:rFonts w:ascii="Arial" w:hAnsi="Arial" w:cs="Arial"/>
        </w:rPr>
        <w:t>.</w:t>
      </w:r>
      <w:r w:rsidRPr="005A167E">
        <w:rPr>
          <w:rFonts w:ascii="Arial" w:hAnsi="Arial" w:cs="Arial"/>
        </w:rPr>
        <w:t xml:space="preserve"> </w:t>
      </w:r>
      <w:r w:rsidR="006E5F81" w:rsidRPr="005A167E">
        <w:rPr>
          <w:rFonts w:ascii="Arial" w:hAnsi="Arial" w:cs="Arial"/>
        </w:rPr>
        <w:t>Description of pediatric cancer subtypes in the categories of blood (hematologic malignancy), solid, brain, and germ cell tumor</w:t>
      </w:r>
      <w:r w:rsidR="00AF4452">
        <w:rPr>
          <w:rFonts w:ascii="Arial" w:hAnsi="Arial" w:cs="Arial"/>
        </w:rPr>
        <w:t>s available on St. Jude Cloud. Inclusion of the subtype in the t-SNE analysis presented in Figure 4</w:t>
      </w:r>
      <w:r w:rsidR="006E7046">
        <w:rPr>
          <w:rFonts w:ascii="Arial" w:hAnsi="Arial" w:cs="Arial"/>
        </w:rPr>
        <w:t>A-C</w:t>
      </w:r>
      <w:r w:rsidR="00AF4452">
        <w:rPr>
          <w:rFonts w:ascii="Arial" w:hAnsi="Arial" w:cs="Arial"/>
        </w:rPr>
        <w:t xml:space="preserve"> is indicated. Where applicable, categorization of the subtypes for </w:t>
      </w:r>
      <w:bookmarkEnd w:id="17"/>
      <w:r w:rsidR="00AF4452">
        <w:rPr>
          <w:rFonts w:ascii="Arial" w:hAnsi="Arial" w:cs="Arial"/>
        </w:rPr>
        <w:t>the mutation burden and COSMIC mutation signature analysis presented in Figure 5</w:t>
      </w:r>
      <w:r w:rsidR="006E7046">
        <w:rPr>
          <w:rFonts w:ascii="Arial" w:hAnsi="Arial" w:cs="Arial"/>
        </w:rPr>
        <w:t>A</w:t>
      </w:r>
      <w:r w:rsidR="00AF4452">
        <w:rPr>
          <w:rFonts w:ascii="Arial" w:hAnsi="Arial" w:cs="Arial"/>
        </w:rPr>
        <w:t xml:space="preserve"> is also indicated.</w:t>
      </w:r>
    </w:p>
    <w:p w14:paraId="140793E5" w14:textId="01C174D0" w:rsidR="00E52988" w:rsidRPr="005A167E" w:rsidRDefault="00E52988" w:rsidP="00E52988">
      <w:pPr>
        <w:spacing w:line="360" w:lineRule="auto"/>
        <w:rPr>
          <w:rFonts w:ascii="Arial" w:hAnsi="Arial" w:cs="Arial"/>
        </w:rPr>
      </w:pPr>
    </w:p>
    <w:p w14:paraId="4DC84337" w14:textId="77777777" w:rsidR="00E52988" w:rsidRPr="0062255B" w:rsidRDefault="00E52988">
      <w:pPr>
        <w:rPr>
          <w:rFonts w:ascii="Arial" w:hAnsi="Arial" w:cs="Arial"/>
          <w:sz w:val="20"/>
          <w:szCs w:val="20"/>
        </w:rPr>
      </w:pPr>
      <w:r w:rsidRPr="0062255B">
        <w:rPr>
          <w:rFonts w:ascii="Arial" w:hAnsi="Arial" w:cs="Arial"/>
          <w:sz w:val="20"/>
          <w:szCs w:val="20"/>
        </w:rPr>
        <w:br w:type="page"/>
      </w:r>
    </w:p>
    <w:p w14:paraId="3C52CBCD" w14:textId="5115D63A" w:rsidR="00E52988" w:rsidRPr="005A167E" w:rsidRDefault="00E52988" w:rsidP="0062255B">
      <w:pPr>
        <w:pStyle w:val="Heading1"/>
        <w:rPr>
          <w:rFonts w:ascii="Arial" w:hAnsi="Arial" w:cs="Arial"/>
          <w:b/>
          <w:bCs/>
          <w:shd w:val="clear" w:color="auto" w:fill="00FFFF"/>
        </w:rPr>
      </w:pPr>
      <w:bookmarkStart w:id="18" w:name="_Toc46854661"/>
      <w:bookmarkStart w:id="19" w:name="_Toc48281388"/>
      <w:bookmarkStart w:id="20" w:name="_Toc56128071"/>
      <w:r w:rsidRPr="005A167E">
        <w:rPr>
          <w:rFonts w:ascii="Arial" w:hAnsi="Arial" w:cs="Arial"/>
        </w:rPr>
        <w:lastRenderedPageBreak/>
        <w:t>SUPPLEMENTARY FIGURES</w:t>
      </w:r>
      <w:bookmarkEnd w:id="18"/>
      <w:bookmarkEnd w:id="19"/>
      <w:bookmarkEnd w:id="20"/>
    </w:p>
    <w:p w14:paraId="5B4243B1" w14:textId="55527F20" w:rsidR="00BC3C2B" w:rsidRPr="0062255B" w:rsidRDefault="00595415" w:rsidP="00BC3C2B">
      <w:pPr>
        <w:spacing w:line="360" w:lineRule="auto"/>
        <w:rPr>
          <w:rFonts w:ascii="Arial" w:hAnsi="Arial" w:cs="Arial"/>
          <w:b/>
          <w:bCs/>
          <w:sz w:val="20"/>
          <w:szCs w:val="20"/>
          <w:shd w:val="clear" w:color="auto" w:fill="00FFFF"/>
        </w:rPr>
      </w:pPr>
      <w:r>
        <w:rPr>
          <w:rFonts w:ascii="Arial" w:hAnsi="Arial" w:cs="Arial"/>
          <w:b/>
          <w:bCs/>
          <w:noProof/>
          <w:sz w:val="20"/>
          <w:szCs w:val="20"/>
          <w:shd w:val="clear" w:color="auto" w:fill="00FFFF"/>
        </w:rPr>
        <w:drawing>
          <wp:inline distT="0" distB="0" distL="0" distR="0" wp14:anchorId="58E3D460" wp14:editId="77D58A15">
            <wp:extent cx="5942965" cy="4482988"/>
            <wp:effectExtent l="0" t="0" r="635" b="63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b="11599"/>
                    <a:stretch/>
                  </pic:blipFill>
                  <pic:spPr bwMode="auto">
                    <a:xfrm>
                      <a:off x="0" y="0"/>
                      <a:ext cx="5943600" cy="4483467"/>
                    </a:xfrm>
                    <a:prstGeom prst="rect">
                      <a:avLst/>
                    </a:prstGeom>
                    <a:ln>
                      <a:noFill/>
                    </a:ln>
                    <a:extLst>
                      <a:ext uri="{53640926-AAD7-44D8-BBD7-CCE9431645EC}">
                        <a14:shadowObscured xmlns:a14="http://schemas.microsoft.com/office/drawing/2010/main"/>
                      </a:ext>
                    </a:extLst>
                  </pic:spPr>
                </pic:pic>
              </a:graphicData>
            </a:graphic>
          </wp:inline>
        </w:drawing>
      </w:r>
    </w:p>
    <w:p w14:paraId="0B659D27" w14:textId="19552674" w:rsidR="00595415" w:rsidRPr="005A167E" w:rsidRDefault="00595415" w:rsidP="00595415">
      <w:pPr>
        <w:spacing w:line="360" w:lineRule="auto"/>
        <w:rPr>
          <w:rFonts w:ascii="Arial" w:hAnsi="Arial" w:cs="Arial"/>
        </w:rPr>
      </w:pPr>
      <w:bookmarkStart w:id="21" w:name="_Toc56128072"/>
      <w:r w:rsidRPr="005A167E">
        <w:rPr>
          <w:rStyle w:val="Heading2Char"/>
          <w:rFonts w:ascii="Arial" w:hAnsi="Arial" w:cs="Arial"/>
          <w:sz w:val="22"/>
          <w:szCs w:val="22"/>
        </w:rPr>
        <w:t>Supplementary Figure S1</w:t>
      </w:r>
      <w:bookmarkEnd w:id="21"/>
      <w:r w:rsidRPr="005A167E">
        <w:rPr>
          <w:rFonts w:ascii="Arial" w:hAnsi="Arial" w:cs="Arial"/>
          <w:b/>
          <w:bCs/>
        </w:rPr>
        <w:t xml:space="preserve">. </w:t>
      </w:r>
      <w:r w:rsidR="006E5F81" w:rsidRPr="005A167E">
        <w:rPr>
          <w:rFonts w:ascii="Arial" w:hAnsi="Arial" w:cs="Arial"/>
        </w:rPr>
        <w:t>W</w:t>
      </w:r>
      <w:r w:rsidRPr="005A167E">
        <w:rPr>
          <w:rFonts w:ascii="Arial" w:hAnsi="Arial" w:cs="Arial"/>
        </w:rPr>
        <w:t xml:space="preserve">orkflow for monthly deposition of Real-time Clinical Genomics (RTCG) </w:t>
      </w:r>
      <w:r w:rsidR="006E5F81" w:rsidRPr="005A167E">
        <w:rPr>
          <w:rFonts w:ascii="Arial" w:hAnsi="Arial" w:cs="Arial"/>
        </w:rPr>
        <w:t>d</w:t>
      </w:r>
      <w:r w:rsidRPr="005A167E">
        <w:rPr>
          <w:rFonts w:ascii="Arial" w:hAnsi="Arial" w:cs="Arial"/>
        </w:rPr>
        <w:t>ata</w:t>
      </w:r>
      <w:r w:rsidR="006E5F81" w:rsidRPr="005A167E">
        <w:rPr>
          <w:rFonts w:ascii="Arial" w:hAnsi="Arial" w:cs="Arial"/>
        </w:rPr>
        <w:t xml:space="preserve"> onto St. Jude Cloud</w:t>
      </w:r>
      <w:r w:rsidRPr="005A167E">
        <w:rPr>
          <w:rFonts w:ascii="Arial" w:hAnsi="Arial" w:cs="Arial"/>
        </w:rPr>
        <w:t>. For WGS, WES and RNA-seq data generated from our CLIA/CAP-accredited laboratory, a check for informed consent for research use of patient data is performed following an embargo period (30 days) prior to transfer to the research computing environment. Following a further embargo period (90 days) the genomic data will be uploaded to the St. Jude Cloud with data harmonization performed and data quality assessed prior to release on the Genomics Platform of St. Jude Cloud.</w:t>
      </w:r>
    </w:p>
    <w:p w14:paraId="4C1C21A3" w14:textId="544A885B" w:rsidR="00595415" w:rsidRPr="005A167E" w:rsidRDefault="00595415">
      <w:pPr>
        <w:rPr>
          <w:rFonts w:ascii="Arial" w:hAnsi="Arial" w:cs="Arial"/>
          <w:b/>
          <w:bCs/>
          <w:shd w:val="clear" w:color="auto" w:fill="00FFFF"/>
        </w:rPr>
      </w:pPr>
    </w:p>
    <w:p w14:paraId="25990E26" w14:textId="77777777" w:rsidR="00E52988" w:rsidRPr="0062255B" w:rsidRDefault="00E52988" w:rsidP="00DA52BE">
      <w:pPr>
        <w:spacing w:line="360" w:lineRule="auto"/>
        <w:rPr>
          <w:rFonts w:ascii="Arial" w:hAnsi="Arial" w:cs="Arial"/>
          <w:b/>
          <w:bCs/>
          <w:sz w:val="20"/>
          <w:szCs w:val="20"/>
          <w:shd w:val="clear" w:color="auto" w:fill="00FFFF"/>
        </w:rPr>
      </w:pPr>
    </w:p>
    <w:p w14:paraId="26B611D4" w14:textId="77777777" w:rsidR="00E52988" w:rsidRPr="0062255B" w:rsidRDefault="00E52988" w:rsidP="00DA52BE">
      <w:pPr>
        <w:spacing w:line="360" w:lineRule="auto"/>
        <w:rPr>
          <w:rFonts w:ascii="Arial" w:hAnsi="Arial" w:cs="Arial"/>
          <w:b/>
          <w:bCs/>
          <w:sz w:val="20"/>
          <w:szCs w:val="20"/>
          <w:shd w:val="clear" w:color="auto" w:fill="00FFFF"/>
        </w:rPr>
      </w:pPr>
    </w:p>
    <w:p w14:paraId="0455B9D8" w14:textId="1469D300" w:rsidR="00DA52BE" w:rsidRPr="0062255B" w:rsidRDefault="00DA52BE" w:rsidP="25EB717C">
      <w:pPr>
        <w:spacing w:line="360" w:lineRule="auto"/>
      </w:pPr>
    </w:p>
    <w:p w14:paraId="67C75734" w14:textId="77777777" w:rsidR="00DA52BE" w:rsidRPr="0062255B" w:rsidRDefault="00DA52BE" w:rsidP="00DA52BE">
      <w:pPr>
        <w:spacing w:line="360" w:lineRule="auto"/>
        <w:rPr>
          <w:rFonts w:ascii="Arial" w:hAnsi="Arial" w:cs="Arial"/>
          <w:b/>
          <w:bCs/>
          <w:sz w:val="20"/>
          <w:szCs w:val="20"/>
          <w:shd w:val="clear" w:color="auto" w:fill="00FFFF"/>
        </w:rPr>
      </w:pPr>
    </w:p>
    <w:p w14:paraId="65694785" w14:textId="5DE2F557" w:rsidR="00DA52BE" w:rsidRPr="005A167E" w:rsidRDefault="00613720" w:rsidP="00DA52BE">
      <w:pPr>
        <w:spacing w:line="360" w:lineRule="auto"/>
        <w:rPr>
          <w:rFonts w:ascii="Arial" w:hAnsi="Arial" w:cs="Arial"/>
        </w:rPr>
      </w:pPr>
      <w:bookmarkStart w:id="22" w:name="_Toc48281389"/>
      <w:bookmarkStart w:id="23" w:name="_Toc56128073"/>
      <w:bookmarkStart w:id="24" w:name="_Toc46854662"/>
      <w:r>
        <w:rPr>
          <w:rFonts w:ascii="Arial" w:eastAsiaTheme="majorEastAsia" w:hAnsi="Arial" w:cs="Arial"/>
          <w:noProof/>
          <w:color w:val="2F5496" w:themeColor="accent1" w:themeShade="BF"/>
        </w:rPr>
        <w:lastRenderedPageBreak/>
        <w:drawing>
          <wp:inline distT="0" distB="0" distL="0" distR="0" wp14:anchorId="66EAF9F2" wp14:editId="06B62CB2">
            <wp:extent cx="5943600" cy="336665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2" cstate="print">
                      <a:extLst>
                        <a:ext uri="{28A0092B-C50C-407E-A947-70E740481C1C}">
                          <a14:useLocalDpi xmlns:a14="http://schemas.microsoft.com/office/drawing/2010/main" val="0"/>
                        </a:ext>
                      </a:extLst>
                    </a:blip>
                    <a:srcRect b="9525"/>
                    <a:stretch/>
                  </pic:blipFill>
                  <pic:spPr bwMode="auto">
                    <a:xfrm>
                      <a:off x="0" y="0"/>
                      <a:ext cx="5943600" cy="3366655"/>
                    </a:xfrm>
                    <a:prstGeom prst="rect">
                      <a:avLst/>
                    </a:prstGeom>
                    <a:ln>
                      <a:noFill/>
                    </a:ln>
                    <a:extLst>
                      <a:ext uri="{53640926-AAD7-44D8-BBD7-CCE9431645EC}">
                        <a14:shadowObscured xmlns:a14="http://schemas.microsoft.com/office/drawing/2010/main"/>
                      </a:ext>
                    </a:extLst>
                  </pic:spPr>
                </pic:pic>
              </a:graphicData>
            </a:graphic>
          </wp:inline>
        </w:drawing>
      </w:r>
      <w:r w:rsidR="00DA52BE" w:rsidRPr="005A167E">
        <w:rPr>
          <w:rStyle w:val="Heading2Char"/>
          <w:rFonts w:ascii="Arial" w:hAnsi="Arial" w:cs="Arial"/>
          <w:sz w:val="22"/>
          <w:szCs w:val="22"/>
        </w:rPr>
        <w:t xml:space="preserve">Supplementary Figure </w:t>
      </w:r>
      <w:r w:rsidR="00DC34AC" w:rsidRPr="005A167E">
        <w:rPr>
          <w:rStyle w:val="Heading2Char"/>
          <w:rFonts w:ascii="Arial" w:hAnsi="Arial" w:cs="Arial"/>
          <w:sz w:val="22"/>
          <w:szCs w:val="22"/>
        </w:rPr>
        <w:t>S</w:t>
      </w:r>
      <w:bookmarkEnd w:id="22"/>
      <w:r w:rsidR="00595415" w:rsidRPr="005A167E">
        <w:rPr>
          <w:rStyle w:val="Heading2Char"/>
          <w:rFonts w:ascii="Arial" w:hAnsi="Arial" w:cs="Arial"/>
          <w:sz w:val="22"/>
          <w:szCs w:val="22"/>
        </w:rPr>
        <w:t>2</w:t>
      </w:r>
      <w:bookmarkEnd w:id="23"/>
      <w:r w:rsidR="00DA52BE" w:rsidRPr="005A167E">
        <w:rPr>
          <w:rFonts w:ascii="Arial" w:hAnsi="Arial" w:cs="Arial"/>
          <w:b/>
          <w:bCs/>
        </w:rPr>
        <w:t xml:space="preserve">. </w:t>
      </w:r>
      <w:r w:rsidR="00DA52BE" w:rsidRPr="005A167E">
        <w:rPr>
          <w:rFonts w:ascii="Arial" w:hAnsi="Arial" w:cs="Arial"/>
        </w:rPr>
        <w:t xml:space="preserve">Data sharing with the global research community. </w:t>
      </w:r>
      <w:r w:rsidR="3C3B92D3" w:rsidRPr="005A167E">
        <w:rPr>
          <w:rFonts w:ascii="Arial" w:hAnsi="Arial" w:cs="Arial"/>
        </w:rPr>
        <w:t>The number</w:t>
      </w:r>
      <w:r w:rsidR="00DA52BE" w:rsidRPr="005A167E">
        <w:rPr>
          <w:rFonts w:ascii="Arial" w:hAnsi="Arial" w:cs="Arial"/>
        </w:rPr>
        <w:t xml:space="preserve"> of approved data requests </w:t>
      </w:r>
      <w:r w:rsidR="406CCC4C" w:rsidRPr="005A167E">
        <w:rPr>
          <w:rFonts w:ascii="Arial" w:hAnsi="Arial" w:cs="Arial"/>
        </w:rPr>
        <w:t xml:space="preserve">per institution </w:t>
      </w:r>
      <w:r w:rsidR="4B191499" w:rsidRPr="005A167E">
        <w:rPr>
          <w:rFonts w:ascii="Arial" w:hAnsi="Arial" w:cs="Arial"/>
        </w:rPr>
        <w:t xml:space="preserve">throughout the world </w:t>
      </w:r>
      <w:r w:rsidR="00DA52BE" w:rsidRPr="005A167E">
        <w:rPr>
          <w:rFonts w:ascii="Arial" w:hAnsi="Arial" w:cs="Arial"/>
        </w:rPr>
        <w:t>are indicated by colo</w:t>
      </w:r>
      <w:r w:rsidR="2993E37E" w:rsidRPr="005A167E">
        <w:rPr>
          <w:rFonts w:ascii="Arial" w:hAnsi="Arial" w:cs="Arial"/>
        </w:rPr>
        <w:t xml:space="preserve">r. </w:t>
      </w:r>
      <w:r w:rsidR="43598507" w:rsidRPr="005A167E">
        <w:rPr>
          <w:rFonts w:ascii="Arial" w:hAnsi="Arial" w:cs="Arial"/>
        </w:rPr>
        <w:t>The institutions granted access to clinical genomics (</w:t>
      </w:r>
      <w:proofErr w:type="spellStart"/>
      <w:r w:rsidR="43598507" w:rsidRPr="005A167E">
        <w:rPr>
          <w:rFonts w:ascii="Arial" w:hAnsi="Arial" w:cs="Arial"/>
        </w:rPr>
        <w:t>ClinGen</w:t>
      </w:r>
      <w:proofErr w:type="spellEnd"/>
      <w:r w:rsidR="43598507" w:rsidRPr="005A167E">
        <w:rPr>
          <w:rFonts w:ascii="Arial" w:hAnsi="Arial" w:cs="Arial"/>
        </w:rPr>
        <w:t>) data are indicated with a red dot.</w:t>
      </w:r>
      <w:bookmarkEnd w:id="24"/>
    </w:p>
    <w:p w14:paraId="53873053" w14:textId="77777777" w:rsidR="00DA52BE" w:rsidRPr="0062255B" w:rsidRDefault="00DA52BE" w:rsidP="00BE2A74">
      <w:pPr>
        <w:spacing w:line="360" w:lineRule="auto"/>
        <w:rPr>
          <w:rFonts w:ascii="Arial" w:hAnsi="Arial" w:cs="Arial"/>
          <w:b/>
          <w:bCs/>
          <w:sz w:val="20"/>
          <w:szCs w:val="20"/>
        </w:rPr>
      </w:pPr>
    </w:p>
    <w:p w14:paraId="5FE43456" w14:textId="77777777" w:rsidR="00BC3C2B" w:rsidRPr="0062255B" w:rsidRDefault="00BC3C2B" w:rsidP="00BC3C2B">
      <w:pPr>
        <w:spacing w:line="360" w:lineRule="auto"/>
        <w:rPr>
          <w:rFonts w:ascii="Arial" w:hAnsi="Arial" w:cs="Arial"/>
          <w:b/>
          <w:bCs/>
          <w:sz w:val="20"/>
          <w:szCs w:val="20"/>
          <w:shd w:val="clear" w:color="auto" w:fill="00FFFF"/>
        </w:rPr>
      </w:pPr>
    </w:p>
    <w:p w14:paraId="32B68727" w14:textId="1A1DAE23" w:rsidR="00334C7E" w:rsidRPr="0062255B" w:rsidRDefault="00334C7E" w:rsidP="00334C7E">
      <w:pPr>
        <w:spacing w:line="360" w:lineRule="auto"/>
        <w:rPr>
          <w:rFonts w:ascii="Arial" w:hAnsi="Arial" w:cs="Arial"/>
          <w:b/>
          <w:bCs/>
          <w:sz w:val="20"/>
          <w:szCs w:val="20"/>
          <w:shd w:val="clear" w:color="auto" w:fill="00FFFF"/>
        </w:rPr>
      </w:pPr>
    </w:p>
    <w:p w14:paraId="015BDD21" w14:textId="4D7B57C4" w:rsidR="00613720" w:rsidRDefault="00C35ACC" w:rsidP="00334C7E">
      <w:pPr>
        <w:spacing w:line="360" w:lineRule="auto"/>
        <w:rPr>
          <w:noProof/>
        </w:rPr>
      </w:pPr>
      <w:r w:rsidRPr="00C35ACC">
        <w:rPr>
          <w:noProof/>
        </w:rPr>
        <w:t xml:space="preserve"> </w:t>
      </w:r>
    </w:p>
    <w:p w14:paraId="0FE2D83E" w14:textId="77777777" w:rsidR="00613720" w:rsidRDefault="00613720">
      <w:pPr>
        <w:rPr>
          <w:noProof/>
        </w:rPr>
      </w:pPr>
      <w:r>
        <w:rPr>
          <w:noProof/>
        </w:rPr>
        <w:br w:type="page"/>
      </w:r>
    </w:p>
    <w:p w14:paraId="54C966D8" w14:textId="77777777" w:rsidR="00334C7E" w:rsidRPr="0062255B" w:rsidRDefault="00334C7E" w:rsidP="00334C7E">
      <w:pPr>
        <w:spacing w:line="360" w:lineRule="auto"/>
        <w:rPr>
          <w:rFonts w:ascii="Arial" w:hAnsi="Arial" w:cs="Arial"/>
          <w:b/>
          <w:bCs/>
          <w:sz w:val="20"/>
          <w:szCs w:val="20"/>
          <w:shd w:val="clear" w:color="auto" w:fill="00FFFF"/>
        </w:rPr>
      </w:pPr>
    </w:p>
    <w:p w14:paraId="5582DA93" w14:textId="75E470DC" w:rsidR="00334C7E" w:rsidRPr="0062255B" w:rsidRDefault="002612C6" w:rsidP="00334C7E">
      <w:pPr>
        <w:spacing w:line="360" w:lineRule="auto"/>
        <w:rPr>
          <w:rFonts w:ascii="Arial" w:hAnsi="Arial" w:cs="Arial"/>
          <w:b/>
          <w:bCs/>
          <w:sz w:val="20"/>
          <w:szCs w:val="20"/>
          <w:shd w:val="clear" w:color="auto" w:fill="00FFFF"/>
        </w:rPr>
      </w:pPr>
      <w:r>
        <w:rPr>
          <w:rFonts w:ascii="Arial" w:hAnsi="Arial" w:cs="Arial"/>
          <w:b/>
          <w:bCs/>
          <w:noProof/>
          <w:sz w:val="20"/>
          <w:szCs w:val="20"/>
          <w:shd w:val="clear" w:color="auto" w:fill="00FFFF"/>
        </w:rPr>
        <w:drawing>
          <wp:inline distT="0" distB="0" distL="0" distR="0" wp14:anchorId="65AD7BCE" wp14:editId="214F2FAB">
            <wp:extent cx="5943600" cy="5320145"/>
            <wp:effectExtent l="0" t="0" r="0" b="127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3" cstate="print">
                      <a:extLst>
                        <a:ext uri="{28A0092B-C50C-407E-A947-70E740481C1C}">
                          <a14:useLocalDpi xmlns:a14="http://schemas.microsoft.com/office/drawing/2010/main" val="0"/>
                        </a:ext>
                      </a:extLst>
                    </a:blip>
                    <a:srcRect b="8235"/>
                    <a:stretch/>
                  </pic:blipFill>
                  <pic:spPr bwMode="auto">
                    <a:xfrm>
                      <a:off x="0" y="0"/>
                      <a:ext cx="5943600" cy="5320145"/>
                    </a:xfrm>
                    <a:prstGeom prst="rect">
                      <a:avLst/>
                    </a:prstGeom>
                    <a:ln>
                      <a:noFill/>
                    </a:ln>
                    <a:extLst>
                      <a:ext uri="{53640926-AAD7-44D8-BBD7-CCE9431645EC}">
                        <a14:shadowObscured xmlns:a14="http://schemas.microsoft.com/office/drawing/2010/main"/>
                      </a:ext>
                    </a:extLst>
                  </pic:spPr>
                </pic:pic>
              </a:graphicData>
            </a:graphic>
          </wp:inline>
        </w:drawing>
      </w:r>
    </w:p>
    <w:p w14:paraId="235899EC" w14:textId="77777777" w:rsidR="0060072D" w:rsidRDefault="0060072D" w:rsidP="00334C7E">
      <w:pPr>
        <w:spacing w:line="360" w:lineRule="auto"/>
        <w:rPr>
          <w:rStyle w:val="Heading2Char"/>
          <w:rFonts w:ascii="Arial" w:hAnsi="Arial" w:cs="Arial"/>
          <w:sz w:val="22"/>
          <w:szCs w:val="22"/>
        </w:rPr>
      </w:pPr>
      <w:bookmarkStart w:id="25" w:name="_Toc46854663"/>
      <w:bookmarkStart w:id="26" w:name="_Toc48281390"/>
      <w:bookmarkStart w:id="27" w:name="_Toc56128074"/>
    </w:p>
    <w:p w14:paraId="69310598" w14:textId="60B609B7" w:rsidR="00334C7E" w:rsidRPr="005A167E" w:rsidRDefault="00334C7E" w:rsidP="00334C7E">
      <w:pPr>
        <w:spacing w:line="360" w:lineRule="auto"/>
        <w:rPr>
          <w:rFonts w:ascii="Arial" w:hAnsi="Arial" w:cs="Arial"/>
        </w:rPr>
      </w:pPr>
      <w:r w:rsidRPr="005A167E">
        <w:rPr>
          <w:rStyle w:val="Heading2Char"/>
          <w:rFonts w:ascii="Arial" w:hAnsi="Arial" w:cs="Arial"/>
          <w:sz w:val="22"/>
          <w:szCs w:val="22"/>
        </w:rPr>
        <w:t xml:space="preserve">Supplementary Figure </w:t>
      </w:r>
      <w:r w:rsidR="00DC34AC" w:rsidRPr="005A167E">
        <w:rPr>
          <w:rStyle w:val="Heading2Char"/>
          <w:rFonts w:ascii="Arial" w:hAnsi="Arial" w:cs="Arial"/>
          <w:sz w:val="22"/>
          <w:szCs w:val="22"/>
        </w:rPr>
        <w:t>S</w:t>
      </w:r>
      <w:bookmarkEnd w:id="25"/>
      <w:bookmarkEnd w:id="26"/>
      <w:r w:rsidR="00595415" w:rsidRPr="005A167E">
        <w:rPr>
          <w:rStyle w:val="Heading2Char"/>
          <w:rFonts w:ascii="Arial" w:hAnsi="Arial" w:cs="Arial"/>
          <w:sz w:val="22"/>
          <w:szCs w:val="22"/>
        </w:rPr>
        <w:t>3</w:t>
      </w:r>
      <w:bookmarkEnd w:id="27"/>
      <w:r w:rsidR="0062255B" w:rsidRPr="005A167E">
        <w:rPr>
          <w:rStyle w:val="Heading1Char"/>
          <w:rFonts w:ascii="Arial" w:hAnsi="Arial" w:cs="Arial"/>
          <w:sz w:val="22"/>
          <w:szCs w:val="22"/>
        </w:rPr>
        <w:t>.</w:t>
      </w:r>
      <w:r w:rsidR="00C101EB" w:rsidRPr="005A167E">
        <w:rPr>
          <w:rStyle w:val="Heading1Char"/>
          <w:rFonts w:ascii="Arial" w:hAnsi="Arial" w:cs="Arial"/>
          <w:sz w:val="22"/>
          <w:szCs w:val="22"/>
        </w:rPr>
        <w:t xml:space="preserve"> </w:t>
      </w:r>
      <w:r w:rsidR="00C101EB" w:rsidRPr="005A167E">
        <w:rPr>
          <w:rFonts w:ascii="Arial" w:hAnsi="Arial" w:cs="Arial"/>
        </w:rPr>
        <w:t xml:space="preserve">Analysis of two groups of </w:t>
      </w:r>
      <w:proofErr w:type="spellStart"/>
      <w:r w:rsidR="00C101EB" w:rsidRPr="005A167E">
        <w:rPr>
          <w:rFonts w:ascii="Arial" w:hAnsi="Arial" w:cs="Arial"/>
        </w:rPr>
        <w:t>adamantinomatous</w:t>
      </w:r>
      <w:proofErr w:type="spellEnd"/>
      <w:r w:rsidR="00C101EB" w:rsidRPr="005A167E">
        <w:rPr>
          <w:rFonts w:ascii="Arial" w:hAnsi="Arial" w:cs="Arial"/>
        </w:rPr>
        <w:t xml:space="preserve"> craniopharyngioma (ACPG) </w:t>
      </w:r>
      <w:r w:rsidR="006E5F81" w:rsidRPr="005A167E">
        <w:rPr>
          <w:rFonts w:ascii="Arial" w:hAnsi="Arial" w:cs="Arial"/>
        </w:rPr>
        <w:t xml:space="preserve">highlighted </w:t>
      </w:r>
      <w:r w:rsidR="00C101EB" w:rsidRPr="005A167E">
        <w:rPr>
          <w:rFonts w:ascii="Arial" w:hAnsi="Arial" w:cs="Arial"/>
        </w:rPr>
        <w:t>in Figure 4C.</w:t>
      </w:r>
      <w:r w:rsidR="00C101EB" w:rsidRPr="005A167E">
        <w:rPr>
          <w:rStyle w:val="Heading1Char"/>
          <w:rFonts w:ascii="Arial" w:hAnsi="Arial" w:cs="Arial"/>
          <w:color w:val="000000" w:themeColor="text1"/>
          <w:sz w:val="22"/>
          <w:szCs w:val="22"/>
        </w:rPr>
        <w:t xml:space="preserve"> </w:t>
      </w:r>
      <w:r w:rsidR="00C101EB" w:rsidRPr="005A167E">
        <w:rPr>
          <w:rStyle w:val="Heading1Char"/>
          <w:rFonts w:ascii="Arial" w:hAnsi="Arial" w:cs="Arial"/>
          <w:b/>
          <w:bCs/>
          <w:color w:val="000000" w:themeColor="text1"/>
          <w:sz w:val="22"/>
          <w:szCs w:val="22"/>
        </w:rPr>
        <w:t>(</w:t>
      </w:r>
      <w:r w:rsidR="00705DC4" w:rsidRPr="005A167E">
        <w:rPr>
          <w:rStyle w:val="Heading1Char"/>
          <w:rFonts w:ascii="Arial" w:hAnsi="Arial" w:cs="Arial"/>
          <w:b/>
          <w:bCs/>
          <w:color w:val="000000" w:themeColor="text1"/>
          <w:sz w:val="22"/>
          <w:szCs w:val="22"/>
        </w:rPr>
        <w:t>A)</w:t>
      </w:r>
      <w:r w:rsidR="00705DC4" w:rsidRPr="005A167E">
        <w:rPr>
          <w:rStyle w:val="Heading1Char"/>
          <w:rFonts w:ascii="Arial" w:hAnsi="Arial" w:cs="Arial"/>
          <w:color w:val="000000" w:themeColor="text1"/>
          <w:sz w:val="22"/>
          <w:szCs w:val="22"/>
        </w:rPr>
        <w:t xml:space="preserve"> </w:t>
      </w:r>
      <w:r w:rsidR="00705DC4" w:rsidRPr="005A167E">
        <w:rPr>
          <w:rFonts w:ascii="Arial" w:eastAsiaTheme="majorEastAsia" w:hAnsi="Arial" w:cs="Arial"/>
          <w:color w:val="000000" w:themeColor="text1"/>
        </w:rPr>
        <w:t xml:space="preserve">Volcano plot displaying differential gene expression </w:t>
      </w:r>
      <w:r w:rsidR="00A30D39" w:rsidRPr="005A167E">
        <w:rPr>
          <w:rFonts w:ascii="Arial" w:eastAsiaTheme="majorEastAsia" w:hAnsi="Arial" w:cs="Arial"/>
          <w:color w:val="000000" w:themeColor="text1"/>
        </w:rPr>
        <w:t xml:space="preserve">(DGE) </w:t>
      </w:r>
      <w:r w:rsidR="00705DC4" w:rsidRPr="005A167E">
        <w:rPr>
          <w:rFonts w:ascii="Arial" w:eastAsiaTheme="majorEastAsia" w:hAnsi="Arial" w:cs="Arial"/>
          <w:color w:val="000000" w:themeColor="text1"/>
        </w:rPr>
        <w:t xml:space="preserve">analysis between ACPG </w:t>
      </w:r>
      <w:r w:rsidR="00A30D39" w:rsidRPr="005A167E">
        <w:rPr>
          <w:rFonts w:ascii="Arial" w:eastAsiaTheme="majorEastAsia" w:hAnsi="Arial" w:cs="Arial"/>
          <w:color w:val="000000" w:themeColor="text1"/>
        </w:rPr>
        <w:t>G</w:t>
      </w:r>
      <w:r w:rsidR="00705DC4" w:rsidRPr="005A167E">
        <w:rPr>
          <w:rFonts w:ascii="Arial" w:eastAsiaTheme="majorEastAsia" w:hAnsi="Arial" w:cs="Arial"/>
          <w:color w:val="000000" w:themeColor="text1"/>
        </w:rPr>
        <w:t xml:space="preserve">roup 1 and 2. Here DGE analysis shows an over-representation of </w:t>
      </w:r>
      <w:proofErr w:type="spellStart"/>
      <w:r w:rsidR="00705DC4" w:rsidRPr="005A167E">
        <w:rPr>
          <w:rFonts w:ascii="Arial" w:eastAsiaTheme="majorEastAsia" w:hAnsi="Arial" w:cs="Arial"/>
          <w:color w:val="000000" w:themeColor="text1"/>
        </w:rPr>
        <w:t>oligodendrocytic</w:t>
      </w:r>
      <w:proofErr w:type="spellEnd"/>
      <w:r w:rsidR="00705DC4" w:rsidRPr="005A167E">
        <w:rPr>
          <w:rFonts w:ascii="Arial" w:eastAsiaTheme="majorEastAsia" w:hAnsi="Arial" w:cs="Arial"/>
          <w:color w:val="000000" w:themeColor="text1"/>
        </w:rPr>
        <w:t xml:space="preserve"> (blue), prefrontal cortex (yellow), and fetal brain (red) genes in ACPG </w:t>
      </w:r>
      <w:r w:rsidR="00A30D39" w:rsidRPr="005A167E">
        <w:rPr>
          <w:rFonts w:ascii="Arial" w:eastAsiaTheme="majorEastAsia" w:hAnsi="Arial" w:cs="Arial"/>
          <w:color w:val="000000" w:themeColor="text1"/>
        </w:rPr>
        <w:t>G</w:t>
      </w:r>
      <w:r w:rsidR="00705DC4" w:rsidRPr="005A167E">
        <w:rPr>
          <w:rFonts w:ascii="Arial" w:eastAsiaTheme="majorEastAsia" w:hAnsi="Arial" w:cs="Arial"/>
          <w:color w:val="000000" w:themeColor="text1"/>
        </w:rPr>
        <w:t xml:space="preserve">roup 1, while overrepresentation of matrix metallopeptidase (MMP) genes (green) is seen in ACPG </w:t>
      </w:r>
      <w:r w:rsidR="00A30D39" w:rsidRPr="005A167E">
        <w:rPr>
          <w:rFonts w:ascii="Arial" w:eastAsiaTheme="majorEastAsia" w:hAnsi="Arial" w:cs="Arial"/>
          <w:color w:val="000000" w:themeColor="text1"/>
        </w:rPr>
        <w:t>G</w:t>
      </w:r>
      <w:r w:rsidR="00705DC4" w:rsidRPr="005A167E">
        <w:rPr>
          <w:rFonts w:ascii="Arial" w:eastAsiaTheme="majorEastAsia" w:hAnsi="Arial" w:cs="Arial"/>
          <w:color w:val="000000" w:themeColor="text1"/>
        </w:rPr>
        <w:t xml:space="preserve">roup 2. </w:t>
      </w:r>
      <w:r w:rsidRPr="005A167E">
        <w:rPr>
          <w:rFonts w:ascii="Arial" w:hAnsi="Arial" w:cs="Arial"/>
          <w:b/>
          <w:bCs/>
        </w:rPr>
        <w:t>(</w:t>
      </w:r>
      <w:r w:rsidR="00705DC4" w:rsidRPr="005A167E">
        <w:rPr>
          <w:rFonts w:ascii="Arial" w:hAnsi="Arial" w:cs="Arial"/>
          <w:b/>
          <w:bCs/>
        </w:rPr>
        <w:t>B</w:t>
      </w:r>
      <w:r w:rsidRPr="005A167E">
        <w:rPr>
          <w:rFonts w:ascii="Arial" w:hAnsi="Arial" w:cs="Arial"/>
          <w:b/>
          <w:bCs/>
        </w:rPr>
        <w:t>)</w:t>
      </w:r>
      <w:r w:rsidRPr="005A167E">
        <w:rPr>
          <w:rFonts w:ascii="Arial" w:hAnsi="Arial" w:cs="Arial"/>
        </w:rPr>
        <w:t xml:space="preserve"> </w:t>
      </w:r>
      <w:r w:rsidR="001F77ED" w:rsidRPr="005A167E">
        <w:rPr>
          <w:rFonts w:ascii="Arial" w:hAnsi="Arial" w:cs="Arial"/>
        </w:rPr>
        <w:t>Somatic mutation status and demographic information of the</w:t>
      </w:r>
      <w:r w:rsidR="00A30D39" w:rsidRPr="005A167E">
        <w:rPr>
          <w:rFonts w:ascii="Arial" w:hAnsi="Arial" w:cs="Arial"/>
        </w:rPr>
        <w:t xml:space="preserve"> ACPG sample</w:t>
      </w:r>
      <w:r w:rsidR="001F77ED" w:rsidRPr="005A167E">
        <w:rPr>
          <w:rFonts w:ascii="Arial" w:hAnsi="Arial" w:cs="Arial"/>
        </w:rPr>
        <w:t>s</w:t>
      </w:r>
      <w:r w:rsidR="00A30D39" w:rsidRPr="005A167E">
        <w:rPr>
          <w:rFonts w:ascii="Arial" w:hAnsi="Arial" w:cs="Arial"/>
        </w:rPr>
        <w:t xml:space="preserve"> </w:t>
      </w:r>
      <w:r w:rsidR="001F77ED" w:rsidRPr="005A167E">
        <w:rPr>
          <w:rFonts w:ascii="Arial" w:hAnsi="Arial" w:cs="Arial"/>
        </w:rPr>
        <w:t>in</w:t>
      </w:r>
      <w:r w:rsidR="00A30D39" w:rsidRPr="005A167E">
        <w:rPr>
          <w:rFonts w:ascii="Arial" w:hAnsi="Arial" w:cs="Arial"/>
        </w:rPr>
        <w:t xml:space="preserve"> ACPG Group 1 and 2</w:t>
      </w:r>
      <w:r w:rsidRPr="005A167E">
        <w:rPr>
          <w:rFonts w:ascii="Arial" w:hAnsi="Arial" w:cs="Arial"/>
        </w:rPr>
        <w:t xml:space="preserve">. CTNNB1 mutational variant allele frequencies (VAF) were determined from whole-genome (WGS) or whole-exome (WES) sequencing data. Where CTNNB1 VAFs were calculated from both WGS and WES, a range is presented. </w:t>
      </w:r>
      <w:r w:rsidRPr="005A167E">
        <w:rPr>
          <w:rFonts w:ascii="Arial" w:hAnsi="Arial" w:cs="Arial"/>
          <w:b/>
          <w:bCs/>
        </w:rPr>
        <w:t>(</w:t>
      </w:r>
      <w:r w:rsidR="00705DC4" w:rsidRPr="005A167E">
        <w:rPr>
          <w:rFonts w:ascii="Arial" w:hAnsi="Arial" w:cs="Arial"/>
          <w:b/>
          <w:bCs/>
        </w:rPr>
        <w:t>C</w:t>
      </w:r>
      <w:r w:rsidRPr="005A167E">
        <w:rPr>
          <w:rFonts w:ascii="Arial" w:hAnsi="Arial" w:cs="Arial"/>
          <w:b/>
          <w:bCs/>
        </w:rPr>
        <w:t>)</w:t>
      </w:r>
      <w:r w:rsidRPr="005A167E">
        <w:rPr>
          <w:rFonts w:ascii="Arial" w:hAnsi="Arial" w:cs="Arial"/>
        </w:rPr>
        <w:t xml:space="preserve"> Boxplots of Keratin (KRT7, KRT8, and KRT14) gene expression observed in ACPG Group 1 and 2 samples. </w:t>
      </w:r>
      <w:r w:rsidR="002B1ECF" w:rsidRPr="005A167E">
        <w:rPr>
          <w:rFonts w:ascii="Arial" w:hAnsi="Arial" w:cs="Arial"/>
        </w:rPr>
        <w:t xml:space="preserve">Note p-values </w:t>
      </w:r>
      <w:r w:rsidR="002B1ECF" w:rsidRPr="005A167E">
        <w:rPr>
          <w:rFonts w:ascii="Arial" w:hAnsi="Arial" w:cs="Arial"/>
        </w:rPr>
        <w:lastRenderedPageBreak/>
        <w:t>calculated using a t-test.</w:t>
      </w:r>
      <w:r w:rsidR="002B1ECF" w:rsidRPr="005A167E">
        <w:rPr>
          <w:rFonts w:ascii="Arial" w:hAnsi="Arial" w:cs="Arial"/>
          <w:b/>
          <w:bCs/>
        </w:rPr>
        <w:t xml:space="preserve"> </w:t>
      </w:r>
      <w:r w:rsidRPr="005A167E">
        <w:rPr>
          <w:rFonts w:ascii="Arial" w:hAnsi="Arial" w:cs="Arial"/>
          <w:b/>
          <w:bCs/>
        </w:rPr>
        <w:t>(</w:t>
      </w:r>
      <w:r w:rsidR="00705DC4" w:rsidRPr="005A167E">
        <w:rPr>
          <w:rFonts w:ascii="Arial" w:hAnsi="Arial" w:cs="Arial"/>
          <w:b/>
          <w:bCs/>
        </w:rPr>
        <w:t>D</w:t>
      </w:r>
      <w:r w:rsidRPr="005A167E">
        <w:rPr>
          <w:rFonts w:ascii="Arial" w:hAnsi="Arial" w:cs="Arial"/>
          <w:b/>
          <w:bCs/>
        </w:rPr>
        <w:t>)</w:t>
      </w:r>
      <w:r w:rsidRPr="005A167E">
        <w:rPr>
          <w:rFonts w:ascii="Arial" w:hAnsi="Arial" w:cs="Arial"/>
        </w:rPr>
        <w:t xml:space="preserve"> </w:t>
      </w:r>
      <w:r w:rsidR="00BE2A74" w:rsidRPr="005A167E">
        <w:rPr>
          <w:rFonts w:ascii="Arial" w:hAnsi="Arial" w:cs="Arial"/>
        </w:rPr>
        <w:t>Bo</w:t>
      </w:r>
      <w:r w:rsidRPr="005A167E">
        <w:rPr>
          <w:rFonts w:ascii="Arial" w:hAnsi="Arial" w:cs="Arial"/>
        </w:rPr>
        <w:t xml:space="preserve">xplots of select absolute gene expression observed in ACPG </w:t>
      </w:r>
      <w:r w:rsidR="00A30D39" w:rsidRPr="005A167E">
        <w:rPr>
          <w:rFonts w:ascii="Arial" w:hAnsi="Arial" w:cs="Arial"/>
        </w:rPr>
        <w:t>g</w:t>
      </w:r>
      <w:r w:rsidRPr="005A167E">
        <w:rPr>
          <w:rFonts w:ascii="Arial" w:hAnsi="Arial" w:cs="Arial"/>
        </w:rPr>
        <w:t xml:space="preserve">roup 1 (top) and 2 (middle), in addition to reported </w:t>
      </w:r>
      <w:r w:rsidR="002B1ECF">
        <w:rPr>
          <w:rFonts w:ascii="Arial" w:hAnsi="Arial" w:cs="Arial"/>
        </w:rPr>
        <w:t>DGE</w:t>
      </w:r>
      <w:r w:rsidRPr="005A167E">
        <w:rPr>
          <w:rFonts w:ascii="Arial" w:hAnsi="Arial" w:cs="Arial"/>
        </w:rPr>
        <w:t xml:space="preserve"> for ACPG samples when compared to normal fetal brain tissu</w:t>
      </w:r>
      <w:r w:rsidR="00B41896" w:rsidRPr="005A167E">
        <w:rPr>
          <w:rFonts w:ascii="Arial" w:hAnsi="Arial" w:cs="Arial"/>
        </w:rPr>
        <w:t>e</w:t>
      </w:r>
      <w:r w:rsidRPr="005A167E">
        <w:rPr>
          <w:rFonts w:ascii="Arial" w:hAnsi="Arial" w:cs="Arial"/>
        </w:rPr>
        <w:t xml:space="preserve"> </w:t>
      </w:r>
      <w:r w:rsidR="00B41896" w:rsidRPr="005A167E">
        <w:rPr>
          <w:rFonts w:ascii="Arial" w:hAnsi="Arial" w:cs="Arial"/>
        </w:rPr>
        <w:fldChar w:fldCharType="begin">
          <w:fldData xml:space="preserve">PEVuZE5vdGU+PENpdGU+PEF1dGhvcj5BcHBzPC9BdXRob3I+PFllYXI+MjAxODwvWWVhcj48UmVj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</w:fldData>
        </w:fldChar>
      </w:r>
      <w:r w:rsidR="00B41896" w:rsidRPr="005A167E">
        <w:rPr>
          <w:rFonts w:ascii="Arial" w:hAnsi="Arial" w:cs="Arial"/>
        </w:rPr>
        <w:instrText xml:space="preserve"> ADDIN EN.CITE </w:instrText>
      </w:r>
      <w:r w:rsidR="00B41896" w:rsidRPr="005A167E">
        <w:rPr>
          <w:rFonts w:ascii="Arial" w:hAnsi="Arial" w:cs="Arial"/>
        </w:rPr>
        <w:fldChar w:fldCharType="begin">
          <w:fldData xml:space="preserve">PEVuZE5vdGU+PENpdGU+PEF1dGhvcj5BcHBzPC9BdXRob3I+PFllYXI+MjAxODwvWWVhcj48UmVj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</w:fldData>
        </w:fldChar>
      </w:r>
      <w:r w:rsidR="00B41896" w:rsidRPr="005A167E">
        <w:rPr>
          <w:rFonts w:ascii="Arial" w:hAnsi="Arial" w:cs="Arial"/>
        </w:rPr>
        <w:instrText xml:space="preserve"> ADDIN EN.CITE.DATA </w:instrText>
      </w:r>
      <w:r w:rsidR="00B41896" w:rsidRPr="005A167E">
        <w:rPr>
          <w:rFonts w:ascii="Arial" w:hAnsi="Arial" w:cs="Arial"/>
        </w:rPr>
      </w:r>
      <w:r w:rsidR="00B41896" w:rsidRPr="005A167E">
        <w:rPr>
          <w:rFonts w:ascii="Arial" w:hAnsi="Arial" w:cs="Arial"/>
        </w:rPr>
        <w:fldChar w:fldCharType="end"/>
      </w:r>
      <w:r w:rsidR="00B41896" w:rsidRPr="005A167E">
        <w:rPr>
          <w:rFonts w:ascii="Arial" w:hAnsi="Arial" w:cs="Arial"/>
        </w:rPr>
      </w:r>
      <w:r w:rsidR="00B41896" w:rsidRPr="005A167E">
        <w:rPr>
          <w:rFonts w:ascii="Arial" w:hAnsi="Arial" w:cs="Arial"/>
        </w:rPr>
        <w:fldChar w:fldCharType="separate"/>
      </w:r>
      <w:r w:rsidR="00B41896" w:rsidRPr="005A167E">
        <w:rPr>
          <w:rFonts w:ascii="Arial" w:hAnsi="Arial" w:cs="Arial"/>
          <w:noProof/>
        </w:rPr>
        <w:t>(1)</w:t>
      </w:r>
      <w:r w:rsidR="00B41896" w:rsidRPr="005A167E">
        <w:rPr>
          <w:rFonts w:ascii="Arial" w:hAnsi="Arial" w:cs="Arial"/>
        </w:rPr>
        <w:fldChar w:fldCharType="end"/>
      </w:r>
      <w:r w:rsidR="00B41896" w:rsidRPr="005A167E">
        <w:rPr>
          <w:rFonts w:ascii="Arial" w:hAnsi="Arial" w:cs="Arial"/>
        </w:rPr>
        <w:t xml:space="preserve"> </w:t>
      </w:r>
      <w:r w:rsidRPr="005A167E">
        <w:rPr>
          <w:rFonts w:ascii="Arial" w:hAnsi="Arial" w:cs="Arial"/>
        </w:rPr>
        <w:t xml:space="preserve">(bottom). </w:t>
      </w:r>
      <w:r w:rsidRPr="005A167E">
        <w:rPr>
          <w:rFonts w:ascii="Arial" w:hAnsi="Arial" w:cs="Arial"/>
          <w:b/>
          <w:bCs/>
        </w:rPr>
        <w:t>(</w:t>
      </w:r>
      <w:r w:rsidR="00705DC4" w:rsidRPr="005A167E">
        <w:rPr>
          <w:rFonts w:ascii="Arial" w:hAnsi="Arial" w:cs="Arial"/>
          <w:b/>
          <w:bCs/>
        </w:rPr>
        <w:t>E</w:t>
      </w:r>
      <w:r w:rsidRPr="005A167E">
        <w:rPr>
          <w:rFonts w:ascii="Arial" w:hAnsi="Arial" w:cs="Arial"/>
          <w:b/>
          <w:bCs/>
        </w:rPr>
        <w:t>)</w:t>
      </w:r>
      <w:r w:rsidRPr="005A167E">
        <w:rPr>
          <w:rFonts w:ascii="Arial" w:hAnsi="Arial" w:cs="Arial"/>
        </w:rPr>
        <w:t xml:space="preserve"> Hematoxylin and </w:t>
      </w:r>
      <w:proofErr w:type="gramStart"/>
      <w:r w:rsidRPr="005A167E">
        <w:rPr>
          <w:rFonts w:ascii="Arial" w:hAnsi="Arial" w:cs="Arial"/>
        </w:rPr>
        <w:t>Eosin stained</w:t>
      </w:r>
      <w:proofErr w:type="gramEnd"/>
      <w:r w:rsidRPr="005A167E">
        <w:rPr>
          <w:rFonts w:ascii="Arial" w:hAnsi="Arial" w:cs="Arial"/>
        </w:rPr>
        <w:t xml:space="preserve"> sections from ACPG Group 1 and 2 samples at 10X and 20X magnification. All five Group 1 tumors were characterized by brain invasion. The surrounding reactive brain parenchyma is designated by an asterisk (*). In contrast, Group 2 tumors showed involvement with either tumor cyst walls (“CW”) or meninges (“M”), with minimal or no involvement with neural tissue. Scale bar represents 160 </w:t>
      </w:r>
      <w:proofErr w:type="spellStart"/>
      <w:proofErr w:type="gramStart"/>
      <w:r w:rsidRPr="005A167E">
        <w:rPr>
          <w:rFonts w:ascii="Arial" w:hAnsi="Arial" w:cs="Arial"/>
        </w:rPr>
        <w:t>uM</w:t>
      </w:r>
      <w:proofErr w:type="spellEnd"/>
      <w:proofErr w:type="gramEnd"/>
      <w:r w:rsidRPr="005A167E">
        <w:rPr>
          <w:rFonts w:ascii="Arial" w:hAnsi="Arial" w:cs="Arial"/>
        </w:rPr>
        <w:t xml:space="preserve"> for the 10X images and 80 </w:t>
      </w:r>
      <w:proofErr w:type="spellStart"/>
      <w:r w:rsidRPr="005A167E">
        <w:rPr>
          <w:rFonts w:ascii="Arial" w:hAnsi="Arial" w:cs="Arial"/>
        </w:rPr>
        <w:t>uM</w:t>
      </w:r>
      <w:proofErr w:type="spellEnd"/>
      <w:r w:rsidRPr="005A167E">
        <w:rPr>
          <w:rFonts w:ascii="Arial" w:hAnsi="Arial" w:cs="Arial"/>
        </w:rPr>
        <w:t xml:space="preserve"> for the 20X images.</w:t>
      </w:r>
    </w:p>
    <w:p w14:paraId="7080218F" w14:textId="05B16914" w:rsidR="00C101EB" w:rsidRPr="00F963B1" w:rsidRDefault="00C101EB" w:rsidP="00E831A0">
      <w:pPr>
        <w:spacing w:line="360" w:lineRule="auto"/>
        <w:rPr>
          <w:rFonts w:ascii="Arial" w:hAnsi="Arial" w:cs="Arial"/>
        </w:rPr>
      </w:pPr>
      <w:r w:rsidRPr="005A167E">
        <w:rPr>
          <w:rFonts w:ascii="Arial" w:hAnsi="Arial" w:cs="Arial"/>
        </w:rPr>
        <w:br w:type="page"/>
      </w:r>
      <w:r w:rsidR="001664FE">
        <w:rPr>
          <w:rFonts w:asciiTheme="majorHAnsi" w:eastAsiaTheme="majorEastAsia" w:hAnsiTheme="majorHAnsi" w:cstheme="majorBidi"/>
          <w:noProof/>
          <w:color w:val="2F5496" w:themeColor="accent1" w:themeShade="BF"/>
          <w:sz w:val="26"/>
          <w:szCs w:val="26"/>
        </w:rPr>
        <w:lastRenderedPageBreak/>
        <w:drawing>
          <wp:inline distT="0" distB="0" distL="0" distR="0" wp14:anchorId="04661884" wp14:editId="50028C9C">
            <wp:extent cx="5943600" cy="3880437"/>
            <wp:effectExtent l="0" t="0" r="0" b="635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rotWithShape="1">
                    <a:blip r:embed="rId14" cstate="print">
                      <a:extLst>
                        <a:ext uri="{28A0092B-C50C-407E-A947-70E740481C1C}">
                          <a14:useLocalDpi xmlns:a14="http://schemas.microsoft.com/office/drawing/2010/main" val="0"/>
                        </a:ext>
                      </a:extLst>
                    </a:blip>
                    <a:srcRect b="11088"/>
                    <a:stretch/>
                  </pic:blipFill>
                  <pic:spPr bwMode="auto">
                    <a:xfrm>
                      <a:off x="0" y="0"/>
                      <a:ext cx="5943600" cy="3880437"/>
                    </a:xfrm>
                    <a:prstGeom prst="rect">
                      <a:avLst/>
                    </a:prstGeom>
                    <a:ln>
                      <a:noFill/>
                    </a:ln>
                    <a:extLst>
                      <a:ext uri="{53640926-AAD7-44D8-BBD7-CCE9431645EC}">
                        <a14:shadowObscured xmlns:a14="http://schemas.microsoft.com/office/drawing/2010/main"/>
                      </a:ext>
                    </a:extLst>
                  </pic:spPr>
                </pic:pic>
              </a:graphicData>
            </a:graphic>
          </wp:inline>
        </w:drawing>
      </w:r>
      <w:r w:rsidR="000C4E8C" w:rsidRPr="000C4E8C">
        <w:rPr>
          <w:rStyle w:val="Heading2Char"/>
        </w:rPr>
        <w:t xml:space="preserve"> </w:t>
      </w:r>
      <w:r w:rsidR="000C4E8C" w:rsidRPr="00F963B1">
        <w:rPr>
          <w:rStyle w:val="Heading2Char"/>
          <w:rFonts w:ascii="Arial" w:hAnsi="Arial" w:cs="Arial"/>
          <w:sz w:val="22"/>
          <w:szCs w:val="22"/>
        </w:rPr>
        <w:t>Supplementary Figure S4</w:t>
      </w:r>
      <w:r w:rsidRPr="00F963B1">
        <w:rPr>
          <w:rStyle w:val="Heading1Char"/>
          <w:rFonts w:ascii="Arial" w:hAnsi="Arial" w:cs="Arial"/>
          <w:sz w:val="22"/>
          <w:szCs w:val="22"/>
        </w:rPr>
        <w:t xml:space="preserve">. </w:t>
      </w:r>
      <w:r w:rsidR="001664FE" w:rsidRPr="00F963B1">
        <w:rPr>
          <w:rFonts w:ascii="Arial" w:hAnsi="Arial" w:cs="Arial"/>
        </w:rPr>
        <w:t xml:space="preserve">Differential gene expression (DGE) analysis of </w:t>
      </w:r>
      <w:r w:rsidR="001F77ED" w:rsidRPr="00F963B1">
        <w:rPr>
          <w:rFonts w:ascii="Arial" w:hAnsi="Arial" w:cs="Arial"/>
        </w:rPr>
        <w:t xml:space="preserve">the four </w:t>
      </w:r>
      <w:r w:rsidR="001664FE" w:rsidRPr="00F963B1">
        <w:rPr>
          <w:rFonts w:ascii="Arial" w:hAnsi="Arial" w:cs="Arial"/>
        </w:rPr>
        <w:t xml:space="preserve">metastatic osteosarcoma </w:t>
      </w:r>
      <w:r w:rsidR="001F77ED" w:rsidRPr="00F963B1">
        <w:rPr>
          <w:rFonts w:ascii="Arial" w:hAnsi="Arial" w:cs="Arial"/>
        </w:rPr>
        <w:t>samples</w:t>
      </w:r>
      <w:r w:rsidR="002C3BA9">
        <w:rPr>
          <w:rFonts w:ascii="Arial" w:hAnsi="Arial" w:cs="Arial"/>
        </w:rPr>
        <w:t xml:space="preserve"> </w:t>
      </w:r>
      <w:r w:rsidR="001F77ED" w:rsidRPr="00F963B1">
        <w:rPr>
          <w:rFonts w:ascii="Arial" w:hAnsi="Arial" w:cs="Arial"/>
        </w:rPr>
        <w:t xml:space="preserve">highlighted </w:t>
      </w:r>
      <w:r w:rsidR="001664FE" w:rsidRPr="00F963B1">
        <w:rPr>
          <w:rFonts w:ascii="Arial" w:hAnsi="Arial" w:cs="Arial"/>
        </w:rPr>
        <w:t>in Figure 4B versus other osteosarcoma samples. Volcano plot depicting DGE analysis between these two osteosarcoma groups showing an over-representation of Human Gene Atlas ‘Lung’ genes expression (blue) in the four metastatic osteosarcoma samples.</w:t>
      </w:r>
    </w:p>
    <w:p w14:paraId="3D2B7F18" w14:textId="303BE219" w:rsidR="00E52988" w:rsidRPr="00C11288" w:rsidRDefault="001664FE" w:rsidP="00C11288">
      <w:pPr>
        <w:spacing w:line="360" w:lineRule="auto"/>
        <w:rPr>
          <w:rFonts w:asciiTheme="minorHAnsi" w:hAnsiTheme="minorHAnsi" w:cstheme="minorHAnsi"/>
        </w:rPr>
      </w:pPr>
      <w:r>
        <w:rPr>
          <w:rFonts w:ascii="Arial" w:hAnsi="Arial" w:cs="Arial"/>
        </w:rPr>
        <w:br w:type="column"/>
      </w:r>
      <w:r w:rsidR="00B14662">
        <w:rPr>
          <w:rFonts w:asciiTheme="majorHAnsi" w:eastAsiaTheme="majorEastAsia" w:hAnsiTheme="majorHAnsi" w:cstheme="majorBidi"/>
          <w:noProof/>
          <w:color w:val="2F5496" w:themeColor="accent1" w:themeShade="BF"/>
          <w:sz w:val="26"/>
          <w:szCs w:val="26"/>
        </w:rPr>
        <w:lastRenderedPageBreak/>
        <w:drawing>
          <wp:inline distT="0" distB="0" distL="0" distR="0" wp14:anchorId="18A2AEDE" wp14:editId="23997AF4">
            <wp:extent cx="5943600" cy="5732289"/>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b="8381"/>
                    <a:stretch/>
                  </pic:blipFill>
                  <pic:spPr bwMode="auto">
                    <a:xfrm>
                      <a:off x="0" y="0"/>
                      <a:ext cx="5943600" cy="5732289"/>
                    </a:xfrm>
                    <a:prstGeom prst="rect">
                      <a:avLst/>
                    </a:prstGeom>
                    <a:ln>
                      <a:noFill/>
                    </a:ln>
                    <a:extLst>
                      <a:ext uri="{53640926-AAD7-44D8-BBD7-CCE9431645EC}">
                        <a14:shadowObscured xmlns:a14="http://schemas.microsoft.com/office/drawing/2010/main"/>
                      </a:ext>
                    </a:extLst>
                  </pic:spPr>
                </pic:pic>
              </a:graphicData>
            </a:graphic>
          </wp:inline>
        </w:drawing>
      </w:r>
      <w:r w:rsidR="000C4E8C" w:rsidRPr="000C4E8C">
        <w:rPr>
          <w:rStyle w:val="Heading2Char"/>
        </w:rPr>
        <w:t xml:space="preserve"> </w:t>
      </w:r>
      <w:bookmarkStart w:id="28" w:name="_Hlk56178950"/>
      <w:r w:rsidR="000C4E8C" w:rsidRPr="00F963B1">
        <w:rPr>
          <w:rStyle w:val="Heading2Char"/>
          <w:rFonts w:ascii="Arial" w:hAnsi="Arial" w:cs="Arial"/>
          <w:sz w:val="22"/>
          <w:szCs w:val="22"/>
        </w:rPr>
        <w:t>Supplementary Figure S5</w:t>
      </w:r>
      <w:r w:rsidRPr="00F963B1">
        <w:rPr>
          <w:rStyle w:val="Heading1Char"/>
          <w:rFonts w:ascii="Arial" w:hAnsi="Arial" w:cs="Arial"/>
          <w:sz w:val="22"/>
          <w:szCs w:val="22"/>
        </w:rPr>
        <w:t xml:space="preserve">. </w:t>
      </w:r>
      <w:r w:rsidR="009E2646" w:rsidRPr="00F963B1">
        <w:rPr>
          <w:rFonts w:ascii="Arial" w:hAnsi="Arial" w:cs="Arial"/>
          <w:color w:val="000000"/>
        </w:rPr>
        <w:t>St. Jude Cloud RNA-Seq Expression Analysis workflow enabling clustering user-supplied RNA-Seq data with a St. Jude Cloud pediatric cancer cohort via an interactive two-dimensional t-SNE plot. </w:t>
      </w:r>
      <w:r w:rsidR="009E2646" w:rsidRPr="00F963B1">
        <w:rPr>
          <w:rFonts w:ascii="Arial" w:hAnsi="Arial" w:cs="Arial"/>
          <w:b/>
          <w:bCs/>
          <w:color w:val="000000"/>
        </w:rPr>
        <w:t>(A)</w:t>
      </w:r>
      <w:r w:rsidR="009E2646" w:rsidRPr="00F963B1">
        <w:rPr>
          <w:rFonts w:ascii="Arial" w:hAnsi="Arial" w:cs="Arial"/>
          <w:color w:val="000000"/>
        </w:rPr>
        <w:t> User interface for selecting user sample(s), parameters for analysis and pediatric cancer type (which can be one of ‘blood’ (selected in this example), ‘solid’, ‘brain’, or ‘all’ reference cohort). If the input is a BAM file, realignment to hg38 using our inhouse RNA-Seq alignment protocol is used to generate gene counts. The user gene counts are then collated with the reference gene count data and expression analysis is performed. The genes used for the t-SNE analysis are available as a ‘gene_list.txt’ and t-SNE plot as ‘PAWNXH.html’</w:t>
      </w:r>
      <w:r w:rsidR="004A0032" w:rsidRPr="00F963B1">
        <w:rPr>
          <w:rFonts w:ascii="Arial" w:hAnsi="Arial" w:cs="Arial"/>
          <w:color w:val="000000"/>
        </w:rPr>
        <w:t xml:space="preserve"> (PAWNXH is the COG sample used as an example for use case 1)</w:t>
      </w:r>
      <w:r w:rsidR="009E2646" w:rsidRPr="00F963B1">
        <w:rPr>
          <w:rFonts w:ascii="Arial" w:hAnsi="Arial" w:cs="Arial"/>
          <w:color w:val="000000"/>
        </w:rPr>
        <w:t>. </w:t>
      </w:r>
      <w:r w:rsidR="009E2646" w:rsidRPr="00F963B1">
        <w:rPr>
          <w:rFonts w:ascii="Arial" w:hAnsi="Arial" w:cs="Arial"/>
          <w:b/>
          <w:bCs/>
          <w:color w:val="000000"/>
        </w:rPr>
        <w:t>(B) </w:t>
      </w:r>
      <w:r w:rsidR="004A0032" w:rsidRPr="00F963B1">
        <w:rPr>
          <w:rFonts w:ascii="Arial" w:hAnsi="Arial" w:cs="Arial"/>
          <w:color w:val="000000"/>
        </w:rPr>
        <w:t>t-SN</w:t>
      </w:r>
      <w:r w:rsidR="002C3BA9">
        <w:rPr>
          <w:rFonts w:ascii="Arial" w:hAnsi="Arial" w:cs="Arial"/>
          <w:color w:val="000000"/>
        </w:rPr>
        <w:t>E</w:t>
      </w:r>
      <w:r w:rsidR="004A0032" w:rsidRPr="00F963B1">
        <w:rPr>
          <w:rFonts w:ascii="Arial" w:hAnsi="Arial" w:cs="Arial"/>
          <w:color w:val="000000"/>
        </w:rPr>
        <w:t xml:space="preserve"> plot of blood cancer samples where the user sample (i.e. PAWNXH) is clustered </w:t>
      </w:r>
      <w:r w:rsidR="004A0032" w:rsidRPr="00F963B1">
        <w:rPr>
          <w:rFonts w:ascii="Arial" w:hAnsi="Arial" w:cs="Arial"/>
          <w:color w:val="000000"/>
        </w:rPr>
        <w:lastRenderedPageBreak/>
        <w:t xml:space="preserve">with </w:t>
      </w:r>
      <w:r w:rsidR="007D5284" w:rsidRPr="00F963B1">
        <w:rPr>
          <w:rFonts w:ascii="Arial" w:hAnsi="Arial" w:cs="Arial"/>
          <w:color w:val="000000"/>
        </w:rPr>
        <w:t>the St. Jude Cloud</w:t>
      </w:r>
      <w:r w:rsidR="004A0032" w:rsidRPr="00F963B1">
        <w:rPr>
          <w:rFonts w:ascii="Arial" w:hAnsi="Arial" w:cs="Arial"/>
          <w:color w:val="000000"/>
        </w:rPr>
        <w:t xml:space="preserve"> AML </w:t>
      </w:r>
      <w:r w:rsidR="009E2646" w:rsidRPr="00F963B1">
        <w:rPr>
          <w:rFonts w:ascii="Arial" w:hAnsi="Arial" w:cs="Arial"/>
          <w:color w:val="000000"/>
        </w:rPr>
        <w:t>samples</w:t>
      </w:r>
      <w:r w:rsidR="004A0032" w:rsidRPr="00F963B1">
        <w:rPr>
          <w:rFonts w:ascii="Arial" w:hAnsi="Arial" w:cs="Arial"/>
          <w:color w:val="000000"/>
        </w:rPr>
        <w:t xml:space="preserve">. </w:t>
      </w:r>
      <w:r w:rsidR="009E2646" w:rsidRPr="00F963B1">
        <w:rPr>
          <w:rFonts w:ascii="Arial" w:hAnsi="Arial" w:cs="Arial"/>
          <w:color w:val="000000"/>
        </w:rPr>
        <w:t xml:space="preserve"> A user may Pan/Zoom the t-SNE plot, </w:t>
      </w:r>
      <w:r w:rsidR="004A0032" w:rsidRPr="00F963B1">
        <w:rPr>
          <w:rFonts w:ascii="Arial" w:hAnsi="Arial" w:cs="Arial"/>
          <w:color w:val="000000"/>
        </w:rPr>
        <w:t>query</w:t>
      </w:r>
      <w:r w:rsidR="009E2646" w:rsidRPr="00F963B1">
        <w:rPr>
          <w:rFonts w:ascii="Arial" w:hAnsi="Arial" w:cs="Arial"/>
          <w:color w:val="000000"/>
        </w:rPr>
        <w:t xml:space="preserve"> a sample</w:t>
      </w:r>
      <w:r w:rsidR="004A0032" w:rsidRPr="00F963B1">
        <w:rPr>
          <w:rFonts w:ascii="Arial" w:hAnsi="Arial" w:cs="Arial"/>
          <w:color w:val="000000"/>
        </w:rPr>
        <w:t xml:space="preserve"> of interest</w:t>
      </w:r>
      <w:r w:rsidR="009E2646" w:rsidRPr="00F963B1">
        <w:rPr>
          <w:rFonts w:ascii="Arial" w:hAnsi="Arial" w:cs="Arial"/>
          <w:color w:val="000000"/>
        </w:rPr>
        <w:t xml:space="preserve">, and highlight subtypes </w:t>
      </w:r>
      <w:r w:rsidR="004A0032" w:rsidRPr="00F963B1">
        <w:rPr>
          <w:rFonts w:ascii="Arial" w:hAnsi="Arial" w:cs="Arial"/>
          <w:color w:val="000000"/>
        </w:rPr>
        <w:t xml:space="preserve">of interest </w:t>
      </w:r>
      <w:r w:rsidR="009E2646" w:rsidRPr="00F963B1">
        <w:rPr>
          <w:rFonts w:ascii="Arial" w:hAnsi="Arial" w:cs="Arial"/>
          <w:color w:val="000000"/>
        </w:rPr>
        <w:t xml:space="preserve">by clicking on the </w:t>
      </w:r>
      <w:r w:rsidR="004A0032" w:rsidRPr="00F963B1">
        <w:rPr>
          <w:rFonts w:ascii="Arial" w:hAnsi="Arial" w:cs="Arial"/>
          <w:color w:val="000000"/>
        </w:rPr>
        <w:t xml:space="preserve">cancer </w:t>
      </w:r>
      <w:r w:rsidR="009E2646" w:rsidRPr="00F963B1">
        <w:rPr>
          <w:rFonts w:ascii="Arial" w:hAnsi="Arial" w:cs="Arial"/>
          <w:color w:val="000000"/>
        </w:rPr>
        <w:t xml:space="preserve">subtype label </w:t>
      </w:r>
      <w:r w:rsidR="004A0032" w:rsidRPr="00F963B1">
        <w:rPr>
          <w:rFonts w:ascii="Arial" w:hAnsi="Arial" w:cs="Arial"/>
          <w:color w:val="000000"/>
        </w:rPr>
        <w:t>on</w:t>
      </w:r>
      <w:r w:rsidR="009E2646" w:rsidRPr="00F963B1">
        <w:rPr>
          <w:rFonts w:ascii="Arial" w:hAnsi="Arial" w:cs="Arial"/>
          <w:color w:val="000000"/>
        </w:rPr>
        <w:t xml:space="preserve"> the right. </w:t>
      </w:r>
      <w:r w:rsidR="004A0032" w:rsidRPr="00F963B1">
        <w:rPr>
          <w:rFonts w:ascii="Arial" w:hAnsi="Arial" w:cs="Arial"/>
          <w:color w:val="000000"/>
        </w:rPr>
        <w:t xml:space="preserve">The current display highlighted </w:t>
      </w:r>
      <w:r w:rsidR="001F655B">
        <w:rPr>
          <w:rFonts w:ascii="Arial" w:hAnsi="Arial" w:cs="Arial"/>
          <w:color w:val="000000"/>
        </w:rPr>
        <w:t xml:space="preserve">1) </w:t>
      </w:r>
      <w:r w:rsidR="007D5284" w:rsidRPr="00F963B1">
        <w:rPr>
          <w:rFonts w:ascii="Arial" w:hAnsi="Arial" w:cs="Arial"/>
          <w:color w:val="000000"/>
        </w:rPr>
        <w:t xml:space="preserve">samples of </w:t>
      </w:r>
      <w:r w:rsidR="004A0032" w:rsidRPr="0085653F">
        <w:rPr>
          <w:rFonts w:ascii="Arial" w:hAnsi="Arial" w:cs="Arial"/>
          <w:i/>
          <w:iCs/>
          <w:color w:val="000000"/>
        </w:rPr>
        <w:t>KMT2A</w:t>
      </w:r>
      <w:r w:rsidR="004A0032" w:rsidRPr="00F963B1">
        <w:rPr>
          <w:rFonts w:ascii="Arial" w:hAnsi="Arial" w:cs="Arial"/>
          <w:color w:val="000000"/>
        </w:rPr>
        <w:t xml:space="preserve"> rearrangements in all subtypes of blood cancers, </w:t>
      </w:r>
      <w:r w:rsidR="001F655B">
        <w:rPr>
          <w:rFonts w:ascii="Arial" w:hAnsi="Arial" w:cs="Arial"/>
          <w:color w:val="000000"/>
        </w:rPr>
        <w:t xml:space="preserve">2) </w:t>
      </w:r>
      <w:r w:rsidR="004A0032" w:rsidRPr="00F963B1">
        <w:rPr>
          <w:rFonts w:ascii="Arial" w:hAnsi="Arial" w:cs="Arial"/>
          <w:color w:val="000000"/>
        </w:rPr>
        <w:t xml:space="preserve">AML </w:t>
      </w:r>
      <w:r w:rsidR="009E2646" w:rsidRPr="00F963B1">
        <w:rPr>
          <w:rFonts w:ascii="Arial" w:hAnsi="Arial" w:cs="Arial"/>
          <w:color w:val="000000"/>
        </w:rPr>
        <w:t>Core Binding Factor</w:t>
      </w:r>
      <w:r w:rsidR="004A0032" w:rsidRPr="00F963B1">
        <w:rPr>
          <w:rFonts w:ascii="Arial" w:hAnsi="Arial" w:cs="Arial"/>
          <w:color w:val="000000"/>
        </w:rPr>
        <w:t xml:space="preserve"> and </w:t>
      </w:r>
      <w:r w:rsidR="001F655B">
        <w:rPr>
          <w:rFonts w:ascii="Arial" w:hAnsi="Arial" w:cs="Arial"/>
          <w:color w:val="000000"/>
        </w:rPr>
        <w:t xml:space="preserve">3) </w:t>
      </w:r>
      <w:r w:rsidR="004A0032" w:rsidRPr="00F963B1">
        <w:rPr>
          <w:rFonts w:ascii="Arial" w:hAnsi="Arial" w:cs="Arial"/>
          <w:color w:val="000000"/>
        </w:rPr>
        <w:t>B-ALL</w:t>
      </w:r>
      <w:r w:rsidR="007D5284" w:rsidRPr="00F963B1">
        <w:rPr>
          <w:rFonts w:ascii="Arial" w:hAnsi="Arial" w:cs="Arial"/>
          <w:color w:val="000000"/>
        </w:rPr>
        <w:t xml:space="preserve">s with </w:t>
      </w:r>
      <w:r w:rsidR="004A0032" w:rsidRPr="0085653F">
        <w:rPr>
          <w:rFonts w:ascii="Arial" w:hAnsi="Arial" w:cs="Arial"/>
          <w:i/>
          <w:iCs/>
          <w:color w:val="000000"/>
        </w:rPr>
        <w:t>NUTM1</w:t>
      </w:r>
      <w:r w:rsidR="004A0032" w:rsidRPr="00F963B1">
        <w:rPr>
          <w:rFonts w:ascii="Arial" w:hAnsi="Arial" w:cs="Arial"/>
          <w:color w:val="000000"/>
        </w:rPr>
        <w:t xml:space="preserve"> </w:t>
      </w:r>
      <w:r w:rsidR="007D5284" w:rsidRPr="00F963B1">
        <w:rPr>
          <w:rFonts w:ascii="Arial" w:hAnsi="Arial" w:cs="Arial"/>
          <w:color w:val="000000"/>
        </w:rPr>
        <w:t>fusions</w:t>
      </w:r>
      <w:r w:rsidR="004A0032" w:rsidRPr="00F963B1">
        <w:rPr>
          <w:rFonts w:ascii="Arial" w:hAnsi="Arial" w:cs="Arial"/>
          <w:color w:val="000000"/>
        </w:rPr>
        <w:t>. Mouse</w:t>
      </w:r>
      <w:r w:rsidR="009E2646" w:rsidRPr="00F963B1">
        <w:rPr>
          <w:rFonts w:ascii="Arial" w:hAnsi="Arial" w:cs="Arial"/>
          <w:color w:val="000000"/>
        </w:rPr>
        <w:t xml:space="preserve"> over a tumor sample displays the associated metadata for the sample, in this instance SJINF049_D, a B-ALL </w:t>
      </w:r>
      <w:r w:rsidR="007D5284" w:rsidRPr="00F963B1">
        <w:rPr>
          <w:rFonts w:ascii="Arial" w:hAnsi="Arial" w:cs="Arial"/>
          <w:color w:val="000000"/>
        </w:rPr>
        <w:t xml:space="preserve">with </w:t>
      </w:r>
      <w:r w:rsidR="007D5284" w:rsidRPr="00F963B1">
        <w:rPr>
          <w:rFonts w:ascii="Arial" w:hAnsi="Arial" w:cs="Arial"/>
          <w:i/>
          <w:iCs/>
          <w:color w:val="000000"/>
        </w:rPr>
        <w:t>BRD9-</w:t>
      </w:r>
      <w:r w:rsidR="009E2646" w:rsidRPr="00F963B1">
        <w:rPr>
          <w:rFonts w:ascii="Arial" w:hAnsi="Arial" w:cs="Arial"/>
          <w:i/>
          <w:iCs/>
          <w:color w:val="000000"/>
        </w:rPr>
        <w:t>NUTM1</w:t>
      </w:r>
      <w:r w:rsidR="009E2646" w:rsidRPr="00F963B1">
        <w:rPr>
          <w:rFonts w:ascii="Arial" w:hAnsi="Arial" w:cs="Arial"/>
          <w:color w:val="000000"/>
        </w:rPr>
        <w:t xml:space="preserve"> fusion</w:t>
      </w:r>
      <w:r w:rsidR="007D5284" w:rsidRPr="00F963B1">
        <w:rPr>
          <w:rFonts w:ascii="Arial" w:hAnsi="Arial" w:cs="Arial"/>
          <w:color w:val="000000"/>
        </w:rPr>
        <w:t xml:space="preserve">. </w:t>
      </w:r>
    </w:p>
    <w:bookmarkEnd w:id="28"/>
    <w:p w14:paraId="5199AA4F" w14:textId="77777777" w:rsidR="001A7EB5" w:rsidRDefault="001A7EB5" w:rsidP="00E52988">
      <w:pPr>
        <w:spacing w:line="360" w:lineRule="auto"/>
        <w:rPr>
          <w:rFonts w:ascii="Arial" w:hAnsi="Arial" w:cs="Arial"/>
          <w:sz w:val="20"/>
          <w:szCs w:val="20"/>
        </w:rPr>
      </w:pPr>
    </w:p>
    <w:p w14:paraId="549EB499" w14:textId="0EDE4B92" w:rsidR="001A7EB5" w:rsidRDefault="001A7EB5">
      <w:pPr>
        <w:rPr>
          <w:rFonts w:ascii="Arial" w:hAnsi="Arial" w:cs="Arial"/>
          <w:sz w:val="20"/>
          <w:szCs w:val="20"/>
        </w:rPr>
      </w:pPr>
      <w:r>
        <w:rPr>
          <w:rFonts w:ascii="Arial" w:hAnsi="Arial" w:cs="Arial"/>
          <w:sz w:val="20"/>
          <w:szCs w:val="20"/>
        </w:rPr>
        <w:br w:type="page"/>
      </w:r>
    </w:p>
    <w:p w14:paraId="0105D8EA" w14:textId="3FA4783F" w:rsidR="00E27E82" w:rsidRDefault="001A7EB5" w:rsidP="00E52988">
      <w:pPr>
        <w:spacing w:line="360" w:lineRule="auto"/>
        <w:rPr>
          <w:rFonts w:ascii="Arial" w:hAnsi="Arial" w:cs="Arial"/>
          <w:sz w:val="20"/>
          <w:szCs w:val="20"/>
        </w:rPr>
      </w:pPr>
      <w:r>
        <w:rPr>
          <w:rFonts w:ascii="Arial" w:hAnsi="Arial" w:cs="Arial"/>
          <w:noProof/>
          <w:sz w:val="20"/>
          <w:szCs w:val="20"/>
        </w:rPr>
        <w:lastRenderedPageBreak/>
        <w:drawing>
          <wp:inline distT="0" distB="0" distL="0" distR="0" wp14:anchorId="23A5D0BF" wp14:editId="163A4A19">
            <wp:extent cx="5541645" cy="5981700"/>
            <wp:effectExtent l="0" t="0" r="1905"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rotWithShape="1">
                    <a:blip r:embed="rId16" cstate="print">
                      <a:extLst>
                        <a:ext uri="{28A0092B-C50C-407E-A947-70E740481C1C}">
                          <a14:useLocalDpi xmlns:a14="http://schemas.microsoft.com/office/drawing/2010/main" val="0"/>
                        </a:ext>
                      </a:extLst>
                    </a:blip>
                    <a:srcRect t="2988" b="11731"/>
                    <a:stretch/>
                  </pic:blipFill>
                  <pic:spPr bwMode="auto">
                    <a:xfrm>
                      <a:off x="0" y="0"/>
                      <a:ext cx="5555104" cy="5996228"/>
                    </a:xfrm>
                    <a:prstGeom prst="rect">
                      <a:avLst/>
                    </a:prstGeom>
                    <a:ln>
                      <a:noFill/>
                    </a:ln>
                    <a:extLst>
                      <a:ext uri="{53640926-AAD7-44D8-BBD7-CCE9431645EC}">
                        <a14:shadowObscured xmlns:a14="http://schemas.microsoft.com/office/drawing/2010/main"/>
                      </a:ext>
                    </a:extLst>
                  </pic:spPr>
                </pic:pic>
              </a:graphicData>
            </a:graphic>
          </wp:inline>
        </w:drawing>
      </w:r>
    </w:p>
    <w:p w14:paraId="71E8B5BC" w14:textId="013B2B19" w:rsidR="00C11288" w:rsidRDefault="001A7EB5" w:rsidP="00C11288">
      <w:pPr>
        <w:spacing w:line="360" w:lineRule="auto"/>
      </w:pPr>
      <w:bookmarkStart w:id="29" w:name="_Toc56128075"/>
      <w:r w:rsidRPr="00C36BA7">
        <w:rPr>
          <w:rStyle w:val="Heading2Char"/>
          <w:rFonts w:ascii="Arial" w:hAnsi="Arial" w:cs="Arial"/>
          <w:sz w:val="22"/>
          <w:szCs w:val="22"/>
        </w:rPr>
        <w:t>Supplementary Figure S</w:t>
      </w:r>
      <w:r w:rsidR="00073DE1">
        <w:rPr>
          <w:rStyle w:val="Heading2Char"/>
          <w:rFonts w:ascii="Arial" w:hAnsi="Arial" w:cs="Arial"/>
          <w:sz w:val="22"/>
          <w:szCs w:val="22"/>
        </w:rPr>
        <w:t>6</w:t>
      </w:r>
      <w:r w:rsidRPr="00C36BA7">
        <w:rPr>
          <w:rStyle w:val="Heading2Char"/>
          <w:rFonts w:ascii="Arial" w:hAnsi="Arial" w:cs="Arial"/>
          <w:sz w:val="22"/>
          <w:szCs w:val="22"/>
        </w:rPr>
        <w:t>.</w:t>
      </w:r>
      <w:bookmarkEnd w:id="29"/>
      <w:r w:rsidRPr="00C36BA7">
        <w:rPr>
          <w:rFonts w:ascii="Arial" w:hAnsi="Arial" w:cs="Arial"/>
        </w:rPr>
        <w:t xml:space="preserve"> </w:t>
      </w:r>
      <w:r w:rsidR="00F60226" w:rsidRPr="00C36BA7">
        <w:rPr>
          <w:rFonts w:ascii="Arial" w:hAnsi="Arial" w:cs="Arial"/>
        </w:rPr>
        <w:t>Representative</w:t>
      </w:r>
      <w:r w:rsidR="009E2646" w:rsidRPr="00C36BA7">
        <w:rPr>
          <w:rFonts w:ascii="Arial" w:hAnsi="Arial" w:cs="Arial"/>
        </w:rPr>
        <w:t xml:space="preserve"> mutational signatures in pediatric cancers</w:t>
      </w:r>
      <w:r w:rsidR="00FA2A4F" w:rsidRPr="00C36BA7">
        <w:rPr>
          <w:rFonts w:ascii="Arial" w:hAnsi="Arial" w:cs="Arial"/>
        </w:rPr>
        <w:t xml:space="preserve">. </w:t>
      </w:r>
      <w:r w:rsidR="00C57277" w:rsidRPr="00C36BA7">
        <w:rPr>
          <w:rFonts w:ascii="Arial" w:hAnsi="Arial" w:cs="Arial"/>
          <w:b/>
          <w:bCs/>
        </w:rPr>
        <w:t xml:space="preserve">(A) </w:t>
      </w:r>
      <w:r w:rsidR="00FA2A4F" w:rsidRPr="00C36BA7">
        <w:rPr>
          <w:rFonts w:ascii="Arial" w:hAnsi="Arial" w:cs="Arial"/>
        </w:rPr>
        <w:t xml:space="preserve">APOBEC (COSMIC mutation signature SBS2 and SBS13) </w:t>
      </w:r>
      <w:r w:rsidR="009E2646" w:rsidRPr="00C36BA7">
        <w:rPr>
          <w:rFonts w:ascii="Arial" w:hAnsi="Arial" w:cs="Arial"/>
        </w:rPr>
        <w:t xml:space="preserve">signatures </w:t>
      </w:r>
      <w:r w:rsidR="00FA2A4F" w:rsidRPr="00C36BA7">
        <w:rPr>
          <w:rFonts w:ascii="Arial" w:hAnsi="Arial" w:cs="Arial"/>
        </w:rPr>
        <w:t xml:space="preserve">identified in pediatric acute </w:t>
      </w:r>
      <w:proofErr w:type="spellStart"/>
      <w:r w:rsidR="00FA2A4F" w:rsidRPr="00C36BA7">
        <w:rPr>
          <w:rFonts w:ascii="Arial" w:hAnsi="Arial" w:cs="Arial"/>
        </w:rPr>
        <w:t>megakaryoblastic</w:t>
      </w:r>
      <w:proofErr w:type="spellEnd"/>
      <w:r w:rsidR="00FA2A4F" w:rsidRPr="00C36BA7">
        <w:rPr>
          <w:rFonts w:ascii="Arial" w:hAnsi="Arial" w:cs="Arial"/>
        </w:rPr>
        <w:t xml:space="preserve"> leukemia samples. </w:t>
      </w:r>
      <w:r w:rsidR="00C57277" w:rsidRPr="00C36BA7">
        <w:rPr>
          <w:rFonts w:ascii="Arial" w:hAnsi="Arial" w:cs="Arial"/>
          <w:b/>
          <w:bCs/>
        </w:rPr>
        <w:t>(B)</w:t>
      </w:r>
      <w:r w:rsidR="00FA2A4F" w:rsidRPr="00C36BA7">
        <w:rPr>
          <w:rFonts w:ascii="Arial" w:hAnsi="Arial" w:cs="Arial"/>
        </w:rPr>
        <w:t xml:space="preserve"> UV-light (COSMIC mutation signature SBS7a, SBS7b, SBS7c, and SBS7d) associated mutational signatures detected in </w:t>
      </w:r>
      <w:r w:rsidR="001F655B">
        <w:rPr>
          <w:rFonts w:ascii="Arial" w:hAnsi="Arial" w:cs="Arial"/>
        </w:rPr>
        <w:t xml:space="preserve">a </w:t>
      </w:r>
      <w:r w:rsidR="001F655B" w:rsidRPr="00C36BA7">
        <w:rPr>
          <w:rFonts w:ascii="Arial" w:hAnsi="Arial" w:cs="Arial"/>
        </w:rPr>
        <w:t xml:space="preserve">B-cell Lymphoblastic Leukemia </w:t>
      </w:r>
      <w:r w:rsidR="001F655B">
        <w:rPr>
          <w:rFonts w:ascii="Arial" w:hAnsi="Arial" w:cs="Arial"/>
        </w:rPr>
        <w:t>(B-ALL) subtype with i</w:t>
      </w:r>
      <w:r w:rsidR="001F655B" w:rsidRPr="001F655B">
        <w:rPr>
          <w:rFonts w:ascii="Arial" w:hAnsi="Arial" w:cs="Arial"/>
        </w:rPr>
        <w:t>ntrachromosomal amplification of chromosome 21 (iAMP21)</w:t>
      </w:r>
      <w:r w:rsidR="009E2646" w:rsidRPr="00C36BA7">
        <w:rPr>
          <w:rFonts w:ascii="Arial" w:hAnsi="Arial" w:cs="Arial"/>
        </w:rPr>
        <w:t>. UV-signature positive samples show</w:t>
      </w:r>
      <w:r w:rsidR="002C3BA9">
        <w:rPr>
          <w:rFonts w:ascii="Arial" w:hAnsi="Arial" w:cs="Arial"/>
        </w:rPr>
        <w:t xml:space="preserve"> an</w:t>
      </w:r>
      <w:r w:rsidR="009E2646" w:rsidRPr="00C36BA7">
        <w:rPr>
          <w:rFonts w:ascii="Arial" w:hAnsi="Arial" w:cs="Arial"/>
        </w:rPr>
        <w:t xml:space="preserve"> </w:t>
      </w:r>
      <w:r w:rsidR="00FA2A4F" w:rsidRPr="00C36BA7">
        <w:rPr>
          <w:rFonts w:ascii="Arial" w:hAnsi="Arial" w:cs="Arial"/>
        </w:rPr>
        <w:t xml:space="preserve">increased mutational burden (right). </w:t>
      </w:r>
      <w:r w:rsidR="00007C89" w:rsidRPr="00C36BA7">
        <w:rPr>
          <w:rFonts w:ascii="Arial" w:hAnsi="Arial" w:cs="Arial"/>
        </w:rPr>
        <w:t xml:space="preserve">The key below each plot indicates the </w:t>
      </w:r>
      <w:r w:rsidR="00FA2A4F" w:rsidRPr="00C36BA7">
        <w:rPr>
          <w:rFonts w:ascii="Arial" w:hAnsi="Arial" w:cs="Arial"/>
        </w:rPr>
        <w:t>COSMIC mutation signatures</w:t>
      </w:r>
      <w:r w:rsidR="00007C89">
        <w:t xml:space="preserve"> </w:t>
      </w:r>
      <w:r w:rsidR="00007C89" w:rsidRPr="00C36BA7">
        <w:rPr>
          <w:rFonts w:ascii="Arial" w:hAnsi="Arial" w:cs="Arial"/>
        </w:rPr>
        <w:t xml:space="preserve">identified, and mutation burden (total number of SNVs) for each sample represented on the right side </w:t>
      </w:r>
      <w:proofErr w:type="spellStart"/>
      <w:r w:rsidR="00007C89" w:rsidRPr="00C36BA7">
        <w:rPr>
          <w:rFonts w:ascii="Arial" w:hAnsi="Arial" w:cs="Arial"/>
        </w:rPr>
        <w:t>barplot</w:t>
      </w:r>
      <w:proofErr w:type="spellEnd"/>
      <w:r w:rsidR="00007C89" w:rsidRPr="00C36BA7">
        <w:rPr>
          <w:rFonts w:ascii="Arial" w:hAnsi="Arial" w:cs="Arial"/>
        </w:rPr>
        <w:t>.</w:t>
      </w:r>
      <w:bookmarkStart w:id="30" w:name="_Toc46854665"/>
      <w:bookmarkStart w:id="31" w:name="_Toc48281392"/>
      <w:r w:rsidR="00C11288">
        <w:t xml:space="preserve"> </w:t>
      </w:r>
    </w:p>
    <w:p w14:paraId="5D72BF24" w14:textId="161BA90A" w:rsidR="00C11288" w:rsidRDefault="00C11288">
      <w:r>
        <w:br w:type="page"/>
      </w:r>
    </w:p>
    <w:p w14:paraId="36D3F645" w14:textId="77777777" w:rsidR="00C86DBF" w:rsidRDefault="00EB3DF2" w:rsidP="00C86DBF">
      <w:pPr>
        <w:spacing w:line="360" w:lineRule="auto"/>
        <w:rPr>
          <w:rStyle w:val="Heading2Char"/>
          <w:rFonts w:ascii="Arial" w:hAnsi="Arial" w:cs="Arial"/>
          <w:sz w:val="22"/>
          <w:szCs w:val="22"/>
        </w:rPr>
      </w:pPr>
      <w:bookmarkStart w:id="32" w:name="_Toc56128076"/>
      <w:r>
        <w:rPr>
          <w:rFonts w:ascii="Arial" w:eastAsiaTheme="majorEastAsia" w:hAnsi="Arial" w:cs="Arial"/>
          <w:noProof/>
          <w:color w:val="2F5496" w:themeColor="accent1" w:themeShade="BF"/>
        </w:rPr>
        <w:lastRenderedPageBreak/>
        <w:drawing>
          <wp:inline distT="0" distB="0" distL="0" distR="0" wp14:anchorId="4D1379E1" wp14:editId="359E86AE">
            <wp:extent cx="5629910" cy="6686550"/>
            <wp:effectExtent l="0" t="0" r="8890" b="0"/>
            <wp:docPr id="2" name="Picture 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waterfall chart&#10;&#10;Description automatically generated"/>
                    <pic:cNvPicPr/>
                  </pic:nvPicPr>
                  <pic:blipFill rotWithShape="1">
                    <a:blip r:embed="rId17" cstate="print">
                      <a:extLst>
                        <a:ext uri="{28A0092B-C50C-407E-A947-70E740481C1C}">
                          <a14:useLocalDpi xmlns:a14="http://schemas.microsoft.com/office/drawing/2010/main" val="0"/>
                        </a:ext>
                      </a:extLst>
                    </a:blip>
                    <a:srcRect t="6482" b="12258"/>
                    <a:stretch/>
                  </pic:blipFill>
                  <pic:spPr bwMode="auto">
                    <a:xfrm>
                      <a:off x="0" y="0"/>
                      <a:ext cx="5630545" cy="6687304"/>
                    </a:xfrm>
                    <a:prstGeom prst="rect">
                      <a:avLst/>
                    </a:prstGeom>
                    <a:ln>
                      <a:noFill/>
                    </a:ln>
                    <a:extLst>
                      <a:ext uri="{53640926-AAD7-44D8-BBD7-CCE9431645EC}">
                        <a14:shadowObscured xmlns:a14="http://schemas.microsoft.com/office/drawing/2010/main"/>
                      </a:ext>
                    </a:extLst>
                  </pic:spPr>
                </pic:pic>
              </a:graphicData>
            </a:graphic>
          </wp:inline>
        </w:drawing>
      </w:r>
    </w:p>
    <w:p w14:paraId="3E8B5D66" w14:textId="45BFFB4B" w:rsidR="00EE38B4" w:rsidRPr="00C36BA7" w:rsidRDefault="00DC34AC" w:rsidP="00C86DBF">
      <w:pPr>
        <w:spacing w:line="360" w:lineRule="auto"/>
        <w:rPr>
          <w:rStyle w:val="Heading1Char"/>
          <w:rFonts w:ascii="Arial" w:eastAsiaTheme="minorHAnsi" w:hAnsi="Arial" w:cs="Arial"/>
          <w:color w:val="auto"/>
          <w:sz w:val="22"/>
          <w:szCs w:val="22"/>
        </w:rPr>
      </w:pPr>
      <w:r w:rsidRPr="00C36BA7">
        <w:rPr>
          <w:rStyle w:val="Heading2Char"/>
          <w:rFonts w:ascii="Arial" w:hAnsi="Arial" w:cs="Arial"/>
          <w:sz w:val="22"/>
          <w:szCs w:val="22"/>
        </w:rPr>
        <w:t>Supplementary Figure S</w:t>
      </w:r>
      <w:bookmarkEnd w:id="30"/>
      <w:bookmarkEnd w:id="31"/>
      <w:bookmarkEnd w:id="32"/>
      <w:r w:rsidR="00073DE1">
        <w:rPr>
          <w:rStyle w:val="Heading2Char"/>
          <w:rFonts w:ascii="Arial" w:hAnsi="Arial" w:cs="Arial"/>
          <w:sz w:val="22"/>
          <w:szCs w:val="22"/>
        </w:rPr>
        <w:t>7</w:t>
      </w:r>
      <w:r w:rsidR="0062255B" w:rsidRPr="00C36BA7">
        <w:rPr>
          <w:rStyle w:val="Heading1Char"/>
          <w:rFonts w:ascii="Arial" w:hAnsi="Arial" w:cs="Arial"/>
          <w:sz w:val="22"/>
          <w:szCs w:val="22"/>
        </w:rPr>
        <w:t xml:space="preserve">. </w:t>
      </w:r>
      <w:r w:rsidR="00007C89" w:rsidRPr="00C36BA7">
        <w:rPr>
          <w:rFonts w:ascii="Arial" w:hAnsi="Arial" w:cs="Arial"/>
        </w:rPr>
        <w:t xml:space="preserve">Identification of COSMIC mutation signature </w:t>
      </w:r>
      <w:r w:rsidR="00D8476D" w:rsidRPr="00C36BA7">
        <w:rPr>
          <w:rFonts w:ascii="Arial" w:hAnsi="Arial" w:cs="Arial"/>
        </w:rPr>
        <w:t>SBS</w:t>
      </w:r>
      <w:r w:rsidR="00007C89" w:rsidRPr="00C36BA7">
        <w:rPr>
          <w:rFonts w:ascii="Arial" w:hAnsi="Arial" w:cs="Arial"/>
        </w:rPr>
        <w:t xml:space="preserve">22 in pediatric hepatoblastoma samples. </w:t>
      </w:r>
      <w:r w:rsidR="00007C89" w:rsidRPr="00C36BA7">
        <w:rPr>
          <w:rFonts w:ascii="Arial" w:hAnsi="Arial" w:cs="Arial"/>
          <w:b/>
          <w:bCs/>
        </w:rPr>
        <w:t>(</w:t>
      </w:r>
      <w:r w:rsidR="00EE38B4" w:rsidRPr="00C36BA7">
        <w:rPr>
          <w:rFonts w:ascii="Arial" w:hAnsi="Arial" w:cs="Arial"/>
          <w:b/>
          <w:bCs/>
        </w:rPr>
        <w:t>A)</w:t>
      </w:r>
      <w:r w:rsidR="00EE38B4" w:rsidRPr="00C36BA7">
        <w:rPr>
          <w:rFonts w:ascii="Arial" w:hAnsi="Arial" w:cs="Arial"/>
        </w:rPr>
        <w:t xml:space="preserve"> W</w:t>
      </w:r>
      <w:r w:rsidRPr="00C36BA7">
        <w:rPr>
          <w:rFonts w:ascii="Arial" w:hAnsi="Arial" w:cs="Arial"/>
        </w:rPr>
        <w:t xml:space="preserve">hole-genome sequencing somatic mutation signature landscape of hepatoblastoma patient diagnosis and relapse samples (SJST030137_D1 and SJST030137_R1) harboring Aristolochic Acid COSMIC mutation signature </w:t>
      </w:r>
      <w:r w:rsidR="00C57277" w:rsidRPr="00C36BA7">
        <w:rPr>
          <w:rFonts w:ascii="Arial" w:hAnsi="Arial" w:cs="Arial"/>
        </w:rPr>
        <w:t>SBS</w:t>
      </w:r>
      <w:r w:rsidRPr="00C36BA7">
        <w:rPr>
          <w:rFonts w:ascii="Arial" w:hAnsi="Arial" w:cs="Arial"/>
        </w:rPr>
        <w:t>22.</w:t>
      </w:r>
      <w:r w:rsidR="00EE38B4" w:rsidRPr="00C36BA7">
        <w:rPr>
          <w:rFonts w:ascii="Arial" w:hAnsi="Arial" w:cs="Arial"/>
        </w:rPr>
        <w:t xml:space="preserve"> </w:t>
      </w:r>
      <w:r w:rsidR="00EE38B4" w:rsidRPr="00C36BA7">
        <w:rPr>
          <w:rFonts w:ascii="Arial" w:hAnsi="Arial" w:cs="Arial"/>
          <w:b/>
          <w:bCs/>
        </w:rPr>
        <w:t>(B)</w:t>
      </w:r>
      <w:r w:rsidR="00EE38B4" w:rsidRPr="00C36BA7">
        <w:rPr>
          <w:rFonts w:ascii="Arial" w:hAnsi="Arial" w:cs="Arial"/>
        </w:rPr>
        <w:t xml:space="preserve"> Stacked </w:t>
      </w:r>
      <w:proofErr w:type="spellStart"/>
      <w:r w:rsidR="00EE38B4" w:rsidRPr="00C36BA7">
        <w:rPr>
          <w:rFonts w:ascii="Arial" w:hAnsi="Arial" w:cs="Arial"/>
        </w:rPr>
        <w:t>barplot</w:t>
      </w:r>
      <w:proofErr w:type="spellEnd"/>
      <w:r w:rsidR="00EE38B4" w:rsidRPr="00C36BA7">
        <w:rPr>
          <w:rFonts w:ascii="Arial" w:hAnsi="Arial" w:cs="Arial"/>
        </w:rPr>
        <w:t xml:space="preserve"> of somatic mutations (No./Mb) contributing to COSMIC </w:t>
      </w:r>
      <w:r w:rsidR="00C57277" w:rsidRPr="00C36BA7">
        <w:rPr>
          <w:rFonts w:ascii="Arial" w:hAnsi="Arial" w:cs="Arial"/>
        </w:rPr>
        <w:t>m</w:t>
      </w:r>
      <w:r w:rsidR="00EE38B4" w:rsidRPr="00C36BA7">
        <w:rPr>
          <w:rFonts w:ascii="Arial" w:hAnsi="Arial" w:cs="Arial"/>
        </w:rPr>
        <w:t xml:space="preserve">utation </w:t>
      </w:r>
      <w:r w:rsidR="00C57277" w:rsidRPr="00C36BA7">
        <w:rPr>
          <w:rFonts w:ascii="Arial" w:hAnsi="Arial" w:cs="Arial"/>
        </w:rPr>
        <w:t>s</w:t>
      </w:r>
      <w:r w:rsidR="00EE38B4" w:rsidRPr="00C36BA7">
        <w:rPr>
          <w:rFonts w:ascii="Arial" w:hAnsi="Arial" w:cs="Arial"/>
        </w:rPr>
        <w:t xml:space="preserve">ignature </w:t>
      </w:r>
      <w:r w:rsidR="00C57277" w:rsidRPr="00C36BA7">
        <w:rPr>
          <w:rFonts w:ascii="Arial" w:hAnsi="Arial" w:cs="Arial"/>
        </w:rPr>
        <w:t>SBS</w:t>
      </w:r>
      <w:r w:rsidR="00EE38B4" w:rsidRPr="00C36BA7">
        <w:rPr>
          <w:rFonts w:ascii="Arial" w:hAnsi="Arial" w:cs="Arial"/>
        </w:rPr>
        <w:t xml:space="preserve">1, </w:t>
      </w:r>
      <w:r w:rsidR="00C57277" w:rsidRPr="00C36BA7">
        <w:rPr>
          <w:rFonts w:ascii="Arial" w:hAnsi="Arial" w:cs="Arial"/>
        </w:rPr>
        <w:t>SBS</w:t>
      </w:r>
      <w:r w:rsidR="00EE38B4" w:rsidRPr="00C36BA7">
        <w:rPr>
          <w:rFonts w:ascii="Arial" w:hAnsi="Arial" w:cs="Arial"/>
        </w:rPr>
        <w:t xml:space="preserve">5, </w:t>
      </w:r>
      <w:r w:rsidR="00C57277" w:rsidRPr="00C36BA7">
        <w:rPr>
          <w:rFonts w:ascii="Arial" w:hAnsi="Arial" w:cs="Arial"/>
        </w:rPr>
        <w:t>SBS</w:t>
      </w:r>
      <w:r w:rsidR="00EE38B4" w:rsidRPr="00C36BA7">
        <w:rPr>
          <w:rFonts w:ascii="Arial" w:hAnsi="Arial" w:cs="Arial"/>
        </w:rPr>
        <w:t xml:space="preserve">8, </w:t>
      </w:r>
      <w:r w:rsidR="00C57277" w:rsidRPr="00C36BA7">
        <w:rPr>
          <w:rFonts w:ascii="Arial" w:hAnsi="Arial" w:cs="Arial"/>
        </w:rPr>
        <w:t>SBS</w:t>
      </w:r>
      <w:r w:rsidR="00EE38B4" w:rsidRPr="00C36BA7">
        <w:rPr>
          <w:rFonts w:ascii="Arial" w:hAnsi="Arial" w:cs="Arial"/>
        </w:rPr>
        <w:t xml:space="preserve">18, </w:t>
      </w:r>
      <w:r w:rsidR="00C57277" w:rsidRPr="00C36BA7">
        <w:rPr>
          <w:rFonts w:ascii="Arial" w:hAnsi="Arial" w:cs="Arial"/>
        </w:rPr>
        <w:t>SBS</w:t>
      </w:r>
      <w:r w:rsidR="00EE38B4" w:rsidRPr="00C36BA7">
        <w:rPr>
          <w:rFonts w:ascii="Arial" w:hAnsi="Arial" w:cs="Arial"/>
        </w:rPr>
        <w:t xml:space="preserve">22, and </w:t>
      </w:r>
      <w:r w:rsidR="00C57277" w:rsidRPr="00C36BA7">
        <w:rPr>
          <w:rFonts w:ascii="Arial" w:hAnsi="Arial" w:cs="Arial"/>
        </w:rPr>
        <w:t>SBS</w:t>
      </w:r>
      <w:r w:rsidR="00EE38B4" w:rsidRPr="00C36BA7">
        <w:rPr>
          <w:rFonts w:ascii="Arial" w:hAnsi="Arial" w:cs="Arial"/>
        </w:rPr>
        <w:t xml:space="preserve">35 within six </w:t>
      </w:r>
      <w:r w:rsidR="00AF7E94" w:rsidRPr="00C36BA7">
        <w:rPr>
          <w:rFonts w:ascii="Arial" w:hAnsi="Arial" w:cs="Arial"/>
        </w:rPr>
        <w:t>hepatoblastoma</w:t>
      </w:r>
      <w:r w:rsidR="00EE38B4" w:rsidRPr="00C36BA7">
        <w:rPr>
          <w:rFonts w:ascii="Arial" w:hAnsi="Arial" w:cs="Arial"/>
        </w:rPr>
        <w:t xml:space="preserve"> patient samples. Patient </w:t>
      </w:r>
      <w:r w:rsidR="00AF7E94" w:rsidRPr="00C36BA7">
        <w:rPr>
          <w:rFonts w:ascii="Arial" w:hAnsi="Arial" w:cs="Arial"/>
        </w:rPr>
        <w:lastRenderedPageBreak/>
        <w:t>SJ</w:t>
      </w:r>
      <w:r w:rsidR="00EE38B4" w:rsidRPr="00C36BA7">
        <w:rPr>
          <w:rFonts w:ascii="Arial" w:hAnsi="Arial" w:cs="Arial"/>
        </w:rPr>
        <w:t>ST030137 involves both diagnostic and relapse samples (</w:t>
      </w:r>
      <w:r w:rsidR="00AF7E94" w:rsidRPr="00C36BA7">
        <w:rPr>
          <w:rFonts w:ascii="Arial" w:hAnsi="Arial" w:cs="Arial"/>
        </w:rPr>
        <w:t>SJ</w:t>
      </w:r>
      <w:r w:rsidR="00EE38B4" w:rsidRPr="00C36BA7">
        <w:rPr>
          <w:rFonts w:ascii="Arial" w:hAnsi="Arial" w:cs="Arial"/>
        </w:rPr>
        <w:t xml:space="preserve">ST030137_D1 and </w:t>
      </w:r>
      <w:r w:rsidR="00AF7E94" w:rsidRPr="00C36BA7">
        <w:rPr>
          <w:rFonts w:ascii="Arial" w:hAnsi="Arial" w:cs="Arial"/>
        </w:rPr>
        <w:t>SJ</w:t>
      </w:r>
      <w:r w:rsidR="00EE38B4" w:rsidRPr="00C36BA7">
        <w:rPr>
          <w:rFonts w:ascii="Arial" w:hAnsi="Arial" w:cs="Arial"/>
        </w:rPr>
        <w:t xml:space="preserve">ST030137_R1), while remaining patients only involve diagnostic samples. Patient </w:t>
      </w:r>
      <w:r w:rsidR="00AF7E94" w:rsidRPr="00C36BA7">
        <w:rPr>
          <w:rFonts w:ascii="Arial" w:hAnsi="Arial" w:cs="Arial"/>
        </w:rPr>
        <w:t>SJ</w:t>
      </w:r>
      <w:r w:rsidR="00EE38B4" w:rsidRPr="00C36BA7">
        <w:rPr>
          <w:rFonts w:ascii="Arial" w:hAnsi="Arial" w:cs="Arial"/>
        </w:rPr>
        <w:t>ST030137 is an Asian male while the remaining samples are from non-Asian patients. Data from published (</w:t>
      </w:r>
      <w:r w:rsidR="00AF7E94" w:rsidRPr="00C36BA7">
        <w:rPr>
          <w:rFonts w:ascii="Arial" w:hAnsi="Arial" w:cs="Arial"/>
        </w:rPr>
        <w:t>SJ</w:t>
      </w:r>
      <w:r w:rsidR="00EE38B4" w:rsidRPr="00C36BA7">
        <w:rPr>
          <w:rFonts w:ascii="Arial" w:hAnsi="Arial" w:cs="Arial"/>
        </w:rPr>
        <w:t xml:space="preserve">ST030137_D1, </w:t>
      </w:r>
      <w:r w:rsidR="00AF7E94" w:rsidRPr="00C36BA7">
        <w:rPr>
          <w:rFonts w:ascii="Arial" w:hAnsi="Arial" w:cs="Arial"/>
        </w:rPr>
        <w:t>SJ</w:t>
      </w:r>
      <w:r w:rsidR="00EE38B4" w:rsidRPr="00C36BA7">
        <w:rPr>
          <w:rFonts w:ascii="Arial" w:hAnsi="Arial" w:cs="Arial"/>
        </w:rPr>
        <w:t>ST030246_D1,</w:t>
      </w:r>
      <w:r w:rsidR="00C86DBF">
        <w:rPr>
          <w:rFonts w:ascii="Arial" w:hAnsi="Arial" w:cs="Arial"/>
        </w:rPr>
        <w:t xml:space="preserve"> </w:t>
      </w:r>
      <w:r w:rsidR="00C86DBF">
        <w:t>https://clinicaltrials.gov/ct2/show/NCT02530658</w:t>
      </w:r>
      <w:r w:rsidR="0EABF2E2" w:rsidRPr="00C36BA7">
        <w:rPr>
          <w:rFonts w:ascii="Arial" w:hAnsi="Arial" w:cs="Arial"/>
          <w:noProof/>
        </w:rPr>
        <w:t>)</w:t>
      </w:r>
      <w:r w:rsidR="00EE38B4" w:rsidRPr="00C36BA7">
        <w:rPr>
          <w:rFonts w:ascii="Arial" w:hAnsi="Arial" w:cs="Arial"/>
        </w:rPr>
        <w:t xml:space="preserve"> and unpublished real-time clinical genomics (</w:t>
      </w:r>
      <w:r w:rsidR="00AF7E94" w:rsidRPr="00C36BA7">
        <w:rPr>
          <w:rFonts w:ascii="Arial" w:hAnsi="Arial" w:cs="Arial"/>
        </w:rPr>
        <w:t>SJ</w:t>
      </w:r>
      <w:r w:rsidR="00EE38B4" w:rsidRPr="00C36BA7">
        <w:rPr>
          <w:rFonts w:ascii="Arial" w:hAnsi="Arial" w:cs="Arial"/>
        </w:rPr>
        <w:t xml:space="preserve">ST030137_R1, </w:t>
      </w:r>
      <w:r w:rsidR="00AF7E94" w:rsidRPr="00C36BA7">
        <w:rPr>
          <w:rFonts w:ascii="Arial" w:hAnsi="Arial" w:cs="Arial"/>
        </w:rPr>
        <w:t>SJ</w:t>
      </w:r>
      <w:r w:rsidR="00EE38B4" w:rsidRPr="00C36BA7">
        <w:rPr>
          <w:rFonts w:ascii="Arial" w:hAnsi="Arial" w:cs="Arial"/>
        </w:rPr>
        <w:t xml:space="preserve">ST030609_D1, </w:t>
      </w:r>
      <w:r w:rsidR="00AF7E94" w:rsidRPr="00C36BA7">
        <w:rPr>
          <w:rFonts w:ascii="Arial" w:hAnsi="Arial" w:cs="Arial"/>
        </w:rPr>
        <w:t>SJ</w:t>
      </w:r>
      <w:r w:rsidR="00EE38B4" w:rsidRPr="00C36BA7">
        <w:rPr>
          <w:rFonts w:ascii="Arial" w:hAnsi="Arial" w:cs="Arial"/>
        </w:rPr>
        <w:t xml:space="preserve">ST030953_D1, </w:t>
      </w:r>
      <w:r w:rsidR="00AF7E94" w:rsidRPr="00C36BA7">
        <w:rPr>
          <w:rFonts w:ascii="Arial" w:hAnsi="Arial" w:cs="Arial"/>
        </w:rPr>
        <w:t>SJ</w:t>
      </w:r>
      <w:r w:rsidR="00EE38B4" w:rsidRPr="00C36BA7">
        <w:rPr>
          <w:rFonts w:ascii="Arial" w:hAnsi="Arial" w:cs="Arial"/>
        </w:rPr>
        <w:t>ST031109_D1) datasets.</w:t>
      </w:r>
    </w:p>
    <w:p w14:paraId="651D7DC8" w14:textId="77777777" w:rsidR="00EE38B4" w:rsidRDefault="00EE38B4">
      <w:pPr>
        <w:rPr>
          <w:rStyle w:val="Heading1Char"/>
          <w:rFonts w:ascii="Arial" w:hAnsi="Arial" w:cs="Arial"/>
          <w:sz w:val="20"/>
          <w:szCs w:val="20"/>
        </w:rPr>
      </w:pPr>
      <w:r>
        <w:rPr>
          <w:rStyle w:val="Heading1Char"/>
          <w:rFonts w:ascii="Arial" w:hAnsi="Arial" w:cs="Arial"/>
          <w:sz w:val="20"/>
          <w:szCs w:val="20"/>
        </w:rPr>
        <w:br w:type="page"/>
      </w:r>
    </w:p>
    <w:p w14:paraId="0C660471" w14:textId="77777777" w:rsidR="00084F66" w:rsidRPr="0062255B" w:rsidRDefault="00084F66" w:rsidP="00481383">
      <w:pPr>
        <w:spacing w:line="360" w:lineRule="auto"/>
        <w:rPr>
          <w:rFonts w:ascii="Arial" w:hAnsi="Arial" w:cs="Arial"/>
          <w:sz w:val="20"/>
          <w:szCs w:val="20"/>
        </w:rPr>
      </w:pPr>
    </w:p>
    <w:p w14:paraId="4792EB67" w14:textId="30E143E7" w:rsidR="000D646C" w:rsidRPr="0062255B" w:rsidRDefault="000D646C" w:rsidP="25EB717C">
      <w:pPr>
        <w:spacing w:line="360" w:lineRule="auto"/>
      </w:pPr>
    </w:p>
    <w:p w14:paraId="5D5856BF" w14:textId="77777777" w:rsidR="00DC57AD" w:rsidRDefault="00DC57AD" w:rsidP="00DC34AC">
      <w:pPr>
        <w:spacing w:line="360" w:lineRule="auto"/>
        <w:rPr>
          <w:rStyle w:val="Heading2Char"/>
        </w:rPr>
      </w:pPr>
      <w:bookmarkStart w:id="33" w:name="_Toc46854667"/>
      <w:bookmarkStart w:id="34" w:name="_Toc48281394"/>
      <w:bookmarkStart w:id="35" w:name="_Toc56128077"/>
      <w:r>
        <w:rPr>
          <w:rFonts w:asciiTheme="majorHAnsi" w:eastAsiaTheme="majorEastAsia" w:hAnsiTheme="majorHAnsi" w:cstheme="majorBidi"/>
          <w:noProof/>
          <w:color w:val="2F5496" w:themeColor="accent1" w:themeShade="BF"/>
          <w:sz w:val="26"/>
          <w:szCs w:val="26"/>
        </w:rPr>
        <w:drawing>
          <wp:inline distT="0" distB="0" distL="0" distR="0" wp14:anchorId="484A7509" wp14:editId="3121D384">
            <wp:extent cx="6136173" cy="2070081"/>
            <wp:effectExtent l="0" t="0" r="0" b="635"/>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rotWithShape="1">
                    <a:blip r:embed="rId18" cstate="print">
                      <a:extLst>
                        <a:ext uri="{28A0092B-C50C-407E-A947-70E740481C1C}">
                          <a14:useLocalDpi xmlns:a14="http://schemas.microsoft.com/office/drawing/2010/main" val="0"/>
                        </a:ext>
                      </a:extLst>
                    </a:blip>
                    <a:srcRect l="2967" r="1993" b="19185"/>
                    <a:stretch/>
                  </pic:blipFill>
                  <pic:spPr bwMode="auto">
                    <a:xfrm>
                      <a:off x="0" y="0"/>
                      <a:ext cx="6223611" cy="2099579"/>
                    </a:xfrm>
                    <a:prstGeom prst="rect">
                      <a:avLst/>
                    </a:prstGeom>
                    <a:ln>
                      <a:noFill/>
                    </a:ln>
                    <a:extLst>
                      <a:ext uri="{53640926-AAD7-44D8-BBD7-CCE9431645EC}">
                        <a14:shadowObscured xmlns:a14="http://schemas.microsoft.com/office/drawing/2010/main"/>
                      </a:ext>
                    </a:extLst>
                  </pic:spPr>
                </pic:pic>
              </a:graphicData>
            </a:graphic>
          </wp:inline>
        </w:drawing>
      </w:r>
    </w:p>
    <w:p w14:paraId="53357669" w14:textId="53C22501" w:rsidR="00DF70EA" w:rsidRPr="00CB1D86" w:rsidRDefault="00481383" w:rsidP="00DC34AC">
      <w:pPr>
        <w:spacing w:line="360" w:lineRule="auto"/>
        <w:rPr>
          <w:rFonts w:ascii="Arial" w:hAnsi="Arial" w:cs="Arial"/>
        </w:rPr>
      </w:pPr>
      <w:r w:rsidRPr="00CB1D86">
        <w:rPr>
          <w:rStyle w:val="Heading2Char"/>
          <w:rFonts w:ascii="Arial" w:hAnsi="Arial" w:cs="Arial"/>
          <w:sz w:val="22"/>
          <w:szCs w:val="22"/>
        </w:rPr>
        <w:t>Supplementary Figure</w:t>
      </w:r>
      <w:r w:rsidR="00DC34AC" w:rsidRPr="00CB1D86">
        <w:rPr>
          <w:rStyle w:val="Heading2Char"/>
          <w:rFonts w:ascii="Arial" w:hAnsi="Arial" w:cs="Arial"/>
          <w:sz w:val="22"/>
          <w:szCs w:val="22"/>
        </w:rPr>
        <w:t xml:space="preserve"> S</w:t>
      </w:r>
      <w:bookmarkEnd w:id="33"/>
      <w:bookmarkEnd w:id="34"/>
      <w:bookmarkEnd w:id="35"/>
      <w:r w:rsidR="00073DE1">
        <w:rPr>
          <w:rStyle w:val="Heading2Char"/>
          <w:rFonts w:ascii="Arial" w:hAnsi="Arial" w:cs="Arial"/>
          <w:sz w:val="22"/>
          <w:szCs w:val="22"/>
        </w:rPr>
        <w:t>8</w:t>
      </w:r>
      <w:r w:rsidR="0062255B" w:rsidRPr="00CB1D86">
        <w:rPr>
          <w:rStyle w:val="Heading1Char"/>
          <w:rFonts w:ascii="Arial" w:hAnsi="Arial" w:cs="Arial"/>
          <w:sz w:val="22"/>
          <w:szCs w:val="22"/>
        </w:rPr>
        <w:t xml:space="preserve">. </w:t>
      </w:r>
      <w:r w:rsidR="00DC57AD" w:rsidRPr="00CB1D86">
        <w:rPr>
          <w:rFonts w:ascii="Arial" w:hAnsi="Arial" w:cs="Arial"/>
        </w:rPr>
        <w:t>Identification of therapy-related COSMIC mutation signature SBS86 and SBS87 in pediatric tumor samples.</w:t>
      </w:r>
      <w:r w:rsidR="00DC57AD" w:rsidRPr="00CB1D86">
        <w:rPr>
          <w:rFonts w:ascii="Arial" w:hAnsi="Arial" w:cs="Arial"/>
          <w:b/>
          <w:bCs/>
        </w:rPr>
        <w:t xml:space="preserve"> (</w:t>
      </w:r>
      <w:r w:rsidR="003B2FEC" w:rsidRPr="00CB1D86">
        <w:rPr>
          <w:rFonts w:ascii="Arial" w:hAnsi="Arial" w:cs="Arial"/>
          <w:b/>
          <w:bCs/>
        </w:rPr>
        <w:t>A)</w:t>
      </w:r>
      <w:r w:rsidR="003B2FEC" w:rsidRPr="00CB1D86">
        <w:rPr>
          <w:rFonts w:ascii="Arial" w:hAnsi="Arial" w:cs="Arial"/>
        </w:rPr>
        <w:t xml:space="preserve"> W</w:t>
      </w:r>
      <w:r w:rsidR="000D646C" w:rsidRPr="00CB1D86">
        <w:rPr>
          <w:rFonts w:ascii="Arial" w:hAnsi="Arial" w:cs="Arial"/>
        </w:rPr>
        <w:t xml:space="preserve">hole-genome sequencing somatic mutation </w:t>
      </w:r>
      <w:r w:rsidRPr="00CB1D86">
        <w:rPr>
          <w:rFonts w:ascii="Arial" w:hAnsi="Arial" w:cs="Arial"/>
        </w:rPr>
        <w:t xml:space="preserve">signature landscape of </w:t>
      </w:r>
      <w:r w:rsidR="00667E70" w:rsidRPr="00CB1D86">
        <w:rPr>
          <w:rFonts w:ascii="Arial" w:hAnsi="Arial" w:cs="Arial"/>
        </w:rPr>
        <w:t xml:space="preserve">relapsed B-cell </w:t>
      </w:r>
      <w:r w:rsidRPr="00CB1D86">
        <w:rPr>
          <w:rFonts w:ascii="Arial" w:hAnsi="Arial" w:cs="Arial"/>
        </w:rPr>
        <w:t xml:space="preserve">acute </w:t>
      </w:r>
      <w:r w:rsidR="00667E70" w:rsidRPr="00CB1D86">
        <w:rPr>
          <w:rFonts w:ascii="Arial" w:hAnsi="Arial" w:cs="Arial"/>
        </w:rPr>
        <w:t>lymphoblastic</w:t>
      </w:r>
      <w:r w:rsidRPr="00CB1D86">
        <w:rPr>
          <w:rFonts w:ascii="Arial" w:hAnsi="Arial" w:cs="Arial"/>
        </w:rPr>
        <w:t xml:space="preserve"> leukemia sample </w:t>
      </w:r>
      <w:r w:rsidR="000D646C" w:rsidRPr="00CB1D86">
        <w:rPr>
          <w:rFonts w:ascii="Arial" w:hAnsi="Arial" w:cs="Arial"/>
        </w:rPr>
        <w:t xml:space="preserve">harboring </w:t>
      </w:r>
      <w:r w:rsidR="00667E70" w:rsidRPr="00CB1D86">
        <w:rPr>
          <w:rFonts w:ascii="Arial" w:hAnsi="Arial" w:cs="Arial"/>
        </w:rPr>
        <w:t>therapy</w:t>
      </w:r>
      <w:r w:rsidR="000D646C" w:rsidRPr="00CB1D86">
        <w:rPr>
          <w:rFonts w:ascii="Arial" w:hAnsi="Arial" w:cs="Arial"/>
        </w:rPr>
        <w:t>-</w:t>
      </w:r>
      <w:r w:rsidR="00667E70" w:rsidRPr="00CB1D86">
        <w:rPr>
          <w:rFonts w:ascii="Arial" w:hAnsi="Arial" w:cs="Arial"/>
        </w:rPr>
        <w:t xml:space="preserve">related </w:t>
      </w:r>
      <w:r w:rsidRPr="00CB1D86">
        <w:rPr>
          <w:rFonts w:ascii="Arial" w:hAnsi="Arial" w:cs="Arial"/>
        </w:rPr>
        <w:t xml:space="preserve">COSMIC mutational signature </w:t>
      </w:r>
      <w:r w:rsidR="00DC57AD" w:rsidRPr="00CB1D86">
        <w:rPr>
          <w:rFonts w:ascii="Arial" w:hAnsi="Arial" w:cs="Arial"/>
        </w:rPr>
        <w:t>SBS</w:t>
      </w:r>
      <w:r w:rsidR="00667E70" w:rsidRPr="00CB1D86">
        <w:rPr>
          <w:rFonts w:ascii="Arial" w:hAnsi="Arial" w:cs="Arial"/>
        </w:rPr>
        <w:t>8</w:t>
      </w:r>
      <w:r w:rsidR="000D646C" w:rsidRPr="00CB1D86">
        <w:rPr>
          <w:rFonts w:ascii="Arial" w:hAnsi="Arial" w:cs="Arial"/>
        </w:rPr>
        <w:t>6</w:t>
      </w:r>
      <w:r w:rsidRPr="00CB1D86">
        <w:rPr>
          <w:rFonts w:ascii="Arial" w:hAnsi="Arial" w:cs="Arial"/>
        </w:rPr>
        <w:t>.</w:t>
      </w:r>
      <w:r w:rsidR="003B2FEC" w:rsidRPr="00CB1D86">
        <w:rPr>
          <w:rFonts w:ascii="Arial" w:hAnsi="Arial" w:cs="Arial"/>
        </w:rPr>
        <w:t xml:space="preserve"> </w:t>
      </w:r>
      <w:r w:rsidR="003B2FEC" w:rsidRPr="00CB1D86">
        <w:rPr>
          <w:rFonts w:ascii="Arial" w:hAnsi="Arial" w:cs="Arial"/>
          <w:b/>
          <w:bCs/>
        </w:rPr>
        <w:t>(B)</w:t>
      </w:r>
      <w:r w:rsidR="003B2FEC" w:rsidRPr="00CB1D86">
        <w:rPr>
          <w:rFonts w:ascii="Arial" w:hAnsi="Arial" w:cs="Arial"/>
        </w:rPr>
        <w:t xml:space="preserve"> </w:t>
      </w:r>
      <w:r w:rsidR="000D646C" w:rsidRPr="00CB1D86">
        <w:rPr>
          <w:rFonts w:ascii="Arial" w:hAnsi="Arial" w:cs="Arial"/>
        </w:rPr>
        <w:t xml:space="preserve">Whole-genome sequencing somatic mutation signature landscape of relapsed B-cell acute lymphoblastic leukemia sample harboring therapy-related COSMIC mutational signature </w:t>
      </w:r>
      <w:r w:rsidR="00DC57AD" w:rsidRPr="00CB1D86">
        <w:rPr>
          <w:rFonts w:ascii="Arial" w:hAnsi="Arial" w:cs="Arial"/>
        </w:rPr>
        <w:t>SBS</w:t>
      </w:r>
      <w:r w:rsidR="000D646C" w:rsidRPr="00CB1D86">
        <w:rPr>
          <w:rFonts w:ascii="Arial" w:hAnsi="Arial" w:cs="Arial"/>
        </w:rPr>
        <w:t>87.</w:t>
      </w:r>
    </w:p>
    <w:p w14:paraId="099C5E4B" w14:textId="36466F3F" w:rsidR="00205417" w:rsidRDefault="00205417" w:rsidP="00205417">
      <w:pPr>
        <w:spacing w:line="360" w:lineRule="auto"/>
        <w:rPr>
          <w:rFonts w:ascii="Arial" w:hAnsi="Arial" w:cs="Arial"/>
          <w:sz w:val="20"/>
          <w:szCs w:val="20"/>
        </w:rPr>
      </w:pPr>
    </w:p>
    <w:p w14:paraId="4726A79E" w14:textId="30F9292C" w:rsidR="00073DE1" w:rsidRDefault="00073DE1">
      <w:pPr>
        <w:rPr>
          <w:rFonts w:ascii="Arial" w:hAnsi="Arial" w:cs="Arial"/>
          <w:sz w:val="20"/>
          <w:szCs w:val="20"/>
        </w:rPr>
      </w:pPr>
      <w:r>
        <w:rPr>
          <w:rFonts w:ascii="Arial" w:hAnsi="Arial" w:cs="Arial"/>
          <w:sz w:val="20"/>
          <w:szCs w:val="20"/>
        </w:rPr>
        <w:br w:type="page"/>
      </w:r>
    </w:p>
    <w:p w14:paraId="5B1711D9" w14:textId="2ED786F8" w:rsidR="00073DE1" w:rsidRPr="00C36BA7" w:rsidRDefault="00C601B7" w:rsidP="00073DE1">
      <w:pPr>
        <w:spacing w:line="360" w:lineRule="auto"/>
        <w:rPr>
          <w:rFonts w:ascii="Arial" w:hAnsi="Arial" w:cs="Arial"/>
        </w:rPr>
      </w:pPr>
      <w:r>
        <w:rPr>
          <w:rFonts w:asciiTheme="majorHAnsi" w:eastAsiaTheme="majorEastAsia" w:hAnsiTheme="majorHAnsi" w:cstheme="majorBidi"/>
          <w:noProof/>
          <w:color w:val="2F5496" w:themeColor="accent1" w:themeShade="BF"/>
          <w:sz w:val="26"/>
          <w:szCs w:val="26"/>
        </w:rPr>
        <w:lastRenderedPageBreak/>
        <w:drawing>
          <wp:inline distT="0" distB="0" distL="0" distR="0" wp14:anchorId="1D61A114" wp14:editId="4D0A6551">
            <wp:extent cx="5873115" cy="7473898"/>
            <wp:effectExtent l="0" t="0" r="0" b="0"/>
            <wp:docPr id="4" name="Picture 4"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 bar chart&#10;&#10;Description automatically generated"/>
                    <pic:cNvPicPr/>
                  </pic:nvPicPr>
                  <pic:blipFill rotWithShape="1">
                    <a:blip r:embed="rId19" cstate="print">
                      <a:extLst>
                        <a:ext uri="{28A0092B-C50C-407E-A947-70E740481C1C}">
                          <a14:useLocalDpi xmlns:a14="http://schemas.microsoft.com/office/drawing/2010/main" val="0"/>
                        </a:ext>
                      </a:extLst>
                    </a:blip>
                    <a:srcRect b="9183"/>
                    <a:stretch/>
                  </pic:blipFill>
                  <pic:spPr bwMode="auto">
                    <a:xfrm>
                      <a:off x="0" y="0"/>
                      <a:ext cx="5873115" cy="7473898"/>
                    </a:xfrm>
                    <a:prstGeom prst="rect">
                      <a:avLst/>
                    </a:prstGeom>
                    <a:ln>
                      <a:noFill/>
                    </a:ln>
                    <a:extLst>
                      <a:ext uri="{53640926-AAD7-44D8-BBD7-CCE9431645EC}">
                        <a14:shadowObscured xmlns:a14="http://schemas.microsoft.com/office/drawing/2010/main"/>
                      </a:ext>
                    </a:extLst>
                  </pic:spPr>
                </pic:pic>
              </a:graphicData>
            </a:graphic>
          </wp:inline>
        </w:drawing>
      </w:r>
      <w:r w:rsidR="00073DE1" w:rsidRPr="000C4E8C">
        <w:rPr>
          <w:rStyle w:val="Heading2Char"/>
        </w:rPr>
        <w:t xml:space="preserve"> </w:t>
      </w:r>
      <w:r w:rsidR="00073DE1" w:rsidRPr="00C36BA7">
        <w:rPr>
          <w:rStyle w:val="Heading2Char"/>
          <w:rFonts w:ascii="Arial" w:hAnsi="Arial" w:cs="Arial"/>
          <w:sz w:val="22"/>
          <w:szCs w:val="22"/>
        </w:rPr>
        <w:t>Supplementary Figure S</w:t>
      </w:r>
      <w:r w:rsidR="00073DE1">
        <w:rPr>
          <w:rStyle w:val="Heading2Char"/>
          <w:rFonts w:ascii="Arial" w:hAnsi="Arial" w:cs="Arial"/>
          <w:sz w:val="22"/>
          <w:szCs w:val="22"/>
        </w:rPr>
        <w:t>9</w:t>
      </w:r>
      <w:r w:rsidR="00073DE1" w:rsidRPr="00C36BA7">
        <w:rPr>
          <w:rFonts w:ascii="Arial" w:hAnsi="Arial" w:cs="Arial"/>
        </w:rPr>
        <w:t xml:space="preserve">. Visualization of output from St. Jude Cloud Mutational Signatures workflow. Summary views of mutation signatures </w:t>
      </w:r>
      <w:r w:rsidR="00BB0FCD">
        <w:rPr>
          <w:rFonts w:ascii="Arial" w:hAnsi="Arial" w:cs="Arial"/>
        </w:rPr>
        <w:t>present</w:t>
      </w:r>
      <w:r w:rsidR="006F456F">
        <w:rPr>
          <w:rFonts w:ascii="Arial" w:hAnsi="Arial" w:cs="Arial"/>
        </w:rPr>
        <w:t xml:space="preserve"> within</w:t>
      </w:r>
      <w:r w:rsidR="00073DE1" w:rsidRPr="00C36BA7">
        <w:rPr>
          <w:rFonts w:ascii="Arial" w:hAnsi="Arial" w:cs="Arial"/>
        </w:rPr>
        <w:t xml:space="preserve"> a “reference” cohort and </w:t>
      </w:r>
      <w:r w:rsidR="00BB0FCD">
        <w:rPr>
          <w:rFonts w:ascii="Arial" w:hAnsi="Arial" w:cs="Arial"/>
        </w:rPr>
        <w:t xml:space="preserve">identified in </w:t>
      </w:r>
      <w:r w:rsidR="00073DE1" w:rsidRPr="00C36BA7">
        <w:rPr>
          <w:rFonts w:ascii="Arial" w:hAnsi="Arial" w:cs="Arial"/>
        </w:rPr>
        <w:t xml:space="preserve">a “query cohort” are shown at the top while a </w:t>
      </w:r>
      <w:r w:rsidR="006F456F">
        <w:rPr>
          <w:rFonts w:ascii="Arial" w:hAnsi="Arial" w:cs="Arial"/>
        </w:rPr>
        <w:t xml:space="preserve">per </w:t>
      </w:r>
      <w:r w:rsidR="00073DE1" w:rsidRPr="00C36BA7">
        <w:rPr>
          <w:rFonts w:ascii="Arial" w:hAnsi="Arial" w:cs="Arial"/>
        </w:rPr>
        <w:t xml:space="preserve">sample view of mutation signature </w:t>
      </w:r>
      <w:r w:rsidR="00073DE1" w:rsidRPr="00C36BA7">
        <w:rPr>
          <w:rFonts w:ascii="Arial" w:hAnsi="Arial" w:cs="Arial"/>
        </w:rPr>
        <w:lastRenderedPageBreak/>
        <w:t xml:space="preserve">and mutation burden in each cancer genome is shown at the bottom. A user can toggle between the “reference” or the “query” summary to select a cohort of interest for </w:t>
      </w:r>
      <w:r w:rsidR="006F456F">
        <w:rPr>
          <w:rFonts w:ascii="Arial" w:hAnsi="Arial" w:cs="Arial"/>
        </w:rPr>
        <w:t xml:space="preserve">the per </w:t>
      </w:r>
      <w:r w:rsidR="00073DE1" w:rsidRPr="00C36BA7">
        <w:rPr>
          <w:rFonts w:ascii="Arial" w:hAnsi="Arial" w:cs="Arial"/>
        </w:rPr>
        <w:t xml:space="preserve">sample view. In this display, the query cohort consists of the nine ICGC adult AML samples from “use case 2” while the reference cohort selected is the pediatric AML cohort (top right) on St. Jude Cloud. The sample-level mutation signatures are shown at the bottom is </w:t>
      </w:r>
      <w:r w:rsidR="00BB0FCD">
        <w:rPr>
          <w:rFonts w:ascii="Arial" w:hAnsi="Arial" w:cs="Arial"/>
        </w:rPr>
        <w:t>presented</w:t>
      </w:r>
      <w:r w:rsidR="00BB0FCD" w:rsidRPr="00C36BA7">
        <w:rPr>
          <w:rFonts w:ascii="Arial" w:hAnsi="Arial" w:cs="Arial"/>
        </w:rPr>
        <w:t xml:space="preserve"> </w:t>
      </w:r>
      <w:r w:rsidR="00073DE1" w:rsidRPr="00C36BA7">
        <w:rPr>
          <w:rFonts w:ascii="Arial" w:hAnsi="Arial" w:cs="Arial"/>
        </w:rPr>
        <w:t xml:space="preserve">for the reference cohort.  A user can mouse over each of the stacked bars in order to ascertain the represented mutation signature. Clicking on/selecting any one of the detected mutation signatures in the legend automatically links to Sanger Center’s COSMIC website displaying further information about the particular mutation signature. </w:t>
      </w:r>
    </w:p>
    <w:p w14:paraId="61AD4F7B" w14:textId="77777777" w:rsidR="00073DE1" w:rsidRPr="00205417" w:rsidRDefault="00073DE1" w:rsidP="00205417">
      <w:pPr>
        <w:spacing w:line="360" w:lineRule="auto"/>
        <w:rPr>
          <w:rFonts w:ascii="Arial" w:hAnsi="Arial" w:cs="Arial"/>
          <w:sz w:val="20"/>
          <w:szCs w:val="20"/>
        </w:rPr>
      </w:pPr>
    </w:p>
    <w:p w14:paraId="37361F1D" w14:textId="22968FC9" w:rsidR="00DD55A4" w:rsidRPr="0062255B" w:rsidRDefault="00DD55A4" w:rsidP="00DD55A4">
      <w:pPr>
        <w:pStyle w:val="Heading1"/>
        <w:rPr>
          <w:b/>
          <w:bCs/>
          <w:shd w:val="clear" w:color="auto" w:fill="00FFFF"/>
        </w:rPr>
      </w:pPr>
      <w:bookmarkStart w:id="36" w:name="_Toc56128078"/>
      <w:r>
        <w:t>REFERENCES</w:t>
      </w:r>
      <w:bookmarkEnd w:id="36"/>
    </w:p>
    <w:p w14:paraId="65765C17" w14:textId="47A2B2DA" w:rsidR="327FDC67" w:rsidRDefault="327FDC67" w:rsidP="327FDC67">
      <w:pPr>
        <w:spacing w:line="360" w:lineRule="auto"/>
        <w:rPr>
          <w:rFonts w:ascii="Arial" w:hAnsi="Arial" w:cs="Arial"/>
          <w:sz w:val="20"/>
          <w:szCs w:val="20"/>
        </w:rPr>
      </w:pPr>
    </w:p>
    <w:p w14:paraId="2A186FDC" w14:textId="77777777" w:rsidR="009F4243" w:rsidRPr="009F4243" w:rsidRDefault="00DF70EA" w:rsidP="009F4243">
      <w:pPr>
        <w:pStyle w:val="EndNoteBibliography"/>
        <w:ind w:left="720" w:hanging="720"/>
        <w:rPr>
          <w:noProof/>
        </w:rPr>
      </w:pPr>
      <w:r>
        <w:rPr>
          <w:rFonts w:ascii="Arial" w:hAnsi="Arial" w:cs="Arial"/>
          <w:sz w:val="20"/>
          <w:szCs w:val="20"/>
        </w:rPr>
        <w:fldChar w:fldCharType="begin"/>
      </w:r>
      <w:r>
        <w:rPr>
          <w:rFonts w:ascii="Arial" w:hAnsi="Arial" w:cs="Arial"/>
          <w:sz w:val="20"/>
          <w:szCs w:val="20"/>
        </w:rPr>
        <w:instrText xml:space="preserve"> ADDIN EN.REFLIST </w:instrText>
      </w:r>
      <w:r>
        <w:rPr>
          <w:rFonts w:ascii="Arial" w:hAnsi="Arial" w:cs="Arial"/>
          <w:sz w:val="20"/>
          <w:szCs w:val="20"/>
        </w:rPr>
        <w:fldChar w:fldCharType="separate"/>
      </w:r>
      <w:r w:rsidR="009F4243" w:rsidRPr="009F4243">
        <w:rPr>
          <w:noProof/>
        </w:rPr>
        <w:t>1.</w:t>
      </w:r>
      <w:r w:rsidR="009F4243" w:rsidRPr="009F4243">
        <w:rPr>
          <w:noProof/>
        </w:rPr>
        <w:tab/>
        <w:t>Apps JR, Carreno G, Gonzalez-Meljem JM, Haston S, Guiho R, Cooper JE</w:t>
      </w:r>
      <w:r w:rsidR="009F4243" w:rsidRPr="009F4243">
        <w:rPr>
          <w:i/>
          <w:noProof/>
        </w:rPr>
        <w:t>, et al.</w:t>
      </w:r>
      <w:r w:rsidR="009F4243" w:rsidRPr="009F4243">
        <w:rPr>
          <w:noProof/>
        </w:rPr>
        <w:t xml:space="preserve"> Tumour compartment transcriptomics demonstrates the activation of inflammatory and odontogenic programmes in human adamantinomatous craniopharyngioma and identifies the MAPK/ERK pathway as a novel therapeutic target. Acta Neuropathol </w:t>
      </w:r>
      <w:r w:rsidR="009F4243" w:rsidRPr="009F4243">
        <w:rPr>
          <w:b/>
          <w:noProof/>
        </w:rPr>
        <w:t>2018</w:t>
      </w:r>
      <w:r w:rsidR="009F4243" w:rsidRPr="009F4243">
        <w:rPr>
          <w:noProof/>
        </w:rPr>
        <w:t>;135(5):757-77 doi 10.1007/s00401-018-1830-2.</w:t>
      </w:r>
    </w:p>
    <w:p w14:paraId="50115888" w14:textId="3B4A3D24" w:rsidR="00BC3C2B" w:rsidRPr="0062255B" w:rsidRDefault="00DF70EA" w:rsidP="00DC34AC">
      <w:pPr>
        <w:spacing w:line="360" w:lineRule="auto"/>
        <w:rPr>
          <w:rFonts w:ascii="Arial" w:hAnsi="Arial" w:cs="Arial"/>
          <w:sz w:val="20"/>
          <w:szCs w:val="20"/>
        </w:rPr>
      </w:pPr>
      <w:r>
        <w:rPr>
          <w:rFonts w:ascii="Arial" w:hAnsi="Arial" w:cs="Arial"/>
          <w:sz w:val="20"/>
          <w:szCs w:val="20"/>
        </w:rPr>
        <w:fldChar w:fldCharType="end"/>
      </w:r>
    </w:p>
    <w:sectPr w:rsidR="00BC3C2B" w:rsidRPr="0062255B" w:rsidSect="00D96D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Yu Gothic"/>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ancer Discove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sfdvt0h9aewfe2fs65r92tavd2s2v9p2xv&quot;&gt;Cancer Discovery EndNote Library V2&lt;record-ids&gt;&lt;item&gt;49&lt;/item&gt;&lt;/record-ids&gt;&lt;/item&gt;&lt;/Libraries&gt;"/>
  </w:docVars>
  <w:rsids>
    <w:rsidRoot w:val="00481383"/>
    <w:rsid w:val="00006E54"/>
    <w:rsid w:val="00007C89"/>
    <w:rsid w:val="00023D56"/>
    <w:rsid w:val="00045439"/>
    <w:rsid w:val="00063458"/>
    <w:rsid w:val="00070154"/>
    <w:rsid w:val="00073DE1"/>
    <w:rsid w:val="00084F66"/>
    <w:rsid w:val="000A2E54"/>
    <w:rsid w:val="000C4E8C"/>
    <w:rsid w:val="000D53CD"/>
    <w:rsid w:val="000D646C"/>
    <w:rsid w:val="0011205B"/>
    <w:rsid w:val="0012523D"/>
    <w:rsid w:val="00125BD4"/>
    <w:rsid w:val="00136381"/>
    <w:rsid w:val="00136F2B"/>
    <w:rsid w:val="00143B72"/>
    <w:rsid w:val="00146DCB"/>
    <w:rsid w:val="001477E6"/>
    <w:rsid w:val="00152EAF"/>
    <w:rsid w:val="001664FE"/>
    <w:rsid w:val="00191C10"/>
    <w:rsid w:val="001A7EB5"/>
    <w:rsid w:val="001F655B"/>
    <w:rsid w:val="001F77ED"/>
    <w:rsid w:val="00205417"/>
    <w:rsid w:val="002240BF"/>
    <w:rsid w:val="002612C6"/>
    <w:rsid w:val="00290C52"/>
    <w:rsid w:val="00296702"/>
    <w:rsid w:val="002B1ECF"/>
    <w:rsid w:val="002C3BA9"/>
    <w:rsid w:val="002E1381"/>
    <w:rsid w:val="002F5790"/>
    <w:rsid w:val="00334C7E"/>
    <w:rsid w:val="00370278"/>
    <w:rsid w:val="003A05C3"/>
    <w:rsid w:val="003A1E70"/>
    <w:rsid w:val="003A5034"/>
    <w:rsid w:val="003B2FEC"/>
    <w:rsid w:val="003C6B15"/>
    <w:rsid w:val="003D158F"/>
    <w:rsid w:val="003E68F1"/>
    <w:rsid w:val="004547E4"/>
    <w:rsid w:val="004702E6"/>
    <w:rsid w:val="0047291E"/>
    <w:rsid w:val="00481383"/>
    <w:rsid w:val="00485BFC"/>
    <w:rsid w:val="004A0032"/>
    <w:rsid w:val="004C05EB"/>
    <w:rsid w:val="00525176"/>
    <w:rsid w:val="00531B30"/>
    <w:rsid w:val="00566A26"/>
    <w:rsid w:val="00595415"/>
    <w:rsid w:val="00596333"/>
    <w:rsid w:val="005A167E"/>
    <w:rsid w:val="005A3229"/>
    <w:rsid w:val="005D4F2C"/>
    <w:rsid w:val="005E7F15"/>
    <w:rsid w:val="0060072D"/>
    <w:rsid w:val="00613720"/>
    <w:rsid w:val="0062255B"/>
    <w:rsid w:val="00650A15"/>
    <w:rsid w:val="00654572"/>
    <w:rsid w:val="006608EE"/>
    <w:rsid w:val="00666046"/>
    <w:rsid w:val="00667E70"/>
    <w:rsid w:val="00676F68"/>
    <w:rsid w:val="006E5F81"/>
    <w:rsid w:val="006E7046"/>
    <w:rsid w:val="006F456F"/>
    <w:rsid w:val="00705DC4"/>
    <w:rsid w:val="00714F4F"/>
    <w:rsid w:val="00795E2F"/>
    <w:rsid w:val="007D5284"/>
    <w:rsid w:val="007D561A"/>
    <w:rsid w:val="007E17B8"/>
    <w:rsid w:val="007E64AF"/>
    <w:rsid w:val="007F7E46"/>
    <w:rsid w:val="00840DA6"/>
    <w:rsid w:val="00855517"/>
    <w:rsid w:val="0085653F"/>
    <w:rsid w:val="008716E8"/>
    <w:rsid w:val="0087718B"/>
    <w:rsid w:val="008B3DD5"/>
    <w:rsid w:val="008B54C7"/>
    <w:rsid w:val="008B6143"/>
    <w:rsid w:val="00907F21"/>
    <w:rsid w:val="0092513D"/>
    <w:rsid w:val="009704AA"/>
    <w:rsid w:val="00996860"/>
    <w:rsid w:val="009C7B51"/>
    <w:rsid w:val="009E2646"/>
    <w:rsid w:val="009E5737"/>
    <w:rsid w:val="009F4243"/>
    <w:rsid w:val="00A30D39"/>
    <w:rsid w:val="00AA50E2"/>
    <w:rsid w:val="00AF3A0B"/>
    <w:rsid w:val="00AF4452"/>
    <w:rsid w:val="00AF7E94"/>
    <w:rsid w:val="00B14662"/>
    <w:rsid w:val="00B15435"/>
    <w:rsid w:val="00B17618"/>
    <w:rsid w:val="00B35B14"/>
    <w:rsid w:val="00B41896"/>
    <w:rsid w:val="00B4226E"/>
    <w:rsid w:val="00BA6A6D"/>
    <w:rsid w:val="00BB0FCD"/>
    <w:rsid w:val="00BC3C2B"/>
    <w:rsid w:val="00BE2A74"/>
    <w:rsid w:val="00BF370C"/>
    <w:rsid w:val="00C05F6B"/>
    <w:rsid w:val="00C07426"/>
    <w:rsid w:val="00C101EB"/>
    <w:rsid w:val="00C11288"/>
    <w:rsid w:val="00C22485"/>
    <w:rsid w:val="00C31837"/>
    <w:rsid w:val="00C32B0D"/>
    <w:rsid w:val="00C35ACC"/>
    <w:rsid w:val="00C36BA7"/>
    <w:rsid w:val="00C4243A"/>
    <w:rsid w:val="00C57277"/>
    <w:rsid w:val="00C601B7"/>
    <w:rsid w:val="00C747E0"/>
    <w:rsid w:val="00C767F5"/>
    <w:rsid w:val="00C86DBF"/>
    <w:rsid w:val="00CB1D86"/>
    <w:rsid w:val="00CD2014"/>
    <w:rsid w:val="00CD2C90"/>
    <w:rsid w:val="00CF2FF7"/>
    <w:rsid w:val="00D543CB"/>
    <w:rsid w:val="00D6029A"/>
    <w:rsid w:val="00D61A26"/>
    <w:rsid w:val="00D8476D"/>
    <w:rsid w:val="00D96D2D"/>
    <w:rsid w:val="00DA52BE"/>
    <w:rsid w:val="00DB54D9"/>
    <w:rsid w:val="00DC34AC"/>
    <w:rsid w:val="00DC57AD"/>
    <w:rsid w:val="00DC7B33"/>
    <w:rsid w:val="00DD55A4"/>
    <w:rsid w:val="00DE6FC3"/>
    <w:rsid w:val="00DF70EA"/>
    <w:rsid w:val="00E07E67"/>
    <w:rsid w:val="00E16BB8"/>
    <w:rsid w:val="00E27E82"/>
    <w:rsid w:val="00E52988"/>
    <w:rsid w:val="00E62A66"/>
    <w:rsid w:val="00E831A0"/>
    <w:rsid w:val="00EB1F38"/>
    <w:rsid w:val="00EB3DF2"/>
    <w:rsid w:val="00EB769A"/>
    <w:rsid w:val="00EE38B4"/>
    <w:rsid w:val="00F206A9"/>
    <w:rsid w:val="00F41ED6"/>
    <w:rsid w:val="00F46920"/>
    <w:rsid w:val="00F60226"/>
    <w:rsid w:val="00F963B1"/>
    <w:rsid w:val="00FA2A4F"/>
    <w:rsid w:val="00FE6EA1"/>
    <w:rsid w:val="052060C8"/>
    <w:rsid w:val="05B353F6"/>
    <w:rsid w:val="06AF9B8B"/>
    <w:rsid w:val="08919C5F"/>
    <w:rsid w:val="0EABF2E2"/>
    <w:rsid w:val="16DD9203"/>
    <w:rsid w:val="1E57DDA9"/>
    <w:rsid w:val="21539AF3"/>
    <w:rsid w:val="220BD719"/>
    <w:rsid w:val="2447D0AD"/>
    <w:rsid w:val="24C66EB6"/>
    <w:rsid w:val="2522C9F8"/>
    <w:rsid w:val="257373B5"/>
    <w:rsid w:val="25EB717C"/>
    <w:rsid w:val="26D5C71F"/>
    <w:rsid w:val="26E3499E"/>
    <w:rsid w:val="295091A5"/>
    <w:rsid w:val="2993E37E"/>
    <w:rsid w:val="2BA63690"/>
    <w:rsid w:val="2CE2AF5E"/>
    <w:rsid w:val="2F3059E2"/>
    <w:rsid w:val="327FDC67"/>
    <w:rsid w:val="356B2F05"/>
    <w:rsid w:val="37010E02"/>
    <w:rsid w:val="399986FE"/>
    <w:rsid w:val="3C3B92D3"/>
    <w:rsid w:val="3F2E11C0"/>
    <w:rsid w:val="40484670"/>
    <w:rsid w:val="406CCC4C"/>
    <w:rsid w:val="425312C5"/>
    <w:rsid w:val="43598507"/>
    <w:rsid w:val="4B191499"/>
    <w:rsid w:val="4BAEC399"/>
    <w:rsid w:val="4C303410"/>
    <w:rsid w:val="4DB1EF89"/>
    <w:rsid w:val="4E8C3F7E"/>
    <w:rsid w:val="51143482"/>
    <w:rsid w:val="51FB3BE2"/>
    <w:rsid w:val="58DC562D"/>
    <w:rsid w:val="5A833A62"/>
    <w:rsid w:val="5E7AA21D"/>
    <w:rsid w:val="61C77982"/>
    <w:rsid w:val="6382A0B6"/>
    <w:rsid w:val="649560B0"/>
    <w:rsid w:val="651837AD"/>
    <w:rsid w:val="65F15693"/>
    <w:rsid w:val="67D97BEB"/>
    <w:rsid w:val="68E5E925"/>
    <w:rsid w:val="6DF9176E"/>
    <w:rsid w:val="6EE9FC13"/>
    <w:rsid w:val="6F001FB0"/>
    <w:rsid w:val="6FF94E17"/>
    <w:rsid w:val="709B9E53"/>
    <w:rsid w:val="71682FAB"/>
    <w:rsid w:val="7422908A"/>
    <w:rsid w:val="792F963A"/>
    <w:rsid w:val="7A8E361E"/>
    <w:rsid w:val="7BC2DCF6"/>
    <w:rsid w:val="7D2C9163"/>
    <w:rsid w:val="7E03BF3E"/>
    <w:rsid w:val="7F100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C68E6"/>
  <w15:chartTrackingRefBased/>
  <w15:docId w15:val="{929DE5BB-15A9-472C-AFA9-8AE44ECC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383"/>
    <w:rPr>
      <w:rFonts w:ascii="Calibri" w:hAnsi="Calibri" w:cs="Calibri"/>
      <w:sz w:val="22"/>
      <w:szCs w:val="22"/>
    </w:rPr>
  </w:style>
  <w:style w:type="paragraph" w:styleId="Heading1">
    <w:name w:val="heading 1"/>
    <w:basedOn w:val="Normal"/>
    <w:next w:val="Normal"/>
    <w:link w:val="Heading1Char"/>
    <w:uiPriority w:val="9"/>
    <w:qFormat/>
    <w:rsid w:val="006225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255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3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1383"/>
    <w:rPr>
      <w:rFonts w:ascii="Times New Roman" w:hAnsi="Times New Roman" w:cs="Times New Roman"/>
      <w:sz w:val="18"/>
      <w:szCs w:val="18"/>
    </w:rPr>
  </w:style>
  <w:style w:type="character" w:customStyle="1" w:styleId="apple-converted-space">
    <w:name w:val="apple-converted-space"/>
    <w:basedOn w:val="DefaultParagraphFont"/>
    <w:rsid w:val="00E52988"/>
  </w:style>
  <w:style w:type="character" w:customStyle="1" w:styleId="Heading1Char">
    <w:name w:val="Heading 1 Char"/>
    <w:basedOn w:val="DefaultParagraphFont"/>
    <w:link w:val="Heading1"/>
    <w:uiPriority w:val="9"/>
    <w:rsid w:val="0062255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2255B"/>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C11288"/>
    <w:pPr>
      <w:tabs>
        <w:tab w:val="right" w:leader="dot" w:pos="9350"/>
      </w:tabs>
      <w:spacing w:after="100"/>
    </w:pPr>
  </w:style>
  <w:style w:type="paragraph" w:styleId="TOC2">
    <w:name w:val="toc 2"/>
    <w:basedOn w:val="Normal"/>
    <w:next w:val="Normal"/>
    <w:autoRedefine/>
    <w:uiPriority w:val="39"/>
    <w:unhideWhenUsed/>
    <w:rsid w:val="00AF3A0B"/>
    <w:pPr>
      <w:spacing w:after="100"/>
      <w:ind w:left="220"/>
    </w:pPr>
  </w:style>
  <w:style w:type="character" w:styleId="Hyperlink">
    <w:name w:val="Hyperlink"/>
    <w:basedOn w:val="DefaultParagraphFont"/>
    <w:uiPriority w:val="99"/>
    <w:unhideWhenUsed/>
    <w:rsid w:val="00AF3A0B"/>
    <w:rPr>
      <w:color w:val="0563C1" w:themeColor="hyperlink"/>
      <w:u w:val="single"/>
    </w:rPr>
  </w:style>
  <w:style w:type="paragraph" w:customStyle="1" w:styleId="EndNoteBibliographyTitle">
    <w:name w:val="EndNote Bibliography Title"/>
    <w:basedOn w:val="Normal"/>
    <w:link w:val="EndNoteBibliographyTitleChar"/>
    <w:rsid w:val="00DF70EA"/>
    <w:pPr>
      <w:jc w:val="center"/>
    </w:pPr>
  </w:style>
  <w:style w:type="character" w:customStyle="1" w:styleId="EndNoteBibliographyTitleChar">
    <w:name w:val="EndNote Bibliography Title Char"/>
    <w:basedOn w:val="DefaultParagraphFont"/>
    <w:link w:val="EndNoteBibliographyTitle"/>
    <w:rsid w:val="00DF70EA"/>
    <w:rPr>
      <w:rFonts w:ascii="Calibri" w:hAnsi="Calibri" w:cs="Calibri"/>
      <w:sz w:val="22"/>
      <w:szCs w:val="22"/>
    </w:rPr>
  </w:style>
  <w:style w:type="paragraph" w:customStyle="1" w:styleId="EndNoteBibliography">
    <w:name w:val="EndNote Bibliography"/>
    <w:basedOn w:val="Normal"/>
    <w:link w:val="EndNoteBibliographyChar"/>
    <w:rsid w:val="00DF70EA"/>
  </w:style>
  <w:style w:type="character" w:customStyle="1" w:styleId="EndNoteBibliographyChar">
    <w:name w:val="EndNote Bibliography Char"/>
    <w:basedOn w:val="DefaultParagraphFont"/>
    <w:link w:val="EndNoteBibliography"/>
    <w:rsid w:val="00DF70EA"/>
    <w:rPr>
      <w:rFonts w:ascii="Calibri" w:hAnsi="Calibri" w:cs="Calibri"/>
      <w:sz w:val="22"/>
      <w:szCs w:val="22"/>
    </w:rPr>
  </w:style>
  <w:style w:type="character" w:styleId="CommentReference">
    <w:name w:val="annotation reference"/>
    <w:basedOn w:val="DefaultParagraphFont"/>
    <w:uiPriority w:val="99"/>
    <w:semiHidden/>
    <w:unhideWhenUsed/>
    <w:rsid w:val="00152EAF"/>
    <w:rPr>
      <w:sz w:val="16"/>
      <w:szCs w:val="16"/>
    </w:rPr>
  </w:style>
  <w:style w:type="paragraph" w:styleId="CommentText">
    <w:name w:val="annotation text"/>
    <w:basedOn w:val="Normal"/>
    <w:link w:val="CommentTextChar"/>
    <w:uiPriority w:val="99"/>
    <w:unhideWhenUsed/>
    <w:rsid w:val="00152EAF"/>
    <w:rPr>
      <w:sz w:val="20"/>
      <w:szCs w:val="20"/>
    </w:rPr>
  </w:style>
  <w:style w:type="character" w:customStyle="1" w:styleId="CommentTextChar">
    <w:name w:val="Comment Text Char"/>
    <w:basedOn w:val="DefaultParagraphFont"/>
    <w:link w:val="CommentText"/>
    <w:uiPriority w:val="99"/>
    <w:rsid w:val="00152EA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52EAF"/>
    <w:rPr>
      <w:b/>
      <w:bCs/>
    </w:rPr>
  </w:style>
  <w:style w:type="character" w:customStyle="1" w:styleId="CommentSubjectChar">
    <w:name w:val="Comment Subject Char"/>
    <w:basedOn w:val="CommentTextChar"/>
    <w:link w:val="CommentSubject"/>
    <w:uiPriority w:val="99"/>
    <w:semiHidden/>
    <w:rsid w:val="00152EAF"/>
    <w:rPr>
      <w:rFonts w:ascii="Calibri" w:hAnsi="Calibri" w:cs="Calibri"/>
      <w:b/>
      <w:bCs/>
      <w:sz w:val="20"/>
      <w:szCs w:val="20"/>
    </w:rPr>
  </w:style>
  <w:style w:type="character" w:styleId="UnresolvedMention">
    <w:name w:val="Unresolved Mention"/>
    <w:basedOn w:val="DefaultParagraphFont"/>
    <w:uiPriority w:val="99"/>
    <w:semiHidden/>
    <w:unhideWhenUsed/>
    <w:rsid w:val="00596333"/>
    <w:rPr>
      <w:color w:val="605E5C"/>
      <w:shd w:val="clear" w:color="auto" w:fill="E1DFDD"/>
    </w:rPr>
  </w:style>
  <w:style w:type="character" w:styleId="FollowedHyperlink">
    <w:name w:val="FollowedHyperlink"/>
    <w:basedOn w:val="DefaultParagraphFont"/>
    <w:uiPriority w:val="99"/>
    <w:semiHidden/>
    <w:unhideWhenUsed/>
    <w:rsid w:val="00C112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003338">
      <w:bodyDiv w:val="1"/>
      <w:marLeft w:val="0"/>
      <w:marRight w:val="0"/>
      <w:marTop w:val="0"/>
      <w:marBottom w:val="0"/>
      <w:divBdr>
        <w:top w:val="none" w:sz="0" w:space="0" w:color="auto"/>
        <w:left w:val="none" w:sz="0" w:space="0" w:color="auto"/>
        <w:bottom w:val="none" w:sz="0" w:space="0" w:color="auto"/>
        <w:right w:val="none" w:sz="0" w:space="0" w:color="auto"/>
      </w:divBdr>
    </w:div>
    <w:div w:id="413480650">
      <w:bodyDiv w:val="1"/>
      <w:marLeft w:val="0"/>
      <w:marRight w:val="0"/>
      <w:marTop w:val="0"/>
      <w:marBottom w:val="0"/>
      <w:divBdr>
        <w:top w:val="none" w:sz="0" w:space="0" w:color="auto"/>
        <w:left w:val="none" w:sz="0" w:space="0" w:color="auto"/>
        <w:bottom w:val="none" w:sz="0" w:space="0" w:color="auto"/>
        <w:right w:val="none" w:sz="0" w:space="0" w:color="auto"/>
      </w:divBdr>
    </w:div>
    <w:div w:id="518468654">
      <w:bodyDiv w:val="1"/>
      <w:marLeft w:val="0"/>
      <w:marRight w:val="0"/>
      <w:marTop w:val="0"/>
      <w:marBottom w:val="0"/>
      <w:divBdr>
        <w:top w:val="none" w:sz="0" w:space="0" w:color="auto"/>
        <w:left w:val="none" w:sz="0" w:space="0" w:color="auto"/>
        <w:bottom w:val="none" w:sz="0" w:space="0" w:color="auto"/>
        <w:right w:val="none" w:sz="0" w:space="0" w:color="auto"/>
      </w:divBdr>
    </w:div>
    <w:div w:id="842009611">
      <w:bodyDiv w:val="1"/>
      <w:marLeft w:val="0"/>
      <w:marRight w:val="0"/>
      <w:marTop w:val="0"/>
      <w:marBottom w:val="0"/>
      <w:divBdr>
        <w:top w:val="none" w:sz="0" w:space="0" w:color="auto"/>
        <w:left w:val="none" w:sz="0" w:space="0" w:color="auto"/>
        <w:bottom w:val="none" w:sz="0" w:space="0" w:color="auto"/>
        <w:right w:val="none" w:sz="0" w:space="0" w:color="auto"/>
      </w:divBdr>
    </w:div>
    <w:div w:id="1861581484">
      <w:bodyDiv w:val="1"/>
      <w:marLeft w:val="0"/>
      <w:marRight w:val="0"/>
      <w:marTop w:val="0"/>
      <w:marBottom w:val="0"/>
      <w:divBdr>
        <w:top w:val="none" w:sz="0" w:space="0" w:color="auto"/>
        <w:left w:val="none" w:sz="0" w:space="0" w:color="auto"/>
        <w:bottom w:val="none" w:sz="0" w:space="0" w:color="auto"/>
        <w:right w:val="none" w:sz="0" w:space="0" w:color="auto"/>
      </w:divBdr>
    </w:div>
    <w:div w:id="206713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ith.perry@stjude.or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jinghui.zhang@stjude.org"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mailto:james.downing@stjude.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7B613C4CE9441BA121D7239E4E641" ma:contentTypeVersion="6" ma:contentTypeDescription="Create a new document." ma:contentTypeScope="" ma:versionID="a22a1a4d6cdc46c2128b76b310f7fe25">
  <xsd:schema xmlns:xsd="http://www.w3.org/2001/XMLSchema" xmlns:xs="http://www.w3.org/2001/XMLSchema" xmlns:p="http://schemas.microsoft.com/office/2006/metadata/properties" xmlns:ns2="14a27ba1-e577-4c6e-b457-c5221197c63e" xmlns:ns3="ca50e7ee-fb69-420b-9b0e-d11ffa223b55" targetNamespace="http://schemas.microsoft.com/office/2006/metadata/properties" ma:root="true" ma:fieldsID="c09eb8c3f1187dd111338cb45bb2f887" ns2:_="" ns3:_="">
    <xsd:import namespace="14a27ba1-e577-4c6e-b457-c5221197c63e"/>
    <xsd:import namespace="ca50e7ee-fb69-420b-9b0e-d11ffa223b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27ba1-e577-4c6e-b457-c5221197c6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50e7ee-fb69-420b-9b0e-d11ffa223b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03B5E-249A-4C2D-9762-84AABEB52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27ba1-e577-4c6e-b457-c5221197c63e"/>
    <ds:schemaRef ds:uri="ca50e7ee-fb69-420b-9b0e-d11ffa223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8A229-F625-41D5-A7D5-08550631D411}">
  <ds:schemaRefs>
    <ds:schemaRef ds:uri="http://schemas.microsoft.com/sharepoint/v3/contenttype/forms"/>
  </ds:schemaRefs>
</ds:datastoreItem>
</file>

<file path=customXml/itemProps3.xml><?xml version="1.0" encoding="utf-8"?>
<ds:datastoreItem xmlns:ds="http://schemas.openxmlformats.org/officeDocument/2006/customXml" ds:itemID="{AF33B7F5-7439-4C28-B9D8-50A85FD0F3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3C7AC9-21EB-4FE5-B0F4-68F6C0D0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Gout, Alex</dc:creator>
  <cp:keywords/>
  <dc:description/>
  <cp:lastModifiedBy>Gout, Alex</cp:lastModifiedBy>
  <cp:revision>6</cp:revision>
  <dcterms:created xsi:type="dcterms:W3CDTF">2020-12-03T17:17:00Z</dcterms:created>
  <dcterms:modified xsi:type="dcterms:W3CDTF">2020-12-03T21:30:00Z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0x0101007637B613C4CE9441BA121D7239E4E641</vt:lpwstr>
  </property>
</Properties>
</file>