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1E31E46" w14:textId="0C3D72B5" w:rsidR="00E73B7F" w:rsidRPr="00E73B7F" w:rsidRDefault="00D917A2" w:rsidP="003535EB">
      <w:pPr>
        <w:spacing w:line="360" w:lineRule="auto"/>
        <w:jc w:val="both"/>
        <w:rPr>
          <w:rFonts w:ascii="Arial" w:hAnsi="Arial" w:cs="Arial"/>
          <w:b/>
          <w:bCs/>
          <w:color w:val="000000" w:themeColor="text1"/>
          <w:sz w:val="20"/>
          <w:szCs w:val="20"/>
        </w:rPr>
      </w:pPr>
      <w:r>
        <w:rPr>
          <w:rFonts w:ascii="Arial" w:hAnsi="Arial" w:cs="Arial"/>
          <w:b/>
          <w:bCs/>
          <w:noProof/>
          <w:color w:val="000000" w:themeColor="text1"/>
          <w:sz w:val="20"/>
          <w:szCs w:val="20"/>
        </w:rPr>
        <w:drawing>
          <wp:inline distT="0" distB="0" distL="0" distR="0" wp14:anchorId="2C664ADE" wp14:editId="05AB05E6">
            <wp:extent cx="5789930" cy="8229600"/>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 cstate="print">
                      <a:extLst>
                        <a:ext uri="{28A0092B-C50C-407E-A947-70E740481C1C}">
                          <a14:useLocalDpi xmlns:a14="http://schemas.microsoft.com/office/drawing/2010/main" val="0"/>
                        </a:ext>
                      </a:extLst>
                    </a:blip>
                    <a:stretch>
                      <a:fillRect/>
                    </a:stretch>
                  </pic:blipFill>
                  <pic:spPr>
                    <a:xfrm>
                      <a:off x="0" y="0"/>
                      <a:ext cx="5789930" cy="8229600"/>
                    </a:xfrm>
                    <a:prstGeom prst="rect">
                      <a:avLst/>
                    </a:prstGeom>
                  </pic:spPr>
                </pic:pic>
              </a:graphicData>
            </a:graphic>
          </wp:inline>
        </w:drawing>
      </w:r>
    </w:p>
    <w:p w14:paraId="0A7E1050" w14:textId="77777777" w:rsidR="003535EB" w:rsidRPr="00E73B7F" w:rsidRDefault="003535EB" w:rsidP="003535EB">
      <w:pPr>
        <w:spacing w:line="360" w:lineRule="auto"/>
        <w:jc w:val="both"/>
        <w:rPr>
          <w:rFonts w:ascii="Arial" w:hAnsi="Arial" w:cs="Arial"/>
          <w:color w:val="000000" w:themeColor="text1"/>
          <w:sz w:val="20"/>
          <w:szCs w:val="20"/>
        </w:rPr>
      </w:pPr>
      <w:r w:rsidRPr="00E73B7F">
        <w:rPr>
          <w:rFonts w:ascii="Arial" w:hAnsi="Arial" w:cs="Arial"/>
          <w:b/>
          <w:bCs/>
          <w:color w:val="000000" w:themeColor="text1"/>
          <w:sz w:val="20"/>
          <w:szCs w:val="20"/>
        </w:rPr>
        <w:lastRenderedPageBreak/>
        <w:t>Figure S1</w:t>
      </w:r>
      <w:r w:rsidRPr="00E73B7F">
        <w:rPr>
          <w:rFonts w:ascii="Arial" w:hAnsi="Arial" w:cs="Arial"/>
          <w:color w:val="000000" w:themeColor="text1"/>
          <w:sz w:val="20"/>
          <w:szCs w:val="20"/>
        </w:rPr>
        <w:t xml:space="preserve">.  PSC causes decreased tight junction protein expression and increased inflammation in gut. </w:t>
      </w:r>
    </w:p>
    <w:p w14:paraId="2144748D" w14:textId="77777777" w:rsidR="003535EB" w:rsidRPr="00E73B7F" w:rsidRDefault="003535EB" w:rsidP="003535EB">
      <w:pPr>
        <w:spacing w:line="360" w:lineRule="auto"/>
        <w:jc w:val="both"/>
        <w:rPr>
          <w:rFonts w:ascii="Arial" w:hAnsi="Arial" w:cs="Arial"/>
          <w:color w:val="000000" w:themeColor="text1"/>
          <w:sz w:val="20"/>
          <w:szCs w:val="20"/>
        </w:rPr>
      </w:pPr>
      <w:r w:rsidRPr="00E73B7F">
        <w:rPr>
          <w:rFonts w:ascii="Arial" w:hAnsi="Arial" w:cs="Arial"/>
          <w:color w:val="000000" w:themeColor="text1"/>
          <w:sz w:val="20"/>
          <w:szCs w:val="20"/>
        </w:rPr>
        <w:t>(</w:t>
      </w:r>
      <w:r w:rsidRPr="00E73B7F">
        <w:rPr>
          <w:rFonts w:ascii="Arial" w:hAnsi="Arial" w:cs="Arial"/>
          <w:b/>
          <w:color w:val="000000" w:themeColor="text1"/>
          <w:sz w:val="20"/>
          <w:szCs w:val="20"/>
        </w:rPr>
        <w:t>A</w:t>
      </w:r>
      <w:r w:rsidRPr="00E73B7F">
        <w:rPr>
          <w:rFonts w:ascii="Arial" w:hAnsi="Arial" w:cs="Arial"/>
          <w:color w:val="000000" w:themeColor="text1"/>
          <w:sz w:val="20"/>
          <w:szCs w:val="20"/>
        </w:rPr>
        <w:t xml:space="preserve">) Representative H&amp;E staining of liver sections from mice after BDL and controls. </w:t>
      </w:r>
    </w:p>
    <w:p w14:paraId="5A38147F" w14:textId="5C7127B4" w:rsidR="003535EB" w:rsidRDefault="003535EB" w:rsidP="003535EB">
      <w:pPr>
        <w:spacing w:line="360" w:lineRule="auto"/>
        <w:jc w:val="both"/>
        <w:rPr>
          <w:rFonts w:ascii="Arial" w:hAnsi="Arial" w:cs="Arial"/>
          <w:color w:val="000000" w:themeColor="text1"/>
          <w:sz w:val="20"/>
          <w:szCs w:val="20"/>
        </w:rPr>
      </w:pPr>
      <w:r w:rsidRPr="00E73B7F">
        <w:rPr>
          <w:rFonts w:ascii="Arial" w:hAnsi="Arial" w:cs="Arial"/>
          <w:color w:val="000000" w:themeColor="text1"/>
          <w:sz w:val="20"/>
          <w:szCs w:val="20"/>
        </w:rPr>
        <w:t>(</w:t>
      </w:r>
      <w:r w:rsidRPr="00E73B7F">
        <w:rPr>
          <w:rFonts w:ascii="Arial" w:hAnsi="Arial" w:cs="Arial"/>
          <w:b/>
          <w:color w:val="000000" w:themeColor="text1"/>
          <w:sz w:val="20"/>
          <w:szCs w:val="20"/>
        </w:rPr>
        <w:t>B</w:t>
      </w:r>
      <w:r w:rsidRPr="00E73B7F">
        <w:rPr>
          <w:rFonts w:ascii="Arial" w:hAnsi="Arial" w:cs="Arial"/>
          <w:color w:val="000000" w:themeColor="text1"/>
          <w:sz w:val="20"/>
          <w:szCs w:val="20"/>
        </w:rPr>
        <w:t>) Representative H&amp;E staining of liver sections from Mdr2</w:t>
      </w:r>
      <w:r w:rsidRPr="00E73B7F">
        <w:rPr>
          <w:rFonts w:ascii="Arial" w:hAnsi="Arial" w:cs="Arial"/>
          <w:color w:val="000000" w:themeColor="text1"/>
          <w:sz w:val="20"/>
          <w:szCs w:val="20"/>
          <w:vertAlign w:val="superscript"/>
        </w:rPr>
        <w:t>-/-</w:t>
      </w:r>
      <w:r w:rsidRPr="00E73B7F">
        <w:rPr>
          <w:rFonts w:ascii="Arial" w:hAnsi="Arial" w:cs="Arial"/>
          <w:color w:val="000000" w:themeColor="text1"/>
          <w:sz w:val="20"/>
          <w:szCs w:val="20"/>
        </w:rPr>
        <w:t xml:space="preserve"> or control mice.</w:t>
      </w:r>
    </w:p>
    <w:p w14:paraId="7C0D1DFF" w14:textId="56DF4150" w:rsidR="00C23C66" w:rsidRPr="00E73B7F" w:rsidRDefault="00C23C66" w:rsidP="003535EB">
      <w:pPr>
        <w:spacing w:line="360" w:lineRule="auto"/>
        <w:jc w:val="both"/>
        <w:rPr>
          <w:rFonts w:ascii="Arial" w:hAnsi="Arial" w:cs="Arial"/>
          <w:color w:val="000000" w:themeColor="text1"/>
          <w:sz w:val="20"/>
          <w:szCs w:val="20"/>
        </w:rPr>
      </w:pPr>
      <w:r w:rsidRPr="00E73B7F">
        <w:rPr>
          <w:rFonts w:ascii="Arial" w:hAnsi="Arial" w:cs="Arial"/>
          <w:color w:val="000000" w:themeColor="text1"/>
          <w:sz w:val="20"/>
          <w:szCs w:val="20"/>
        </w:rPr>
        <w:t>(</w:t>
      </w:r>
      <w:r>
        <w:rPr>
          <w:rFonts w:ascii="Arial" w:hAnsi="Arial" w:cs="Arial"/>
          <w:b/>
          <w:color w:val="000000" w:themeColor="text1"/>
          <w:sz w:val="20"/>
          <w:szCs w:val="20"/>
        </w:rPr>
        <w:t>C</w:t>
      </w:r>
      <w:r w:rsidRPr="00E73B7F">
        <w:rPr>
          <w:rFonts w:ascii="Arial" w:hAnsi="Arial" w:cs="Arial"/>
          <w:color w:val="000000" w:themeColor="text1"/>
          <w:sz w:val="20"/>
          <w:szCs w:val="20"/>
        </w:rPr>
        <w:t>)</w:t>
      </w:r>
      <w:r w:rsidR="00FE0A21">
        <w:rPr>
          <w:rFonts w:ascii="Arial" w:hAnsi="Arial" w:cs="Arial"/>
          <w:color w:val="000000" w:themeColor="text1"/>
          <w:sz w:val="20"/>
          <w:szCs w:val="20"/>
        </w:rPr>
        <w:t xml:space="preserve"> </w:t>
      </w:r>
      <w:r w:rsidR="00D917A2" w:rsidRPr="00D917A2">
        <w:rPr>
          <w:rFonts w:ascii="Arial" w:hAnsi="Arial" w:cs="Arial"/>
          <w:color w:val="000000" w:themeColor="text1"/>
          <w:sz w:val="20"/>
          <w:szCs w:val="20"/>
        </w:rPr>
        <w:t xml:space="preserve">OTU </w:t>
      </w:r>
      <w:r w:rsidR="00FE0A21">
        <w:rPr>
          <w:rFonts w:ascii="Arial" w:hAnsi="Arial" w:cs="Arial"/>
          <w:color w:val="000000" w:themeColor="text1"/>
          <w:sz w:val="20"/>
          <w:szCs w:val="20"/>
        </w:rPr>
        <w:t>(</w:t>
      </w:r>
      <w:r w:rsidR="00FE0A21" w:rsidRPr="00FE0A21">
        <w:rPr>
          <w:rFonts w:ascii="Arial" w:hAnsi="Arial" w:cs="Arial"/>
          <w:color w:val="000000" w:themeColor="text1"/>
          <w:sz w:val="20"/>
          <w:szCs w:val="20"/>
        </w:rPr>
        <w:t>Operational taxonomic unit</w:t>
      </w:r>
      <w:r w:rsidR="00FE0A21">
        <w:rPr>
          <w:rFonts w:ascii="Arial" w:hAnsi="Arial" w:cs="Arial"/>
          <w:color w:val="000000" w:themeColor="text1"/>
          <w:sz w:val="20"/>
          <w:szCs w:val="20"/>
        </w:rPr>
        <w:t xml:space="preserve">) </w:t>
      </w:r>
      <w:r w:rsidR="00D917A2" w:rsidRPr="00D917A2">
        <w:rPr>
          <w:rFonts w:ascii="Arial" w:hAnsi="Arial" w:cs="Arial"/>
          <w:color w:val="000000" w:themeColor="text1"/>
          <w:sz w:val="20"/>
          <w:szCs w:val="20"/>
        </w:rPr>
        <w:t xml:space="preserve">counts were normalized to relative abundance and compared between groups using the Mann-Whitney-Wilcoxon test. Shown are only features whose p-values for difference between the </w:t>
      </w:r>
      <w:r w:rsidR="00D917A2">
        <w:rPr>
          <w:rFonts w:ascii="Arial" w:hAnsi="Arial" w:cs="Arial"/>
          <w:color w:val="000000" w:themeColor="text1"/>
          <w:sz w:val="20"/>
          <w:szCs w:val="20"/>
        </w:rPr>
        <w:t>Control</w:t>
      </w:r>
      <w:r w:rsidR="00D917A2" w:rsidRPr="00D917A2">
        <w:rPr>
          <w:rFonts w:ascii="Arial" w:hAnsi="Arial" w:cs="Arial"/>
          <w:color w:val="000000" w:themeColor="text1"/>
          <w:sz w:val="20"/>
          <w:szCs w:val="20"/>
        </w:rPr>
        <w:t xml:space="preserve"> and BDL groups were smaller than 0.05. Heatmap rows are scaled.</w:t>
      </w:r>
    </w:p>
    <w:p w14:paraId="34772CB8" w14:textId="404469FD" w:rsidR="003535EB" w:rsidRPr="00E73B7F" w:rsidRDefault="003535EB" w:rsidP="003535EB">
      <w:pPr>
        <w:spacing w:line="360" w:lineRule="auto"/>
        <w:jc w:val="both"/>
        <w:rPr>
          <w:rFonts w:ascii="Arial" w:hAnsi="Arial" w:cs="Arial"/>
          <w:color w:val="000000" w:themeColor="text1"/>
          <w:sz w:val="20"/>
          <w:szCs w:val="20"/>
        </w:rPr>
      </w:pPr>
      <w:r w:rsidRPr="00E73B7F">
        <w:rPr>
          <w:rFonts w:ascii="Arial" w:hAnsi="Arial" w:cs="Arial"/>
          <w:bCs/>
          <w:color w:val="000000" w:themeColor="text1"/>
          <w:sz w:val="20"/>
          <w:szCs w:val="20"/>
        </w:rPr>
        <w:t>(</w:t>
      </w:r>
      <w:r w:rsidR="00C23C66">
        <w:rPr>
          <w:rFonts w:ascii="Arial" w:hAnsi="Arial" w:cs="Arial"/>
          <w:b/>
          <w:bCs/>
          <w:color w:val="000000" w:themeColor="text1"/>
          <w:sz w:val="20"/>
          <w:szCs w:val="20"/>
        </w:rPr>
        <w:t>D</w:t>
      </w:r>
      <w:r w:rsidRPr="00E73B7F">
        <w:rPr>
          <w:rFonts w:ascii="Arial" w:hAnsi="Arial" w:cs="Arial"/>
          <w:color w:val="000000" w:themeColor="text1"/>
          <w:sz w:val="20"/>
          <w:szCs w:val="20"/>
        </w:rPr>
        <w:t xml:space="preserve">) BDL was performed in C57BL/6 mice. Two weeks later duodenum, jejunum, ileum, cecum and colon samples were collected for H&amp;E staining. </w:t>
      </w:r>
    </w:p>
    <w:p w14:paraId="5AFB6DDA" w14:textId="553A3580" w:rsidR="003535EB" w:rsidRDefault="003535EB" w:rsidP="003535EB">
      <w:pPr>
        <w:spacing w:line="360" w:lineRule="auto"/>
        <w:jc w:val="both"/>
        <w:rPr>
          <w:rFonts w:ascii="Arial" w:hAnsi="Arial" w:cs="Arial"/>
          <w:color w:val="000000" w:themeColor="text1"/>
          <w:sz w:val="20"/>
          <w:szCs w:val="20"/>
        </w:rPr>
      </w:pPr>
      <w:r w:rsidRPr="00E73B7F">
        <w:rPr>
          <w:rFonts w:ascii="Arial" w:hAnsi="Arial" w:cs="Arial"/>
          <w:color w:val="000000" w:themeColor="text1"/>
          <w:sz w:val="20"/>
          <w:szCs w:val="20"/>
        </w:rPr>
        <w:t>(</w:t>
      </w:r>
      <w:r w:rsidR="00C23C66">
        <w:rPr>
          <w:rFonts w:ascii="Arial" w:hAnsi="Arial" w:cs="Arial"/>
          <w:b/>
          <w:color w:val="000000" w:themeColor="text1"/>
          <w:sz w:val="20"/>
          <w:szCs w:val="20"/>
        </w:rPr>
        <w:t>E</w:t>
      </w:r>
      <w:r w:rsidRPr="00E73B7F">
        <w:rPr>
          <w:rFonts w:ascii="Arial" w:hAnsi="Arial" w:cs="Arial"/>
          <w:color w:val="000000" w:themeColor="text1"/>
          <w:sz w:val="20"/>
          <w:szCs w:val="20"/>
        </w:rPr>
        <w:t xml:space="preserve">) Bile duct ligation (BDL) was performed in C57BL/6 mice. Two weeks later, different parts of gastrointestinal tract (Duodenum, Jejunum, Ileum, Cecum and Colon) were collected for Immunochemistry (IHC). The IHC of ZO-1 was presented. </w:t>
      </w:r>
    </w:p>
    <w:p w14:paraId="200E7BBC" w14:textId="77777777" w:rsidR="003535EB" w:rsidRPr="00E73B7F" w:rsidRDefault="003535EB" w:rsidP="003535EB">
      <w:pPr>
        <w:spacing w:line="360" w:lineRule="auto"/>
        <w:jc w:val="both"/>
        <w:rPr>
          <w:rFonts w:ascii="Arial" w:hAnsi="Arial" w:cs="Arial"/>
          <w:color w:val="000000" w:themeColor="text1"/>
          <w:sz w:val="20"/>
          <w:szCs w:val="20"/>
        </w:rPr>
      </w:pPr>
    </w:p>
    <w:p w14:paraId="66AD9D28" w14:textId="5F61ED58" w:rsidR="003535EB" w:rsidRPr="00E73B7F" w:rsidRDefault="003535EB" w:rsidP="003535EB">
      <w:pPr>
        <w:spacing w:line="360" w:lineRule="auto"/>
        <w:jc w:val="both"/>
        <w:rPr>
          <w:rFonts w:ascii="Arial" w:hAnsi="Arial" w:cs="Arial"/>
          <w:b/>
          <w:bCs/>
          <w:color w:val="000000" w:themeColor="text1"/>
          <w:sz w:val="20"/>
          <w:szCs w:val="20"/>
        </w:rPr>
      </w:pPr>
    </w:p>
    <w:p w14:paraId="4ADB279A" w14:textId="3757AE9F" w:rsidR="00E73B7F" w:rsidRPr="00E73B7F" w:rsidRDefault="00E73B7F" w:rsidP="003535EB">
      <w:pPr>
        <w:spacing w:line="360" w:lineRule="auto"/>
        <w:jc w:val="both"/>
        <w:rPr>
          <w:rFonts w:ascii="Arial" w:hAnsi="Arial" w:cs="Arial"/>
          <w:b/>
          <w:bCs/>
          <w:color w:val="000000" w:themeColor="text1"/>
          <w:sz w:val="20"/>
          <w:szCs w:val="20"/>
        </w:rPr>
      </w:pPr>
    </w:p>
    <w:p w14:paraId="39D2DA4F" w14:textId="7EB410D4" w:rsidR="00E73B7F" w:rsidRPr="00E73B7F" w:rsidRDefault="00E73B7F" w:rsidP="003535EB">
      <w:pPr>
        <w:spacing w:line="360" w:lineRule="auto"/>
        <w:jc w:val="both"/>
        <w:rPr>
          <w:rFonts w:ascii="Arial" w:hAnsi="Arial" w:cs="Arial"/>
          <w:b/>
          <w:bCs/>
          <w:color w:val="000000" w:themeColor="text1"/>
          <w:sz w:val="20"/>
          <w:szCs w:val="20"/>
        </w:rPr>
      </w:pPr>
    </w:p>
    <w:p w14:paraId="5CF69345" w14:textId="4AB5D4C2" w:rsidR="00E73B7F" w:rsidRDefault="00E73B7F" w:rsidP="003535EB">
      <w:pPr>
        <w:spacing w:line="360" w:lineRule="auto"/>
        <w:jc w:val="both"/>
        <w:rPr>
          <w:rFonts w:ascii="Arial" w:hAnsi="Arial" w:cs="Arial"/>
          <w:b/>
          <w:bCs/>
          <w:color w:val="000000" w:themeColor="text1"/>
          <w:sz w:val="20"/>
          <w:szCs w:val="20"/>
        </w:rPr>
      </w:pPr>
    </w:p>
    <w:p w14:paraId="3CAFFDA7" w14:textId="46A2CE14" w:rsidR="00E73B7F" w:rsidRDefault="00E73B7F" w:rsidP="003535EB">
      <w:pPr>
        <w:spacing w:line="360" w:lineRule="auto"/>
        <w:jc w:val="both"/>
        <w:rPr>
          <w:rFonts w:ascii="Arial" w:hAnsi="Arial" w:cs="Arial"/>
          <w:b/>
          <w:bCs/>
          <w:color w:val="000000" w:themeColor="text1"/>
          <w:sz w:val="20"/>
          <w:szCs w:val="20"/>
        </w:rPr>
      </w:pPr>
    </w:p>
    <w:p w14:paraId="6EC8AA02" w14:textId="232EF947" w:rsidR="00E73B7F" w:rsidRDefault="00E73B7F" w:rsidP="003535EB">
      <w:pPr>
        <w:spacing w:line="360" w:lineRule="auto"/>
        <w:jc w:val="both"/>
        <w:rPr>
          <w:rFonts w:ascii="Arial" w:hAnsi="Arial" w:cs="Arial"/>
          <w:b/>
          <w:bCs/>
          <w:color w:val="000000" w:themeColor="text1"/>
          <w:sz w:val="20"/>
          <w:szCs w:val="20"/>
        </w:rPr>
      </w:pPr>
    </w:p>
    <w:p w14:paraId="5C1DD7A8" w14:textId="7FE73114" w:rsidR="00E73B7F" w:rsidRDefault="00E73B7F" w:rsidP="003535EB">
      <w:pPr>
        <w:spacing w:line="360" w:lineRule="auto"/>
        <w:jc w:val="both"/>
        <w:rPr>
          <w:rFonts w:ascii="Arial" w:hAnsi="Arial" w:cs="Arial"/>
          <w:b/>
          <w:bCs/>
          <w:color w:val="000000" w:themeColor="text1"/>
          <w:sz w:val="20"/>
          <w:szCs w:val="20"/>
        </w:rPr>
      </w:pPr>
    </w:p>
    <w:p w14:paraId="6352BF6E" w14:textId="77777777" w:rsidR="00E73B7F" w:rsidRPr="00E73B7F" w:rsidRDefault="00E73B7F" w:rsidP="003535EB">
      <w:pPr>
        <w:spacing w:line="360" w:lineRule="auto"/>
        <w:jc w:val="both"/>
        <w:rPr>
          <w:rFonts w:ascii="Arial" w:hAnsi="Arial" w:cs="Arial"/>
          <w:b/>
          <w:bCs/>
          <w:color w:val="000000" w:themeColor="text1"/>
          <w:sz w:val="20"/>
          <w:szCs w:val="20"/>
        </w:rPr>
      </w:pPr>
    </w:p>
    <w:p w14:paraId="563CA858" w14:textId="77777777" w:rsidR="00E73B7F" w:rsidRPr="00E73B7F" w:rsidRDefault="00E73B7F" w:rsidP="003535EB">
      <w:pPr>
        <w:spacing w:line="360" w:lineRule="auto"/>
        <w:jc w:val="both"/>
        <w:rPr>
          <w:rFonts w:ascii="Arial" w:hAnsi="Arial" w:cs="Arial"/>
          <w:b/>
          <w:bCs/>
          <w:color w:val="000000" w:themeColor="text1"/>
          <w:sz w:val="20"/>
          <w:szCs w:val="20"/>
        </w:rPr>
      </w:pPr>
    </w:p>
    <w:p w14:paraId="4F580491" w14:textId="0F30B521" w:rsidR="00E73B7F" w:rsidRPr="00E73B7F" w:rsidRDefault="00C23C66" w:rsidP="003535EB">
      <w:pPr>
        <w:spacing w:line="360" w:lineRule="auto"/>
        <w:jc w:val="both"/>
        <w:rPr>
          <w:rFonts w:ascii="Arial" w:hAnsi="Arial" w:cs="Arial"/>
          <w:b/>
          <w:bCs/>
          <w:color w:val="000000" w:themeColor="text1"/>
          <w:sz w:val="20"/>
          <w:szCs w:val="20"/>
        </w:rPr>
      </w:pPr>
      <w:r>
        <w:rPr>
          <w:rFonts w:ascii="Arial" w:hAnsi="Arial" w:cs="Arial"/>
          <w:b/>
          <w:bCs/>
          <w:noProof/>
          <w:color w:val="000000" w:themeColor="text1"/>
          <w:sz w:val="20"/>
          <w:szCs w:val="20"/>
        </w:rPr>
        <w:lastRenderedPageBreak/>
        <w:drawing>
          <wp:inline distT="0" distB="0" distL="0" distR="0" wp14:anchorId="5AA159CD" wp14:editId="6084A97D">
            <wp:extent cx="5943600" cy="5991860"/>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5991860"/>
                    </a:xfrm>
                    <a:prstGeom prst="rect">
                      <a:avLst/>
                    </a:prstGeom>
                  </pic:spPr>
                </pic:pic>
              </a:graphicData>
            </a:graphic>
          </wp:inline>
        </w:drawing>
      </w:r>
    </w:p>
    <w:p w14:paraId="5AC76922" w14:textId="72CEEB1F" w:rsidR="00C23C66" w:rsidRPr="00E73B7F" w:rsidRDefault="003535EB" w:rsidP="00C23C66">
      <w:pPr>
        <w:spacing w:line="360" w:lineRule="auto"/>
        <w:jc w:val="both"/>
        <w:rPr>
          <w:rFonts w:ascii="Arial" w:hAnsi="Arial" w:cs="Arial"/>
          <w:color w:val="000000" w:themeColor="text1"/>
          <w:sz w:val="20"/>
          <w:szCs w:val="20"/>
        </w:rPr>
      </w:pPr>
      <w:r w:rsidRPr="00E73B7F">
        <w:rPr>
          <w:rFonts w:ascii="Arial" w:hAnsi="Arial" w:cs="Arial"/>
          <w:b/>
          <w:bCs/>
          <w:color w:val="000000" w:themeColor="text1"/>
          <w:sz w:val="20"/>
          <w:szCs w:val="20"/>
        </w:rPr>
        <w:t>Figure S2</w:t>
      </w:r>
      <w:r w:rsidRPr="00E73B7F">
        <w:rPr>
          <w:rFonts w:ascii="Arial" w:hAnsi="Arial" w:cs="Arial"/>
          <w:color w:val="000000" w:themeColor="text1"/>
          <w:sz w:val="20"/>
          <w:szCs w:val="20"/>
        </w:rPr>
        <w:t>.  PSC and colitis cause leaky gut and bacterial translocation.</w:t>
      </w:r>
    </w:p>
    <w:p w14:paraId="0F0BE982" w14:textId="55ECB8E5" w:rsidR="00C23C66" w:rsidRPr="00E73B7F" w:rsidRDefault="00C23C66" w:rsidP="003535EB">
      <w:pPr>
        <w:spacing w:line="360" w:lineRule="auto"/>
        <w:jc w:val="both"/>
        <w:rPr>
          <w:rFonts w:ascii="Arial" w:hAnsi="Arial" w:cs="Arial"/>
          <w:color w:val="000000" w:themeColor="text1"/>
          <w:sz w:val="20"/>
          <w:szCs w:val="20"/>
        </w:rPr>
      </w:pPr>
      <w:r w:rsidRPr="00E73B7F">
        <w:rPr>
          <w:rFonts w:ascii="Arial" w:hAnsi="Arial" w:cs="Arial"/>
          <w:color w:val="000000" w:themeColor="text1"/>
          <w:sz w:val="20"/>
          <w:szCs w:val="20"/>
        </w:rPr>
        <w:t>(</w:t>
      </w:r>
      <w:r>
        <w:rPr>
          <w:rFonts w:ascii="Arial" w:hAnsi="Arial" w:cs="Arial"/>
          <w:b/>
          <w:color w:val="000000" w:themeColor="text1"/>
          <w:sz w:val="20"/>
          <w:szCs w:val="20"/>
        </w:rPr>
        <w:t>A</w:t>
      </w:r>
      <w:r w:rsidRPr="00E73B7F">
        <w:rPr>
          <w:rFonts w:ascii="Arial" w:hAnsi="Arial" w:cs="Arial"/>
          <w:color w:val="000000" w:themeColor="text1"/>
          <w:sz w:val="20"/>
          <w:szCs w:val="20"/>
        </w:rPr>
        <w:t>) Bile duct ligation (BDL) was performed in C57BL/6 mice. Two weeks later, different parts of gastrointestinal tract (Duodenum, Jejunum, Ileum, Cecum and Colon) were collected for RT-PCR. The relative mRNA expression levels of TGFβ, TNF-α and IL-10 in Duodenum, Jejunum, Ileum, Cecum and Colon of BDL and control mice were detected. n=5 for Ctr and BDL. Data represent mean ± SEM. *p&lt;0.05, **p&lt;0.01, two-way ANOVA.</w:t>
      </w:r>
    </w:p>
    <w:p w14:paraId="2F0B3F58" w14:textId="7FC28A81" w:rsidR="003535EB" w:rsidRPr="00E73B7F" w:rsidRDefault="003535EB" w:rsidP="003535EB">
      <w:pPr>
        <w:spacing w:line="360" w:lineRule="auto"/>
        <w:jc w:val="both"/>
        <w:rPr>
          <w:rFonts w:ascii="Arial" w:hAnsi="Arial" w:cs="Arial"/>
          <w:color w:val="000000" w:themeColor="text1"/>
          <w:sz w:val="20"/>
          <w:szCs w:val="20"/>
        </w:rPr>
      </w:pPr>
      <w:r w:rsidRPr="00E73B7F">
        <w:rPr>
          <w:rFonts w:ascii="Arial" w:hAnsi="Arial" w:cs="Arial"/>
          <w:color w:val="000000" w:themeColor="text1"/>
          <w:sz w:val="20"/>
          <w:szCs w:val="20"/>
        </w:rPr>
        <w:t>(</w:t>
      </w:r>
      <w:r w:rsidR="00C23C66">
        <w:rPr>
          <w:rFonts w:ascii="Arial" w:hAnsi="Arial" w:cs="Arial"/>
          <w:b/>
          <w:color w:val="000000" w:themeColor="text1"/>
          <w:sz w:val="20"/>
          <w:szCs w:val="20"/>
        </w:rPr>
        <w:t>B</w:t>
      </w:r>
      <w:r w:rsidRPr="00E73B7F">
        <w:rPr>
          <w:rFonts w:ascii="Arial" w:hAnsi="Arial" w:cs="Arial"/>
          <w:color w:val="000000" w:themeColor="text1"/>
          <w:sz w:val="20"/>
          <w:szCs w:val="20"/>
        </w:rPr>
        <w:t xml:space="preserve">) Liver tissues from Ctr and BDL mice were homogenized and cultured on LB medium without antibiotics. The clone formation units (CFU) were calculated. Data represent mean ± SEM. n=5 for Ctr and BDL, **p&lt;0.01, Student’s </w:t>
      </w:r>
      <w:r w:rsidRPr="00E73B7F">
        <w:rPr>
          <w:rFonts w:ascii="Arial" w:hAnsi="Arial" w:cs="Arial"/>
          <w:i/>
          <w:color w:val="000000" w:themeColor="text1"/>
          <w:sz w:val="20"/>
          <w:szCs w:val="20"/>
        </w:rPr>
        <w:t>t</w:t>
      </w:r>
      <w:r w:rsidRPr="00E73B7F">
        <w:rPr>
          <w:rFonts w:ascii="Arial" w:hAnsi="Arial" w:cs="Arial"/>
          <w:color w:val="000000" w:themeColor="text1"/>
          <w:sz w:val="20"/>
          <w:szCs w:val="20"/>
        </w:rPr>
        <w:t xml:space="preserve"> test.</w:t>
      </w:r>
    </w:p>
    <w:p w14:paraId="5D89DC66" w14:textId="26F8A557" w:rsidR="003535EB" w:rsidRPr="00E73B7F" w:rsidRDefault="003535EB" w:rsidP="003535EB">
      <w:pPr>
        <w:spacing w:line="360" w:lineRule="auto"/>
        <w:jc w:val="both"/>
        <w:rPr>
          <w:rFonts w:ascii="Arial" w:hAnsi="Arial" w:cs="Arial"/>
          <w:color w:val="000000" w:themeColor="text1"/>
          <w:sz w:val="20"/>
          <w:szCs w:val="20"/>
        </w:rPr>
      </w:pPr>
      <w:r w:rsidRPr="00E73B7F">
        <w:rPr>
          <w:rFonts w:ascii="Arial" w:hAnsi="Arial" w:cs="Arial"/>
          <w:color w:val="000000" w:themeColor="text1"/>
          <w:sz w:val="20"/>
          <w:szCs w:val="20"/>
        </w:rPr>
        <w:lastRenderedPageBreak/>
        <w:t>(</w:t>
      </w:r>
      <w:r w:rsidR="00C23C66">
        <w:rPr>
          <w:rFonts w:ascii="Arial" w:hAnsi="Arial" w:cs="Arial"/>
          <w:b/>
          <w:bCs/>
          <w:color w:val="000000" w:themeColor="text1"/>
          <w:sz w:val="20"/>
          <w:szCs w:val="20"/>
        </w:rPr>
        <w:t>C</w:t>
      </w:r>
      <w:r w:rsidRPr="00E73B7F">
        <w:rPr>
          <w:rFonts w:ascii="Arial" w:hAnsi="Arial" w:cs="Arial"/>
          <w:color w:val="000000" w:themeColor="text1"/>
          <w:sz w:val="20"/>
          <w:szCs w:val="20"/>
        </w:rPr>
        <w:t>) Liver tissues from Ctr and Mdr2</w:t>
      </w:r>
      <w:r w:rsidRPr="00E73B7F">
        <w:rPr>
          <w:rFonts w:ascii="Arial" w:hAnsi="Arial" w:cs="Arial"/>
          <w:color w:val="000000" w:themeColor="text1"/>
          <w:sz w:val="20"/>
          <w:szCs w:val="20"/>
          <w:vertAlign w:val="superscript"/>
        </w:rPr>
        <w:t>-/-</w:t>
      </w:r>
      <w:r w:rsidRPr="00E73B7F">
        <w:rPr>
          <w:rFonts w:ascii="Arial" w:hAnsi="Arial" w:cs="Arial"/>
          <w:color w:val="000000" w:themeColor="text1"/>
          <w:sz w:val="20"/>
          <w:szCs w:val="20"/>
        </w:rPr>
        <w:t xml:space="preserve"> mice were homogenized and cultured on LB medium without antibiotics. The clone formation units (CFU) were calculated. Data represent mean ± SEM. n=5 for Ctr and Mdr2</w:t>
      </w:r>
      <w:r w:rsidRPr="00E73B7F">
        <w:rPr>
          <w:rFonts w:ascii="Arial" w:hAnsi="Arial" w:cs="Arial"/>
          <w:color w:val="000000" w:themeColor="text1"/>
          <w:sz w:val="20"/>
          <w:szCs w:val="20"/>
          <w:vertAlign w:val="superscript"/>
        </w:rPr>
        <w:t>-/-</w:t>
      </w:r>
      <w:r w:rsidRPr="00E73B7F">
        <w:rPr>
          <w:rFonts w:ascii="Arial" w:hAnsi="Arial" w:cs="Arial"/>
          <w:color w:val="000000" w:themeColor="text1"/>
          <w:sz w:val="20"/>
          <w:szCs w:val="20"/>
        </w:rPr>
        <w:t xml:space="preserve">, ***p&lt;0.001, Student’s </w:t>
      </w:r>
      <w:r w:rsidRPr="00E73B7F">
        <w:rPr>
          <w:rFonts w:ascii="Arial" w:hAnsi="Arial" w:cs="Arial"/>
          <w:i/>
          <w:color w:val="000000" w:themeColor="text1"/>
          <w:sz w:val="20"/>
          <w:szCs w:val="20"/>
        </w:rPr>
        <w:t>t</w:t>
      </w:r>
      <w:r w:rsidRPr="00E73B7F">
        <w:rPr>
          <w:rFonts w:ascii="Arial" w:hAnsi="Arial" w:cs="Arial"/>
          <w:color w:val="000000" w:themeColor="text1"/>
          <w:sz w:val="20"/>
          <w:szCs w:val="20"/>
        </w:rPr>
        <w:t xml:space="preserve"> test.</w:t>
      </w:r>
    </w:p>
    <w:p w14:paraId="0CD90F32" w14:textId="0E482D5C" w:rsidR="003535EB" w:rsidRPr="00E73B7F" w:rsidRDefault="003535EB" w:rsidP="003535EB">
      <w:pPr>
        <w:spacing w:line="360" w:lineRule="auto"/>
        <w:jc w:val="both"/>
        <w:rPr>
          <w:rFonts w:ascii="Arial" w:hAnsi="Arial" w:cs="Arial"/>
          <w:color w:val="000000" w:themeColor="text1"/>
          <w:sz w:val="20"/>
          <w:szCs w:val="20"/>
        </w:rPr>
      </w:pPr>
      <w:r w:rsidRPr="00E73B7F">
        <w:rPr>
          <w:rFonts w:ascii="Arial" w:hAnsi="Arial" w:cs="Arial"/>
          <w:color w:val="000000" w:themeColor="text1"/>
          <w:sz w:val="20"/>
          <w:szCs w:val="20"/>
        </w:rPr>
        <w:t>(</w:t>
      </w:r>
      <w:r w:rsidR="00C23C66">
        <w:rPr>
          <w:rFonts w:ascii="Arial" w:hAnsi="Arial" w:cs="Arial"/>
          <w:b/>
          <w:bCs/>
          <w:color w:val="000000" w:themeColor="text1"/>
          <w:sz w:val="20"/>
          <w:szCs w:val="20"/>
        </w:rPr>
        <w:t>D</w:t>
      </w:r>
      <w:r w:rsidRPr="00E73B7F">
        <w:rPr>
          <w:rFonts w:ascii="Arial" w:hAnsi="Arial" w:cs="Arial"/>
          <w:color w:val="000000" w:themeColor="text1"/>
          <w:sz w:val="20"/>
          <w:szCs w:val="20"/>
        </w:rPr>
        <w:t>) C57BL/6 mice were treated with H</w:t>
      </w:r>
      <w:r w:rsidRPr="00E73B7F">
        <w:rPr>
          <w:rFonts w:ascii="Arial" w:hAnsi="Arial" w:cs="Arial"/>
          <w:color w:val="000000" w:themeColor="text1"/>
          <w:sz w:val="20"/>
          <w:szCs w:val="20"/>
          <w:vertAlign w:val="subscript"/>
        </w:rPr>
        <w:t>2</w:t>
      </w:r>
      <w:r w:rsidRPr="00E73B7F">
        <w:rPr>
          <w:rFonts w:ascii="Arial" w:hAnsi="Arial" w:cs="Arial"/>
          <w:color w:val="000000" w:themeColor="text1"/>
          <w:sz w:val="20"/>
          <w:szCs w:val="20"/>
        </w:rPr>
        <w:t>O or 2.5% DSS for 7days. Then, mice received 440mg/kg body weight FITC-Dextran by oral gavage. 4 hours later blood was collected, and the concentration of FITC-Dextran was measured. n=5 for H</w:t>
      </w:r>
      <w:r w:rsidRPr="00E73B7F">
        <w:rPr>
          <w:rFonts w:ascii="Arial" w:hAnsi="Arial" w:cs="Arial"/>
          <w:color w:val="000000" w:themeColor="text1"/>
          <w:sz w:val="20"/>
          <w:szCs w:val="20"/>
          <w:vertAlign w:val="subscript"/>
        </w:rPr>
        <w:t>2</w:t>
      </w:r>
      <w:r w:rsidRPr="00E73B7F">
        <w:rPr>
          <w:rFonts w:ascii="Arial" w:hAnsi="Arial" w:cs="Arial"/>
          <w:color w:val="000000" w:themeColor="text1"/>
          <w:sz w:val="20"/>
          <w:szCs w:val="20"/>
        </w:rPr>
        <w:t xml:space="preserve">O and DSS. Data represent mean ± SEM. ***p&lt;0.001, Student’s </w:t>
      </w:r>
      <w:r w:rsidRPr="00E73B7F">
        <w:rPr>
          <w:rFonts w:ascii="Arial" w:hAnsi="Arial" w:cs="Arial"/>
          <w:i/>
          <w:color w:val="000000" w:themeColor="text1"/>
          <w:sz w:val="20"/>
          <w:szCs w:val="20"/>
        </w:rPr>
        <w:t>t</w:t>
      </w:r>
      <w:r w:rsidRPr="00E73B7F">
        <w:rPr>
          <w:rFonts w:ascii="Arial" w:hAnsi="Arial" w:cs="Arial"/>
          <w:color w:val="000000" w:themeColor="text1"/>
          <w:sz w:val="20"/>
          <w:szCs w:val="20"/>
        </w:rPr>
        <w:t xml:space="preserve"> test.</w:t>
      </w:r>
    </w:p>
    <w:p w14:paraId="7E28B858" w14:textId="77B86C17" w:rsidR="003535EB" w:rsidRPr="00E73B7F" w:rsidRDefault="003535EB" w:rsidP="003535EB">
      <w:pPr>
        <w:spacing w:line="360" w:lineRule="auto"/>
        <w:jc w:val="both"/>
        <w:rPr>
          <w:rFonts w:ascii="Arial" w:hAnsi="Arial" w:cs="Arial"/>
          <w:color w:val="000000" w:themeColor="text1"/>
          <w:sz w:val="20"/>
          <w:szCs w:val="20"/>
        </w:rPr>
      </w:pPr>
      <w:r w:rsidRPr="00E73B7F">
        <w:rPr>
          <w:rFonts w:ascii="Arial" w:hAnsi="Arial" w:cs="Arial"/>
          <w:color w:val="000000" w:themeColor="text1"/>
          <w:sz w:val="20"/>
          <w:szCs w:val="20"/>
        </w:rPr>
        <w:t>(</w:t>
      </w:r>
      <w:r w:rsidR="00C23C66">
        <w:rPr>
          <w:rFonts w:ascii="Arial" w:hAnsi="Arial" w:cs="Arial"/>
          <w:b/>
          <w:color w:val="000000" w:themeColor="text1"/>
          <w:sz w:val="20"/>
          <w:szCs w:val="20"/>
        </w:rPr>
        <w:t>E</w:t>
      </w:r>
      <w:r w:rsidRPr="00E73B7F">
        <w:rPr>
          <w:rFonts w:ascii="Arial" w:hAnsi="Arial" w:cs="Arial"/>
          <w:color w:val="000000" w:themeColor="text1"/>
          <w:sz w:val="20"/>
          <w:szCs w:val="20"/>
        </w:rPr>
        <w:t>) C57BL/6 mice were treated with H</w:t>
      </w:r>
      <w:r w:rsidRPr="00E73B7F">
        <w:rPr>
          <w:rFonts w:ascii="Arial" w:hAnsi="Arial" w:cs="Arial"/>
          <w:color w:val="000000" w:themeColor="text1"/>
          <w:sz w:val="20"/>
          <w:szCs w:val="20"/>
          <w:vertAlign w:val="subscript"/>
        </w:rPr>
        <w:t>2</w:t>
      </w:r>
      <w:r w:rsidRPr="00E73B7F">
        <w:rPr>
          <w:rFonts w:ascii="Arial" w:hAnsi="Arial" w:cs="Arial"/>
          <w:color w:val="000000" w:themeColor="text1"/>
          <w:sz w:val="20"/>
          <w:szCs w:val="20"/>
        </w:rPr>
        <w:t>O or 2.5% DSS for 7days. Quantitative real time PCR for relative 16s rRNA levels in portal vein blood.  n=5 for H</w:t>
      </w:r>
      <w:r w:rsidRPr="00E73B7F">
        <w:rPr>
          <w:rFonts w:ascii="Arial" w:hAnsi="Arial" w:cs="Arial"/>
          <w:color w:val="000000" w:themeColor="text1"/>
          <w:sz w:val="20"/>
          <w:szCs w:val="20"/>
          <w:vertAlign w:val="subscript"/>
        </w:rPr>
        <w:t>2</w:t>
      </w:r>
      <w:r w:rsidRPr="00E73B7F">
        <w:rPr>
          <w:rFonts w:ascii="Arial" w:hAnsi="Arial" w:cs="Arial"/>
          <w:color w:val="000000" w:themeColor="text1"/>
          <w:sz w:val="20"/>
          <w:szCs w:val="20"/>
        </w:rPr>
        <w:t xml:space="preserve">O, 7 for DSS. Data represent mean ± SEM. **p&lt;0.01, Student’s </w:t>
      </w:r>
      <w:r w:rsidRPr="00E73B7F">
        <w:rPr>
          <w:rFonts w:ascii="Arial" w:hAnsi="Arial" w:cs="Arial"/>
          <w:i/>
          <w:color w:val="000000" w:themeColor="text1"/>
          <w:sz w:val="20"/>
          <w:szCs w:val="20"/>
        </w:rPr>
        <w:t>t</w:t>
      </w:r>
      <w:r w:rsidRPr="00E73B7F">
        <w:rPr>
          <w:rFonts w:ascii="Arial" w:hAnsi="Arial" w:cs="Arial"/>
          <w:color w:val="000000" w:themeColor="text1"/>
          <w:sz w:val="20"/>
          <w:szCs w:val="20"/>
        </w:rPr>
        <w:t xml:space="preserve"> test.</w:t>
      </w:r>
    </w:p>
    <w:p w14:paraId="7B34F73C" w14:textId="1C542F6B" w:rsidR="003535EB" w:rsidRPr="00E73B7F" w:rsidRDefault="003535EB" w:rsidP="003535EB">
      <w:pPr>
        <w:spacing w:line="360" w:lineRule="auto"/>
        <w:jc w:val="both"/>
        <w:rPr>
          <w:rFonts w:ascii="Arial" w:hAnsi="Arial" w:cs="Arial"/>
          <w:color w:val="000000" w:themeColor="text1"/>
          <w:sz w:val="20"/>
          <w:szCs w:val="20"/>
        </w:rPr>
      </w:pPr>
      <w:r w:rsidRPr="00E73B7F">
        <w:rPr>
          <w:rFonts w:ascii="Arial" w:hAnsi="Arial" w:cs="Arial"/>
          <w:color w:val="000000" w:themeColor="text1"/>
          <w:sz w:val="20"/>
          <w:szCs w:val="20"/>
        </w:rPr>
        <w:t>(</w:t>
      </w:r>
      <w:r w:rsidR="00C23C66">
        <w:rPr>
          <w:rFonts w:ascii="Arial" w:hAnsi="Arial" w:cs="Arial"/>
          <w:b/>
          <w:color w:val="000000" w:themeColor="text1"/>
          <w:sz w:val="20"/>
          <w:szCs w:val="20"/>
        </w:rPr>
        <w:t>F</w:t>
      </w:r>
      <w:r w:rsidRPr="00E73B7F">
        <w:rPr>
          <w:rFonts w:ascii="Arial" w:hAnsi="Arial" w:cs="Arial"/>
          <w:b/>
          <w:color w:val="000000" w:themeColor="text1"/>
          <w:sz w:val="20"/>
          <w:szCs w:val="20"/>
        </w:rPr>
        <w:t>)</w:t>
      </w:r>
      <w:r w:rsidRPr="00E73B7F">
        <w:rPr>
          <w:rFonts w:ascii="Arial" w:hAnsi="Arial" w:cs="Arial"/>
          <w:color w:val="000000" w:themeColor="text1"/>
          <w:sz w:val="20"/>
          <w:szCs w:val="20"/>
        </w:rPr>
        <w:t xml:space="preserve"> C57BL/6 mice were treated with H</w:t>
      </w:r>
      <w:r w:rsidRPr="00E73B7F">
        <w:rPr>
          <w:rFonts w:ascii="Arial" w:hAnsi="Arial" w:cs="Arial"/>
          <w:color w:val="000000" w:themeColor="text1"/>
          <w:sz w:val="20"/>
          <w:szCs w:val="20"/>
          <w:vertAlign w:val="subscript"/>
        </w:rPr>
        <w:t>2</w:t>
      </w:r>
      <w:r w:rsidRPr="00E73B7F">
        <w:rPr>
          <w:rFonts w:ascii="Arial" w:hAnsi="Arial" w:cs="Arial"/>
          <w:color w:val="000000" w:themeColor="text1"/>
          <w:sz w:val="20"/>
          <w:szCs w:val="20"/>
        </w:rPr>
        <w:t>O or 2.5% DSS for 7days. Liver tissues were homogenized and cultured on LB medium without antibiotics. The colon formation units (CFU) were calculated. Data represent mean ± SEM. n=5 for H</w:t>
      </w:r>
      <w:r w:rsidRPr="00E73B7F">
        <w:rPr>
          <w:rFonts w:ascii="Arial" w:hAnsi="Arial" w:cs="Arial"/>
          <w:color w:val="000000" w:themeColor="text1"/>
          <w:sz w:val="20"/>
          <w:szCs w:val="20"/>
          <w:vertAlign w:val="subscript"/>
        </w:rPr>
        <w:t>2</w:t>
      </w:r>
      <w:r w:rsidRPr="00E73B7F">
        <w:rPr>
          <w:rFonts w:ascii="Arial" w:hAnsi="Arial" w:cs="Arial"/>
          <w:color w:val="000000" w:themeColor="text1"/>
          <w:sz w:val="20"/>
          <w:szCs w:val="20"/>
        </w:rPr>
        <w:t xml:space="preserve">O, 7 for DSS, **p&lt;0.01, Student’s </w:t>
      </w:r>
      <w:r w:rsidRPr="00E73B7F">
        <w:rPr>
          <w:rFonts w:ascii="Arial" w:hAnsi="Arial" w:cs="Arial"/>
          <w:i/>
          <w:color w:val="000000" w:themeColor="text1"/>
          <w:sz w:val="20"/>
          <w:szCs w:val="20"/>
        </w:rPr>
        <w:t>t</w:t>
      </w:r>
      <w:r w:rsidRPr="00E73B7F">
        <w:rPr>
          <w:rFonts w:ascii="Arial" w:hAnsi="Arial" w:cs="Arial"/>
          <w:color w:val="000000" w:themeColor="text1"/>
          <w:sz w:val="20"/>
          <w:szCs w:val="20"/>
        </w:rPr>
        <w:t xml:space="preserve"> test.</w:t>
      </w:r>
    </w:p>
    <w:p w14:paraId="39FDAEF6" w14:textId="2F580E55" w:rsidR="003535EB" w:rsidRPr="00E73B7F" w:rsidRDefault="003535EB" w:rsidP="003535EB">
      <w:pPr>
        <w:spacing w:line="360" w:lineRule="auto"/>
        <w:jc w:val="both"/>
        <w:rPr>
          <w:rFonts w:ascii="Arial" w:hAnsi="Arial" w:cs="Arial"/>
          <w:color w:val="000000" w:themeColor="text1"/>
          <w:sz w:val="20"/>
          <w:szCs w:val="20"/>
        </w:rPr>
      </w:pPr>
      <w:r w:rsidRPr="00E73B7F">
        <w:rPr>
          <w:rFonts w:ascii="Arial" w:hAnsi="Arial" w:cs="Arial"/>
          <w:color w:val="000000" w:themeColor="text1"/>
          <w:sz w:val="20"/>
          <w:szCs w:val="20"/>
        </w:rPr>
        <w:t>(</w:t>
      </w:r>
      <w:r w:rsidR="00C23C66">
        <w:rPr>
          <w:rFonts w:ascii="Arial" w:hAnsi="Arial" w:cs="Arial"/>
          <w:b/>
          <w:bCs/>
          <w:color w:val="000000" w:themeColor="text1"/>
          <w:sz w:val="20"/>
          <w:szCs w:val="20"/>
        </w:rPr>
        <w:t>G</w:t>
      </w:r>
      <w:r w:rsidRPr="00E73B7F">
        <w:rPr>
          <w:rFonts w:ascii="Arial" w:hAnsi="Arial" w:cs="Arial"/>
          <w:color w:val="000000" w:themeColor="text1"/>
          <w:sz w:val="20"/>
          <w:szCs w:val="20"/>
        </w:rPr>
        <w:t>) C57BL/6 mice were treated with H</w:t>
      </w:r>
      <w:r w:rsidRPr="00E73B7F">
        <w:rPr>
          <w:rFonts w:ascii="Arial" w:hAnsi="Arial" w:cs="Arial"/>
          <w:color w:val="000000" w:themeColor="text1"/>
          <w:sz w:val="20"/>
          <w:szCs w:val="20"/>
          <w:vertAlign w:val="subscript"/>
        </w:rPr>
        <w:t>2</w:t>
      </w:r>
      <w:r w:rsidRPr="00E73B7F">
        <w:rPr>
          <w:rFonts w:ascii="Arial" w:hAnsi="Arial" w:cs="Arial"/>
          <w:color w:val="000000" w:themeColor="text1"/>
          <w:sz w:val="20"/>
          <w:szCs w:val="20"/>
        </w:rPr>
        <w:t>O or 2.5% DSS for 7days. Mesenteric lymph nodes MLN were homogenized and cultured on LB medium without antibiotics. The colon formation units (CFU) were calculated. Data represent mean ± SEM. n=4 for H</w:t>
      </w:r>
      <w:r w:rsidRPr="00E73B7F">
        <w:rPr>
          <w:rFonts w:ascii="Arial" w:hAnsi="Arial" w:cs="Arial"/>
          <w:color w:val="000000" w:themeColor="text1"/>
          <w:sz w:val="20"/>
          <w:szCs w:val="20"/>
          <w:vertAlign w:val="subscript"/>
        </w:rPr>
        <w:t>2</w:t>
      </w:r>
      <w:r w:rsidRPr="00E73B7F">
        <w:rPr>
          <w:rFonts w:ascii="Arial" w:hAnsi="Arial" w:cs="Arial"/>
          <w:color w:val="000000" w:themeColor="text1"/>
          <w:sz w:val="20"/>
          <w:szCs w:val="20"/>
        </w:rPr>
        <w:t xml:space="preserve">O and DSS, **p&lt;0.01, Student’s </w:t>
      </w:r>
      <w:r w:rsidRPr="00E73B7F">
        <w:rPr>
          <w:rFonts w:ascii="Arial" w:hAnsi="Arial" w:cs="Arial"/>
          <w:i/>
          <w:color w:val="000000" w:themeColor="text1"/>
          <w:sz w:val="20"/>
          <w:szCs w:val="20"/>
        </w:rPr>
        <w:t>t</w:t>
      </w:r>
      <w:r w:rsidRPr="00E73B7F">
        <w:rPr>
          <w:rFonts w:ascii="Arial" w:hAnsi="Arial" w:cs="Arial"/>
          <w:color w:val="000000" w:themeColor="text1"/>
          <w:sz w:val="20"/>
          <w:szCs w:val="20"/>
        </w:rPr>
        <w:t xml:space="preserve"> test.</w:t>
      </w:r>
    </w:p>
    <w:p w14:paraId="542DD813" w14:textId="5D178435" w:rsidR="003535EB" w:rsidRPr="00E73B7F" w:rsidRDefault="003535EB" w:rsidP="003535EB">
      <w:pPr>
        <w:spacing w:line="360" w:lineRule="auto"/>
        <w:jc w:val="both"/>
        <w:rPr>
          <w:rFonts w:ascii="Arial" w:hAnsi="Arial" w:cs="Arial"/>
          <w:color w:val="000000" w:themeColor="text1"/>
          <w:sz w:val="20"/>
          <w:szCs w:val="20"/>
        </w:rPr>
      </w:pPr>
      <w:r w:rsidRPr="00E73B7F">
        <w:rPr>
          <w:rFonts w:ascii="Arial" w:hAnsi="Arial" w:cs="Arial"/>
          <w:color w:val="000000" w:themeColor="text1"/>
          <w:sz w:val="20"/>
          <w:szCs w:val="20"/>
        </w:rPr>
        <w:t>(</w:t>
      </w:r>
      <w:r w:rsidR="00C23C66">
        <w:rPr>
          <w:rFonts w:ascii="Arial" w:hAnsi="Arial" w:cs="Arial"/>
          <w:b/>
          <w:bCs/>
          <w:color w:val="000000" w:themeColor="text1"/>
          <w:sz w:val="20"/>
          <w:szCs w:val="20"/>
        </w:rPr>
        <w:t>H</w:t>
      </w:r>
      <w:r w:rsidRPr="00E73B7F">
        <w:rPr>
          <w:rFonts w:ascii="Arial" w:hAnsi="Arial" w:cs="Arial"/>
          <w:color w:val="000000" w:themeColor="text1"/>
          <w:sz w:val="20"/>
          <w:szCs w:val="20"/>
        </w:rPr>
        <w:t>) C57BL/6 mice were treated with H</w:t>
      </w:r>
      <w:r w:rsidRPr="00E73B7F">
        <w:rPr>
          <w:rFonts w:ascii="Arial" w:hAnsi="Arial" w:cs="Arial"/>
          <w:color w:val="000000" w:themeColor="text1"/>
          <w:sz w:val="20"/>
          <w:szCs w:val="20"/>
          <w:vertAlign w:val="subscript"/>
        </w:rPr>
        <w:t>2</w:t>
      </w:r>
      <w:r w:rsidRPr="00E73B7F">
        <w:rPr>
          <w:rFonts w:ascii="Arial" w:hAnsi="Arial" w:cs="Arial"/>
          <w:color w:val="000000" w:themeColor="text1"/>
          <w:sz w:val="20"/>
          <w:szCs w:val="20"/>
        </w:rPr>
        <w:t>O or 2.5% DSS for 7days. Bacterial strain in liver tissues were detected using selective culture plates. n=3 for H</w:t>
      </w:r>
      <w:r w:rsidRPr="00E73B7F">
        <w:rPr>
          <w:rFonts w:ascii="Arial" w:hAnsi="Arial" w:cs="Arial"/>
          <w:color w:val="000000" w:themeColor="text1"/>
          <w:sz w:val="20"/>
          <w:szCs w:val="20"/>
          <w:vertAlign w:val="subscript"/>
        </w:rPr>
        <w:t>2</w:t>
      </w:r>
      <w:r w:rsidRPr="00E73B7F">
        <w:rPr>
          <w:rFonts w:ascii="Arial" w:hAnsi="Arial" w:cs="Arial"/>
          <w:color w:val="000000" w:themeColor="text1"/>
          <w:sz w:val="20"/>
          <w:szCs w:val="20"/>
        </w:rPr>
        <w:t>O and DSS.</w:t>
      </w:r>
    </w:p>
    <w:p w14:paraId="7DC74064" w14:textId="7B53E33A" w:rsidR="003535EB" w:rsidRPr="00E73B7F" w:rsidRDefault="003535EB" w:rsidP="003535EB">
      <w:pPr>
        <w:spacing w:line="360" w:lineRule="auto"/>
        <w:jc w:val="both"/>
        <w:rPr>
          <w:rFonts w:ascii="Arial" w:hAnsi="Arial" w:cs="Arial"/>
          <w:color w:val="000000" w:themeColor="text1"/>
          <w:sz w:val="20"/>
          <w:szCs w:val="20"/>
        </w:rPr>
      </w:pPr>
      <w:r w:rsidRPr="00E73B7F">
        <w:rPr>
          <w:rFonts w:ascii="Arial" w:hAnsi="Arial" w:cs="Arial"/>
          <w:color w:val="000000" w:themeColor="text1"/>
          <w:sz w:val="20"/>
          <w:szCs w:val="20"/>
        </w:rPr>
        <w:t>(</w:t>
      </w:r>
      <w:r w:rsidR="00C23C66">
        <w:rPr>
          <w:rFonts w:ascii="Arial" w:hAnsi="Arial" w:cs="Arial"/>
          <w:b/>
          <w:color w:val="000000" w:themeColor="text1"/>
          <w:sz w:val="20"/>
          <w:szCs w:val="20"/>
        </w:rPr>
        <w:t>I</w:t>
      </w:r>
      <w:r w:rsidRPr="00E73B7F">
        <w:rPr>
          <w:rFonts w:ascii="Arial" w:hAnsi="Arial" w:cs="Arial"/>
          <w:b/>
          <w:color w:val="000000" w:themeColor="text1"/>
          <w:sz w:val="20"/>
          <w:szCs w:val="20"/>
        </w:rPr>
        <w:t>)</w:t>
      </w:r>
      <w:r w:rsidRPr="00E73B7F">
        <w:rPr>
          <w:rFonts w:ascii="Arial" w:hAnsi="Arial" w:cs="Arial"/>
          <w:color w:val="000000" w:themeColor="text1"/>
          <w:sz w:val="20"/>
          <w:szCs w:val="20"/>
        </w:rPr>
        <w:t xml:space="preserve"> C57BL/6 mice were treated with H</w:t>
      </w:r>
      <w:r w:rsidRPr="00E73B7F">
        <w:rPr>
          <w:rFonts w:ascii="Arial" w:hAnsi="Arial" w:cs="Arial"/>
          <w:color w:val="000000" w:themeColor="text1"/>
          <w:sz w:val="20"/>
          <w:szCs w:val="20"/>
          <w:vertAlign w:val="subscript"/>
        </w:rPr>
        <w:t>2</w:t>
      </w:r>
      <w:r w:rsidRPr="00E73B7F">
        <w:rPr>
          <w:rFonts w:ascii="Arial" w:hAnsi="Arial" w:cs="Arial"/>
          <w:color w:val="000000" w:themeColor="text1"/>
          <w:sz w:val="20"/>
          <w:szCs w:val="20"/>
        </w:rPr>
        <w:t xml:space="preserve">O or 2.5% DSS for 7days. Liver tissues were fixed for FISH. Representative FISH sections are shown, **p&lt;0.01, Student’s </w:t>
      </w:r>
      <w:r w:rsidRPr="00E73B7F">
        <w:rPr>
          <w:rFonts w:ascii="Arial" w:hAnsi="Arial" w:cs="Arial"/>
          <w:i/>
          <w:color w:val="000000" w:themeColor="text1"/>
          <w:sz w:val="20"/>
          <w:szCs w:val="20"/>
        </w:rPr>
        <w:t>t</w:t>
      </w:r>
      <w:r w:rsidRPr="00E73B7F">
        <w:rPr>
          <w:rFonts w:ascii="Arial" w:hAnsi="Arial" w:cs="Arial"/>
          <w:color w:val="000000" w:themeColor="text1"/>
          <w:sz w:val="20"/>
          <w:szCs w:val="20"/>
        </w:rPr>
        <w:t xml:space="preserve"> test.</w:t>
      </w:r>
    </w:p>
    <w:p w14:paraId="5FFE4752" w14:textId="77777777" w:rsidR="003535EB" w:rsidRPr="00E73B7F" w:rsidRDefault="003535EB" w:rsidP="003535EB">
      <w:pPr>
        <w:spacing w:line="360" w:lineRule="auto"/>
        <w:jc w:val="both"/>
        <w:rPr>
          <w:rFonts w:ascii="Arial" w:hAnsi="Arial" w:cs="Arial"/>
          <w:color w:val="000000" w:themeColor="text1"/>
          <w:sz w:val="20"/>
          <w:szCs w:val="20"/>
        </w:rPr>
      </w:pPr>
    </w:p>
    <w:p w14:paraId="3902EC88" w14:textId="6A1330E1" w:rsidR="003535EB" w:rsidRPr="00E73B7F" w:rsidRDefault="00E73B7F" w:rsidP="003535EB">
      <w:pPr>
        <w:spacing w:line="360" w:lineRule="auto"/>
        <w:jc w:val="both"/>
        <w:rPr>
          <w:rFonts w:ascii="Arial" w:hAnsi="Arial" w:cs="Arial"/>
          <w:color w:val="000000" w:themeColor="text1"/>
          <w:sz w:val="20"/>
          <w:szCs w:val="20"/>
        </w:rPr>
      </w:pPr>
      <w:r w:rsidRPr="00E73B7F">
        <w:rPr>
          <w:rFonts w:ascii="Arial" w:hAnsi="Arial" w:cs="Arial"/>
          <w:noProof/>
          <w:color w:val="000000" w:themeColor="text1"/>
          <w:sz w:val="20"/>
          <w:szCs w:val="20"/>
        </w:rPr>
        <w:lastRenderedPageBreak/>
        <w:drawing>
          <wp:inline distT="0" distB="0" distL="0" distR="0" wp14:anchorId="513011D9" wp14:editId="2ACBDE12">
            <wp:extent cx="5943600" cy="6800850"/>
            <wp:effectExtent l="0" t="0" r="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6800850"/>
                    </a:xfrm>
                    <a:prstGeom prst="rect">
                      <a:avLst/>
                    </a:prstGeom>
                  </pic:spPr>
                </pic:pic>
              </a:graphicData>
            </a:graphic>
          </wp:inline>
        </w:drawing>
      </w:r>
    </w:p>
    <w:p w14:paraId="7D47077E" w14:textId="77777777" w:rsidR="00E73B7F" w:rsidRPr="00E73B7F" w:rsidRDefault="00E73B7F" w:rsidP="003535EB">
      <w:pPr>
        <w:spacing w:line="360" w:lineRule="auto"/>
        <w:jc w:val="both"/>
        <w:rPr>
          <w:rFonts w:ascii="Arial" w:hAnsi="Arial" w:cs="Arial"/>
          <w:color w:val="000000" w:themeColor="text1"/>
          <w:sz w:val="20"/>
          <w:szCs w:val="20"/>
        </w:rPr>
      </w:pPr>
    </w:p>
    <w:p w14:paraId="4038EBC8" w14:textId="77777777" w:rsidR="003535EB" w:rsidRPr="00E73B7F" w:rsidRDefault="003535EB" w:rsidP="003535EB">
      <w:pPr>
        <w:spacing w:line="360" w:lineRule="auto"/>
        <w:jc w:val="both"/>
        <w:rPr>
          <w:rFonts w:ascii="Arial" w:hAnsi="Arial" w:cs="Arial"/>
          <w:color w:val="000000" w:themeColor="text1"/>
          <w:sz w:val="20"/>
          <w:szCs w:val="20"/>
        </w:rPr>
      </w:pPr>
      <w:r w:rsidRPr="00E73B7F">
        <w:rPr>
          <w:rFonts w:ascii="Arial" w:hAnsi="Arial" w:cs="Arial"/>
          <w:b/>
          <w:bCs/>
          <w:color w:val="000000" w:themeColor="text1"/>
          <w:sz w:val="20"/>
          <w:szCs w:val="20"/>
        </w:rPr>
        <w:t>Figure S3</w:t>
      </w:r>
      <w:r w:rsidRPr="00E73B7F">
        <w:rPr>
          <w:rFonts w:ascii="Arial" w:hAnsi="Arial" w:cs="Arial"/>
          <w:color w:val="000000" w:themeColor="text1"/>
          <w:sz w:val="20"/>
          <w:szCs w:val="20"/>
        </w:rPr>
        <w:t xml:space="preserve">.  LPS/TLR4 induces MDSC accumulation in liver. </w:t>
      </w:r>
    </w:p>
    <w:p w14:paraId="62BA3158" w14:textId="77777777" w:rsidR="003535EB" w:rsidRPr="00E73B7F" w:rsidRDefault="003535EB" w:rsidP="003535EB">
      <w:pPr>
        <w:spacing w:line="360" w:lineRule="auto"/>
        <w:jc w:val="both"/>
        <w:rPr>
          <w:rFonts w:ascii="Arial" w:hAnsi="Arial" w:cs="Arial"/>
          <w:color w:val="000000" w:themeColor="text1"/>
          <w:sz w:val="20"/>
          <w:szCs w:val="20"/>
        </w:rPr>
      </w:pPr>
      <w:r w:rsidRPr="00E73B7F">
        <w:rPr>
          <w:rFonts w:ascii="Arial" w:hAnsi="Arial" w:cs="Arial"/>
          <w:color w:val="000000" w:themeColor="text1"/>
          <w:sz w:val="20"/>
          <w:szCs w:val="20"/>
        </w:rPr>
        <w:t>(</w:t>
      </w:r>
      <w:r w:rsidRPr="00E73B7F">
        <w:rPr>
          <w:rFonts w:ascii="Arial" w:hAnsi="Arial" w:cs="Arial"/>
          <w:b/>
          <w:bCs/>
          <w:color w:val="000000" w:themeColor="text1"/>
          <w:sz w:val="20"/>
          <w:szCs w:val="20"/>
        </w:rPr>
        <w:t>A</w:t>
      </w:r>
      <w:r w:rsidRPr="00E73B7F">
        <w:rPr>
          <w:rFonts w:ascii="Arial" w:hAnsi="Arial" w:cs="Arial"/>
          <w:color w:val="000000" w:themeColor="text1"/>
          <w:sz w:val="20"/>
          <w:szCs w:val="20"/>
        </w:rPr>
        <w:t>) Two weeks after BDL in C57BL/6 mice, the absolute number of hepatic CD4</w:t>
      </w:r>
      <w:r w:rsidRPr="00E73B7F">
        <w:rPr>
          <w:rFonts w:ascii="Arial" w:hAnsi="Arial" w:cs="Arial"/>
          <w:color w:val="000000" w:themeColor="text1"/>
          <w:sz w:val="20"/>
          <w:szCs w:val="20"/>
          <w:vertAlign w:val="superscript"/>
        </w:rPr>
        <w:t>+</w:t>
      </w:r>
      <w:r w:rsidRPr="00E73B7F">
        <w:rPr>
          <w:rFonts w:ascii="Arial" w:hAnsi="Arial" w:cs="Arial"/>
          <w:color w:val="000000" w:themeColor="text1"/>
          <w:sz w:val="20"/>
          <w:szCs w:val="20"/>
        </w:rPr>
        <w:t xml:space="preserve"> T, CD8</w:t>
      </w:r>
      <w:r w:rsidRPr="00E73B7F">
        <w:rPr>
          <w:rFonts w:ascii="Arial" w:hAnsi="Arial" w:cs="Arial"/>
          <w:color w:val="000000" w:themeColor="text1"/>
          <w:sz w:val="20"/>
          <w:szCs w:val="20"/>
          <w:vertAlign w:val="superscript"/>
        </w:rPr>
        <w:t>+</w:t>
      </w:r>
      <w:r w:rsidRPr="00E73B7F">
        <w:rPr>
          <w:rFonts w:ascii="Arial" w:hAnsi="Arial" w:cs="Arial"/>
          <w:color w:val="000000" w:themeColor="text1"/>
          <w:sz w:val="20"/>
          <w:szCs w:val="20"/>
        </w:rPr>
        <w:t xml:space="preserve"> T, B cell, NKT cell and macrophage were determined. n=4 for each group. Data represent mean ± SEM. ** p&lt;0.01, two-way ANOVA.</w:t>
      </w:r>
    </w:p>
    <w:p w14:paraId="1C03E712" w14:textId="77777777" w:rsidR="003535EB" w:rsidRPr="00E73B7F" w:rsidRDefault="003535EB" w:rsidP="003535EB">
      <w:pPr>
        <w:spacing w:line="360" w:lineRule="auto"/>
        <w:jc w:val="both"/>
        <w:rPr>
          <w:rFonts w:ascii="Arial" w:hAnsi="Arial" w:cs="Arial"/>
          <w:color w:val="000000" w:themeColor="text1"/>
          <w:sz w:val="20"/>
          <w:szCs w:val="20"/>
        </w:rPr>
      </w:pPr>
      <w:r w:rsidRPr="00E73B7F">
        <w:rPr>
          <w:rFonts w:ascii="Arial" w:hAnsi="Arial" w:cs="Arial"/>
          <w:color w:val="000000" w:themeColor="text1"/>
          <w:sz w:val="20"/>
          <w:szCs w:val="20"/>
        </w:rPr>
        <w:lastRenderedPageBreak/>
        <w:t>(</w:t>
      </w:r>
      <w:r w:rsidRPr="00E73B7F">
        <w:rPr>
          <w:rFonts w:ascii="Arial" w:hAnsi="Arial" w:cs="Arial"/>
          <w:b/>
          <w:bCs/>
          <w:color w:val="000000" w:themeColor="text1"/>
          <w:sz w:val="20"/>
          <w:szCs w:val="20"/>
        </w:rPr>
        <w:t>B</w:t>
      </w:r>
      <w:r w:rsidRPr="00E73B7F">
        <w:rPr>
          <w:rFonts w:ascii="Arial" w:hAnsi="Arial" w:cs="Arial"/>
          <w:color w:val="000000" w:themeColor="text1"/>
          <w:sz w:val="20"/>
          <w:szCs w:val="20"/>
        </w:rPr>
        <w:t xml:space="preserve">) Two weeks after BDL in C57BL/6 mice, the percentage of hepatic M-myeloid, PMN-myeloid and total myeloid in leukocytes were determined. n=4 for each group. Data represent mean ± SEM. **** p&lt;0.0001, two-way ANOVA. </w:t>
      </w:r>
    </w:p>
    <w:p w14:paraId="5CC458CE" w14:textId="77777777" w:rsidR="003535EB" w:rsidRPr="00E73B7F" w:rsidRDefault="003535EB" w:rsidP="003535EB">
      <w:pPr>
        <w:spacing w:line="360" w:lineRule="auto"/>
        <w:jc w:val="both"/>
        <w:rPr>
          <w:rFonts w:ascii="Arial" w:hAnsi="Arial" w:cs="Arial"/>
          <w:color w:val="000000" w:themeColor="text1"/>
          <w:sz w:val="20"/>
          <w:szCs w:val="20"/>
        </w:rPr>
      </w:pPr>
      <w:r w:rsidRPr="00E73B7F">
        <w:rPr>
          <w:rFonts w:ascii="Arial" w:hAnsi="Arial" w:cs="Arial"/>
          <w:color w:val="000000" w:themeColor="text1"/>
          <w:sz w:val="20"/>
          <w:szCs w:val="20"/>
        </w:rPr>
        <w:t>(</w:t>
      </w:r>
      <w:r w:rsidRPr="00E73B7F">
        <w:rPr>
          <w:rFonts w:ascii="Arial" w:hAnsi="Arial" w:cs="Arial"/>
          <w:b/>
          <w:bCs/>
          <w:color w:val="000000" w:themeColor="text1"/>
          <w:sz w:val="20"/>
          <w:szCs w:val="20"/>
        </w:rPr>
        <w:t>C</w:t>
      </w:r>
      <w:r w:rsidRPr="00E73B7F">
        <w:rPr>
          <w:rFonts w:ascii="Arial" w:hAnsi="Arial" w:cs="Arial"/>
          <w:color w:val="000000" w:themeColor="text1"/>
          <w:sz w:val="20"/>
          <w:szCs w:val="20"/>
        </w:rPr>
        <w:t>) The percentage of hepatic M-myeloid, PMN-myeloid and total myeloid cells in leukocytes were determined in FVBN/J control (Ctr) and Mdr2</w:t>
      </w:r>
      <w:r w:rsidRPr="00E73B7F">
        <w:rPr>
          <w:rFonts w:ascii="Arial" w:hAnsi="Arial" w:cs="Arial"/>
          <w:color w:val="000000" w:themeColor="text1"/>
          <w:sz w:val="20"/>
          <w:szCs w:val="20"/>
          <w:vertAlign w:val="superscript"/>
        </w:rPr>
        <w:t>-/-</w:t>
      </w:r>
      <w:r w:rsidRPr="00E73B7F">
        <w:rPr>
          <w:rFonts w:ascii="Arial" w:hAnsi="Arial" w:cs="Arial"/>
          <w:color w:val="000000" w:themeColor="text1"/>
          <w:sz w:val="20"/>
          <w:szCs w:val="20"/>
        </w:rPr>
        <w:t xml:space="preserve"> mice at the age of 10 week. n=4 for Ctr, 5 for Mdr2</w:t>
      </w:r>
      <w:r w:rsidRPr="00E73B7F">
        <w:rPr>
          <w:rFonts w:ascii="Arial" w:hAnsi="Arial" w:cs="Arial"/>
          <w:color w:val="000000" w:themeColor="text1"/>
          <w:sz w:val="20"/>
          <w:szCs w:val="20"/>
          <w:vertAlign w:val="superscript"/>
        </w:rPr>
        <w:t>-/-</w:t>
      </w:r>
      <w:r w:rsidRPr="00E73B7F">
        <w:rPr>
          <w:rFonts w:ascii="Arial" w:hAnsi="Arial" w:cs="Arial"/>
          <w:color w:val="000000" w:themeColor="text1"/>
          <w:sz w:val="20"/>
          <w:szCs w:val="20"/>
        </w:rPr>
        <w:t xml:space="preserve">. Data represent mean ± SEM. ** p&lt;0.01, two-way ANOVA. </w:t>
      </w:r>
    </w:p>
    <w:p w14:paraId="738FCAAC" w14:textId="77777777" w:rsidR="003535EB" w:rsidRPr="00E73B7F" w:rsidRDefault="003535EB" w:rsidP="003535EB">
      <w:pPr>
        <w:spacing w:line="360" w:lineRule="auto"/>
        <w:jc w:val="both"/>
        <w:rPr>
          <w:rFonts w:ascii="Arial" w:hAnsi="Arial" w:cs="Arial"/>
          <w:color w:val="000000" w:themeColor="text1"/>
          <w:sz w:val="20"/>
          <w:szCs w:val="20"/>
        </w:rPr>
      </w:pPr>
      <w:r w:rsidRPr="00E73B7F">
        <w:rPr>
          <w:rFonts w:ascii="Arial" w:hAnsi="Arial" w:cs="Arial"/>
          <w:color w:val="000000" w:themeColor="text1"/>
          <w:sz w:val="20"/>
          <w:szCs w:val="20"/>
        </w:rPr>
        <w:t>(</w:t>
      </w:r>
      <w:r w:rsidRPr="00E73B7F">
        <w:rPr>
          <w:rFonts w:ascii="Arial" w:hAnsi="Arial" w:cs="Arial"/>
          <w:b/>
          <w:bCs/>
          <w:color w:val="000000" w:themeColor="text1"/>
          <w:sz w:val="20"/>
          <w:szCs w:val="20"/>
        </w:rPr>
        <w:t>D</w:t>
      </w:r>
      <w:r w:rsidRPr="00E73B7F">
        <w:rPr>
          <w:rFonts w:ascii="Arial" w:hAnsi="Arial" w:cs="Arial"/>
          <w:color w:val="000000" w:themeColor="text1"/>
          <w:sz w:val="20"/>
          <w:szCs w:val="20"/>
        </w:rPr>
        <w:t>) Two weeks after BDL, the percentage of hepatic CD69</w:t>
      </w:r>
      <w:r w:rsidRPr="00E73B7F">
        <w:rPr>
          <w:rFonts w:ascii="Arial" w:hAnsi="Arial" w:cs="Arial"/>
          <w:color w:val="000000" w:themeColor="text1"/>
          <w:sz w:val="20"/>
          <w:szCs w:val="20"/>
          <w:vertAlign w:val="superscript"/>
        </w:rPr>
        <w:t>+</w:t>
      </w:r>
      <w:r w:rsidRPr="00E73B7F">
        <w:rPr>
          <w:rFonts w:ascii="Arial" w:hAnsi="Arial" w:cs="Arial"/>
          <w:color w:val="000000" w:themeColor="text1"/>
          <w:sz w:val="20"/>
          <w:szCs w:val="20"/>
        </w:rPr>
        <w:t>CD8</w:t>
      </w:r>
      <w:r w:rsidRPr="00E73B7F">
        <w:rPr>
          <w:rFonts w:ascii="Arial" w:hAnsi="Arial" w:cs="Arial"/>
          <w:color w:val="000000" w:themeColor="text1"/>
          <w:sz w:val="20"/>
          <w:szCs w:val="20"/>
          <w:vertAlign w:val="superscript"/>
        </w:rPr>
        <w:t>+</w:t>
      </w:r>
      <w:r w:rsidRPr="00E73B7F">
        <w:rPr>
          <w:rFonts w:ascii="Arial" w:hAnsi="Arial" w:cs="Arial"/>
          <w:color w:val="000000" w:themeColor="text1"/>
          <w:sz w:val="20"/>
          <w:szCs w:val="20"/>
        </w:rPr>
        <w:t xml:space="preserve"> T, Granzyme B</w:t>
      </w:r>
      <w:r w:rsidRPr="00E73B7F">
        <w:rPr>
          <w:rFonts w:ascii="Arial" w:hAnsi="Arial" w:cs="Arial"/>
          <w:color w:val="000000" w:themeColor="text1"/>
          <w:sz w:val="20"/>
          <w:szCs w:val="20"/>
          <w:vertAlign w:val="superscript"/>
        </w:rPr>
        <w:t>+</w:t>
      </w:r>
      <w:r w:rsidRPr="00E73B7F">
        <w:rPr>
          <w:rFonts w:ascii="Arial" w:hAnsi="Arial" w:cs="Arial"/>
          <w:color w:val="000000" w:themeColor="text1"/>
          <w:sz w:val="20"/>
          <w:szCs w:val="20"/>
        </w:rPr>
        <w:t>CD8</w:t>
      </w:r>
      <w:r w:rsidRPr="00E73B7F">
        <w:rPr>
          <w:rFonts w:ascii="Arial" w:hAnsi="Arial" w:cs="Arial"/>
          <w:color w:val="000000" w:themeColor="text1"/>
          <w:sz w:val="20"/>
          <w:szCs w:val="20"/>
          <w:vertAlign w:val="superscript"/>
        </w:rPr>
        <w:t>+</w:t>
      </w:r>
      <w:r w:rsidRPr="00E73B7F">
        <w:rPr>
          <w:rFonts w:ascii="Arial" w:hAnsi="Arial" w:cs="Arial"/>
          <w:color w:val="000000" w:themeColor="text1"/>
          <w:sz w:val="20"/>
          <w:szCs w:val="20"/>
        </w:rPr>
        <w:t xml:space="preserve"> T in leukocytes were determined. n=5 for each group. Data shown mean ± SEM. ** p&lt;0.01, two-way ANOVA.</w:t>
      </w:r>
    </w:p>
    <w:p w14:paraId="6E5F21A4" w14:textId="77777777" w:rsidR="003535EB" w:rsidRPr="00E73B7F" w:rsidRDefault="003535EB" w:rsidP="003535EB">
      <w:pPr>
        <w:spacing w:line="360" w:lineRule="auto"/>
        <w:jc w:val="both"/>
        <w:rPr>
          <w:rFonts w:ascii="Arial" w:hAnsi="Arial" w:cs="Arial"/>
          <w:color w:val="000000" w:themeColor="text1"/>
          <w:sz w:val="20"/>
          <w:szCs w:val="20"/>
        </w:rPr>
      </w:pPr>
      <w:r w:rsidRPr="00E73B7F">
        <w:rPr>
          <w:rFonts w:ascii="Arial" w:hAnsi="Arial" w:cs="Arial"/>
          <w:color w:val="000000" w:themeColor="text1"/>
          <w:sz w:val="20"/>
          <w:szCs w:val="20"/>
        </w:rPr>
        <w:t>(</w:t>
      </w:r>
      <w:r w:rsidRPr="00E73B7F">
        <w:rPr>
          <w:rFonts w:ascii="Arial" w:hAnsi="Arial" w:cs="Arial"/>
          <w:b/>
          <w:bCs/>
          <w:color w:val="000000" w:themeColor="text1"/>
          <w:sz w:val="20"/>
          <w:szCs w:val="20"/>
        </w:rPr>
        <w:t>E</w:t>
      </w:r>
      <w:r w:rsidRPr="00E73B7F">
        <w:rPr>
          <w:rFonts w:ascii="Arial" w:hAnsi="Arial" w:cs="Arial"/>
          <w:color w:val="000000" w:themeColor="text1"/>
          <w:sz w:val="20"/>
          <w:szCs w:val="20"/>
        </w:rPr>
        <w:t>) Percentage of hepatic CD69</w:t>
      </w:r>
      <w:r w:rsidRPr="00E73B7F">
        <w:rPr>
          <w:rFonts w:ascii="Arial" w:hAnsi="Arial" w:cs="Arial"/>
          <w:color w:val="000000" w:themeColor="text1"/>
          <w:sz w:val="20"/>
          <w:szCs w:val="20"/>
          <w:vertAlign w:val="superscript"/>
        </w:rPr>
        <w:t>+</w:t>
      </w:r>
      <w:r w:rsidRPr="00E73B7F">
        <w:rPr>
          <w:rFonts w:ascii="Arial" w:hAnsi="Arial" w:cs="Arial"/>
          <w:color w:val="000000" w:themeColor="text1"/>
          <w:sz w:val="20"/>
          <w:szCs w:val="20"/>
        </w:rPr>
        <w:t>CD8</w:t>
      </w:r>
      <w:r w:rsidRPr="00E73B7F">
        <w:rPr>
          <w:rFonts w:ascii="Arial" w:hAnsi="Arial" w:cs="Arial"/>
          <w:color w:val="000000" w:themeColor="text1"/>
          <w:sz w:val="20"/>
          <w:szCs w:val="20"/>
          <w:vertAlign w:val="superscript"/>
        </w:rPr>
        <w:t>+</w:t>
      </w:r>
      <w:r w:rsidRPr="00E73B7F">
        <w:rPr>
          <w:rFonts w:ascii="Arial" w:hAnsi="Arial" w:cs="Arial"/>
          <w:color w:val="000000" w:themeColor="text1"/>
          <w:sz w:val="20"/>
          <w:szCs w:val="20"/>
        </w:rPr>
        <w:t xml:space="preserve"> T, Granzyme B</w:t>
      </w:r>
      <w:r w:rsidRPr="00E73B7F">
        <w:rPr>
          <w:rFonts w:ascii="Arial" w:hAnsi="Arial" w:cs="Arial"/>
          <w:color w:val="000000" w:themeColor="text1"/>
          <w:sz w:val="20"/>
          <w:szCs w:val="20"/>
          <w:vertAlign w:val="superscript"/>
        </w:rPr>
        <w:t>+</w:t>
      </w:r>
      <w:r w:rsidRPr="00E73B7F">
        <w:rPr>
          <w:rFonts w:ascii="Arial" w:hAnsi="Arial" w:cs="Arial"/>
          <w:color w:val="000000" w:themeColor="text1"/>
          <w:sz w:val="20"/>
          <w:szCs w:val="20"/>
        </w:rPr>
        <w:t>CD8</w:t>
      </w:r>
      <w:r w:rsidRPr="00E73B7F">
        <w:rPr>
          <w:rFonts w:ascii="Arial" w:hAnsi="Arial" w:cs="Arial"/>
          <w:color w:val="000000" w:themeColor="text1"/>
          <w:sz w:val="20"/>
          <w:szCs w:val="20"/>
          <w:vertAlign w:val="superscript"/>
        </w:rPr>
        <w:t>+</w:t>
      </w:r>
      <w:r w:rsidRPr="00E73B7F">
        <w:rPr>
          <w:rFonts w:ascii="Arial" w:hAnsi="Arial" w:cs="Arial"/>
          <w:color w:val="000000" w:themeColor="text1"/>
          <w:sz w:val="20"/>
          <w:szCs w:val="20"/>
        </w:rPr>
        <w:t xml:space="preserve"> T in leukocytes were determined in FVBN (Ctr) or Mdr2 </w:t>
      </w:r>
      <w:r w:rsidRPr="00E73B7F">
        <w:rPr>
          <w:rFonts w:ascii="Arial" w:hAnsi="Arial" w:cs="Arial"/>
          <w:color w:val="000000" w:themeColor="text1"/>
          <w:sz w:val="20"/>
          <w:szCs w:val="20"/>
          <w:vertAlign w:val="superscript"/>
        </w:rPr>
        <w:t>-/-</w:t>
      </w:r>
      <w:r w:rsidRPr="00E73B7F">
        <w:rPr>
          <w:rFonts w:ascii="Arial" w:hAnsi="Arial" w:cs="Arial"/>
          <w:color w:val="000000" w:themeColor="text1"/>
          <w:sz w:val="20"/>
          <w:szCs w:val="20"/>
        </w:rPr>
        <w:t xml:space="preserve"> mice. n=5 for each group. Data represent mean ± SEM. * p&lt;0.05, ***p&lt;0.001, two-way ANOVA.</w:t>
      </w:r>
    </w:p>
    <w:p w14:paraId="529A85D7" w14:textId="77777777" w:rsidR="003535EB" w:rsidRPr="00E73B7F" w:rsidRDefault="003535EB" w:rsidP="003535EB">
      <w:pPr>
        <w:spacing w:line="360" w:lineRule="auto"/>
        <w:jc w:val="both"/>
        <w:rPr>
          <w:rFonts w:ascii="Arial" w:hAnsi="Arial" w:cs="Arial"/>
          <w:color w:val="000000" w:themeColor="text1"/>
          <w:sz w:val="20"/>
          <w:szCs w:val="20"/>
        </w:rPr>
      </w:pPr>
      <w:r w:rsidRPr="00E73B7F">
        <w:rPr>
          <w:rFonts w:ascii="Arial" w:hAnsi="Arial" w:cs="Arial"/>
          <w:color w:val="000000" w:themeColor="text1"/>
          <w:sz w:val="20"/>
          <w:szCs w:val="20"/>
        </w:rPr>
        <w:t>(</w:t>
      </w:r>
      <w:r w:rsidRPr="00E73B7F">
        <w:rPr>
          <w:rFonts w:ascii="Arial" w:hAnsi="Arial" w:cs="Arial"/>
          <w:b/>
          <w:bCs/>
          <w:color w:val="000000" w:themeColor="text1"/>
          <w:sz w:val="20"/>
          <w:szCs w:val="20"/>
        </w:rPr>
        <w:t>F</w:t>
      </w:r>
      <w:r w:rsidRPr="00E73B7F">
        <w:rPr>
          <w:rFonts w:ascii="Arial" w:hAnsi="Arial" w:cs="Arial"/>
          <w:color w:val="000000" w:themeColor="text1"/>
          <w:sz w:val="20"/>
          <w:szCs w:val="20"/>
        </w:rPr>
        <w:t xml:space="preserve">) BDL was performed and mice were treated with anti-Ly6G antibody (BDL+1A8) (200 </w:t>
      </w:r>
      <w:r w:rsidRPr="00E73B7F">
        <w:rPr>
          <w:rFonts w:ascii="Arial" w:hAnsi="Arial" w:cs="Arial"/>
          <w:color w:val="000000" w:themeColor="text1"/>
          <w:sz w:val="20"/>
          <w:szCs w:val="20"/>
        </w:rPr>
        <w:sym w:font="Symbol" w:char="F06D"/>
      </w:r>
      <w:r w:rsidRPr="00E73B7F">
        <w:rPr>
          <w:rFonts w:ascii="Arial" w:hAnsi="Arial" w:cs="Arial"/>
          <w:color w:val="000000" w:themeColor="text1"/>
          <w:sz w:val="20"/>
          <w:szCs w:val="20"/>
        </w:rPr>
        <w:t xml:space="preserve">g, </w:t>
      </w:r>
      <w:proofErr w:type="spellStart"/>
      <w:r w:rsidRPr="00E73B7F">
        <w:rPr>
          <w:rFonts w:ascii="Arial" w:hAnsi="Arial" w:cs="Arial"/>
          <w:color w:val="000000" w:themeColor="text1"/>
          <w:sz w:val="20"/>
          <w:szCs w:val="20"/>
        </w:rPr>
        <w:t>i.p.</w:t>
      </w:r>
      <w:proofErr w:type="spellEnd"/>
      <w:r w:rsidRPr="00E73B7F">
        <w:rPr>
          <w:rFonts w:ascii="Arial" w:hAnsi="Arial" w:cs="Arial"/>
          <w:color w:val="000000" w:themeColor="text1"/>
          <w:sz w:val="20"/>
          <w:szCs w:val="20"/>
        </w:rPr>
        <w:t xml:space="preserve"> every other day) or </w:t>
      </w:r>
      <w:proofErr w:type="spellStart"/>
      <w:r w:rsidRPr="00E73B7F">
        <w:rPr>
          <w:rFonts w:ascii="Arial" w:hAnsi="Arial" w:cs="Arial"/>
          <w:color w:val="000000" w:themeColor="text1"/>
          <w:sz w:val="20"/>
          <w:szCs w:val="20"/>
        </w:rPr>
        <w:t>isoptype</w:t>
      </w:r>
      <w:proofErr w:type="spellEnd"/>
      <w:r w:rsidRPr="00E73B7F">
        <w:rPr>
          <w:rFonts w:ascii="Arial" w:hAnsi="Arial" w:cs="Arial"/>
          <w:color w:val="000000" w:themeColor="text1"/>
          <w:sz w:val="20"/>
          <w:szCs w:val="20"/>
        </w:rPr>
        <w:t xml:space="preserve"> control. Two weeks later, the percentage of hepatic TNF-α</w:t>
      </w:r>
      <w:r w:rsidRPr="00E73B7F">
        <w:rPr>
          <w:rFonts w:ascii="Arial" w:hAnsi="Arial" w:cs="Arial"/>
          <w:color w:val="000000" w:themeColor="text1"/>
          <w:sz w:val="20"/>
          <w:szCs w:val="20"/>
          <w:vertAlign w:val="superscript"/>
        </w:rPr>
        <w:t xml:space="preserve"> +</w:t>
      </w:r>
      <w:r w:rsidRPr="00E73B7F">
        <w:rPr>
          <w:rFonts w:ascii="Arial" w:hAnsi="Arial" w:cs="Arial"/>
          <w:color w:val="000000" w:themeColor="text1"/>
          <w:sz w:val="20"/>
          <w:szCs w:val="20"/>
        </w:rPr>
        <w:t>CD8</w:t>
      </w:r>
      <w:r w:rsidRPr="00E73B7F">
        <w:rPr>
          <w:rFonts w:ascii="Arial" w:hAnsi="Arial" w:cs="Arial"/>
          <w:color w:val="000000" w:themeColor="text1"/>
          <w:sz w:val="20"/>
          <w:szCs w:val="20"/>
          <w:vertAlign w:val="superscript"/>
        </w:rPr>
        <w:t>+</w:t>
      </w:r>
      <w:r w:rsidRPr="00E73B7F">
        <w:rPr>
          <w:rFonts w:ascii="Arial" w:hAnsi="Arial" w:cs="Arial"/>
          <w:color w:val="000000" w:themeColor="text1"/>
          <w:sz w:val="20"/>
          <w:szCs w:val="20"/>
        </w:rPr>
        <w:t xml:space="preserve"> T, IFN-γ</w:t>
      </w:r>
      <w:r w:rsidRPr="00E73B7F">
        <w:rPr>
          <w:rFonts w:ascii="Arial" w:hAnsi="Arial" w:cs="Arial"/>
          <w:color w:val="000000" w:themeColor="text1"/>
          <w:sz w:val="20"/>
          <w:szCs w:val="20"/>
          <w:vertAlign w:val="superscript"/>
        </w:rPr>
        <w:t>+</w:t>
      </w:r>
      <w:r w:rsidRPr="00E73B7F">
        <w:rPr>
          <w:rFonts w:ascii="Arial" w:hAnsi="Arial" w:cs="Arial"/>
          <w:color w:val="000000" w:themeColor="text1"/>
          <w:sz w:val="20"/>
          <w:szCs w:val="20"/>
        </w:rPr>
        <w:t>CD8</w:t>
      </w:r>
      <w:r w:rsidRPr="00E73B7F">
        <w:rPr>
          <w:rFonts w:ascii="Arial" w:hAnsi="Arial" w:cs="Arial"/>
          <w:color w:val="000000" w:themeColor="text1"/>
          <w:sz w:val="20"/>
          <w:szCs w:val="20"/>
          <w:vertAlign w:val="superscript"/>
        </w:rPr>
        <w:t>+</w:t>
      </w:r>
      <w:r w:rsidRPr="00E73B7F">
        <w:rPr>
          <w:rFonts w:ascii="Arial" w:hAnsi="Arial" w:cs="Arial"/>
          <w:color w:val="000000" w:themeColor="text1"/>
          <w:sz w:val="20"/>
          <w:szCs w:val="20"/>
        </w:rPr>
        <w:t xml:space="preserve"> T and CD69</w:t>
      </w:r>
      <w:r w:rsidRPr="00E73B7F">
        <w:rPr>
          <w:rFonts w:ascii="Arial" w:hAnsi="Arial" w:cs="Arial"/>
          <w:color w:val="000000" w:themeColor="text1"/>
          <w:sz w:val="20"/>
          <w:szCs w:val="20"/>
          <w:vertAlign w:val="superscript"/>
        </w:rPr>
        <w:t>+</w:t>
      </w:r>
      <w:r w:rsidRPr="00E73B7F">
        <w:rPr>
          <w:rFonts w:ascii="Arial" w:hAnsi="Arial" w:cs="Arial"/>
          <w:color w:val="000000" w:themeColor="text1"/>
          <w:sz w:val="20"/>
          <w:szCs w:val="20"/>
        </w:rPr>
        <w:t>CD8</w:t>
      </w:r>
      <w:r w:rsidRPr="00E73B7F">
        <w:rPr>
          <w:rFonts w:ascii="Arial" w:hAnsi="Arial" w:cs="Arial"/>
          <w:color w:val="000000" w:themeColor="text1"/>
          <w:sz w:val="20"/>
          <w:szCs w:val="20"/>
          <w:vertAlign w:val="superscript"/>
        </w:rPr>
        <w:t>+</w:t>
      </w:r>
      <w:r w:rsidRPr="00E73B7F">
        <w:rPr>
          <w:rFonts w:ascii="Arial" w:hAnsi="Arial" w:cs="Arial"/>
          <w:color w:val="000000" w:themeColor="text1"/>
          <w:sz w:val="20"/>
          <w:szCs w:val="20"/>
        </w:rPr>
        <w:t xml:space="preserve"> T in leukocytes was determined. n=5 for each group. Data represent mean ± SEM. * p&lt;0.05, ***p&lt;0.001, two-way ANOVA.</w:t>
      </w:r>
    </w:p>
    <w:p w14:paraId="0D0D6D4A" w14:textId="77777777" w:rsidR="003535EB" w:rsidRPr="00E73B7F" w:rsidRDefault="003535EB" w:rsidP="003535EB">
      <w:pPr>
        <w:spacing w:line="360" w:lineRule="auto"/>
        <w:jc w:val="both"/>
        <w:rPr>
          <w:rFonts w:ascii="Arial" w:hAnsi="Arial" w:cs="Arial"/>
          <w:color w:val="000000" w:themeColor="text1"/>
          <w:sz w:val="20"/>
          <w:szCs w:val="20"/>
        </w:rPr>
      </w:pPr>
      <w:r w:rsidRPr="00E73B7F">
        <w:rPr>
          <w:rFonts w:ascii="Arial" w:hAnsi="Arial" w:cs="Arial"/>
          <w:color w:val="000000" w:themeColor="text1"/>
          <w:sz w:val="20"/>
          <w:szCs w:val="20"/>
        </w:rPr>
        <w:t>(</w:t>
      </w:r>
      <w:r w:rsidRPr="00E73B7F">
        <w:rPr>
          <w:rFonts w:ascii="Arial" w:hAnsi="Arial" w:cs="Arial"/>
          <w:b/>
          <w:bCs/>
          <w:color w:val="000000" w:themeColor="text1"/>
          <w:sz w:val="20"/>
          <w:szCs w:val="20"/>
        </w:rPr>
        <w:t>G</w:t>
      </w:r>
      <w:r w:rsidRPr="00E73B7F">
        <w:rPr>
          <w:rFonts w:ascii="Arial" w:hAnsi="Arial" w:cs="Arial"/>
          <w:color w:val="000000" w:themeColor="text1"/>
          <w:sz w:val="20"/>
          <w:szCs w:val="20"/>
        </w:rPr>
        <w:t>) The percentage of hepatic M-MDSC, PMN-MDSC and total MDSC in leukocytes were determined in C57BL/6 mice after 1 cycle DSS treatment (2.5% DSS in drinking water for 1 week, followed by regular water for 2 weeks). n=6 for H</w:t>
      </w:r>
      <w:r w:rsidRPr="00E73B7F">
        <w:rPr>
          <w:rFonts w:ascii="Arial" w:hAnsi="Arial" w:cs="Arial"/>
          <w:color w:val="000000" w:themeColor="text1"/>
          <w:sz w:val="20"/>
          <w:szCs w:val="20"/>
          <w:vertAlign w:val="subscript"/>
        </w:rPr>
        <w:t>2</w:t>
      </w:r>
      <w:r w:rsidRPr="00E73B7F">
        <w:rPr>
          <w:rFonts w:ascii="Arial" w:hAnsi="Arial" w:cs="Arial"/>
          <w:color w:val="000000" w:themeColor="text1"/>
          <w:sz w:val="20"/>
          <w:szCs w:val="20"/>
        </w:rPr>
        <w:t xml:space="preserve">O, 7 for DSS. Data represent mean ± SEM. **** p&lt;0.0001, two-way ANOVA.  </w:t>
      </w:r>
    </w:p>
    <w:p w14:paraId="57265DBD" w14:textId="77777777" w:rsidR="003535EB" w:rsidRPr="00E73B7F" w:rsidRDefault="003535EB" w:rsidP="003535EB">
      <w:pPr>
        <w:spacing w:line="360" w:lineRule="auto"/>
        <w:jc w:val="both"/>
        <w:rPr>
          <w:rFonts w:ascii="Arial" w:hAnsi="Arial" w:cs="Arial"/>
          <w:color w:val="000000" w:themeColor="text1"/>
          <w:sz w:val="20"/>
          <w:szCs w:val="20"/>
        </w:rPr>
      </w:pPr>
      <w:r w:rsidRPr="00E73B7F">
        <w:rPr>
          <w:rFonts w:ascii="Arial" w:hAnsi="Arial" w:cs="Arial"/>
          <w:color w:val="000000" w:themeColor="text1"/>
          <w:sz w:val="20"/>
          <w:szCs w:val="20"/>
        </w:rPr>
        <w:t>(</w:t>
      </w:r>
      <w:r w:rsidRPr="00E73B7F">
        <w:rPr>
          <w:rFonts w:ascii="Arial" w:hAnsi="Arial" w:cs="Arial"/>
          <w:b/>
          <w:bCs/>
          <w:color w:val="000000" w:themeColor="text1"/>
          <w:sz w:val="20"/>
          <w:szCs w:val="20"/>
        </w:rPr>
        <w:t>H</w:t>
      </w:r>
      <w:r w:rsidRPr="00E73B7F">
        <w:rPr>
          <w:rFonts w:ascii="Arial" w:hAnsi="Arial" w:cs="Arial"/>
          <w:color w:val="000000" w:themeColor="text1"/>
          <w:sz w:val="20"/>
          <w:szCs w:val="20"/>
        </w:rPr>
        <w:t>) Two weeks after BDL in C57BL/6 mice, the percentage of MDSC in leukocytes of spleen, gut and lung were determined. n=7 for Ctr and BDL. Data represent mean ± SEM. ** p&lt;0.01, **** p&lt;0.0001, two-way ANOVA.</w:t>
      </w:r>
    </w:p>
    <w:p w14:paraId="75E6FBCA" w14:textId="77777777" w:rsidR="003535EB" w:rsidRPr="00E73B7F" w:rsidRDefault="003535EB" w:rsidP="003535EB">
      <w:pPr>
        <w:spacing w:line="360" w:lineRule="auto"/>
        <w:jc w:val="both"/>
        <w:rPr>
          <w:rFonts w:ascii="Arial" w:hAnsi="Arial" w:cs="Arial"/>
          <w:color w:val="000000" w:themeColor="text1"/>
          <w:sz w:val="20"/>
          <w:szCs w:val="20"/>
        </w:rPr>
      </w:pPr>
      <w:r w:rsidRPr="00E73B7F">
        <w:rPr>
          <w:rFonts w:ascii="Arial" w:hAnsi="Arial" w:cs="Arial"/>
          <w:color w:val="000000" w:themeColor="text1"/>
          <w:sz w:val="20"/>
          <w:szCs w:val="20"/>
        </w:rPr>
        <w:t>(</w:t>
      </w:r>
      <w:r w:rsidRPr="00E73B7F">
        <w:rPr>
          <w:rFonts w:ascii="Arial" w:hAnsi="Arial" w:cs="Arial"/>
          <w:b/>
          <w:bCs/>
          <w:color w:val="000000" w:themeColor="text1"/>
          <w:sz w:val="20"/>
          <w:szCs w:val="20"/>
        </w:rPr>
        <w:t>I</w:t>
      </w:r>
      <w:r w:rsidRPr="00E73B7F">
        <w:rPr>
          <w:rFonts w:ascii="Arial" w:hAnsi="Arial" w:cs="Arial"/>
          <w:color w:val="000000" w:themeColor="text1"/>
          <w:sz w:val="20"/>
          <w:szCs w:val="20"/>
        </w:rPr>
        <w:t xml:space="preserve">) In 7 weeks old FVBN (Ctr) or Mdr2 </w:t>
      </w:r>
      <w:r w:rsidRPr="00E73B7F">
        <w:rPr>
          <w:rFonts w:ascii="Arial" w:hAnsi="Arial" w:cs="Arial"/>
          <w:color w:val="000000" w:themeColor="text1"/>
          <w:sz w:val="20"/>
          <w:szCs w:val="20"/>
          <w:vertAlign w:val="superscript"/>
        </w:rPr>
        <w:t>-/-</w:t>
      </w:r>
      <w:r w:rsidRPr="00E73B7F">
        <w:rPr>
          <w:rFonts w:ascii="Arial" w:hAnsi="Arial" w:cs="Arial"/>
          <w:color w:val="000000" w:themeColor="text1"/>
          <w:sz w:val="20"/>
          <w:szCs w:val="20"/>
        </w:rPr>
        <w:t xml:space="preserve">, the percentage of MDSC in leukocytes of spleen, gut and lung were determined. n=5 for Ctr and Mdr2 </w:t>
      </w:r>
      <w:r w:rsidRPr="00E73B7F">
        <w:rPr>
          <w:rFonts w:ascii="Arial" w:hAnsi="Arial" w:cs="Arial"/>
          <w:color w:val="000000" w:themeColor="text1"/>
          <w:sz w:val="20"/>
          <w:szCs w:val="20"/>
          <w:vertAlign w:val="superscript"/>
        </w:rPr>
        <w:t>-/-</w:t>
      </w:r>
      <w:r w:rsidRPr="00E73B7F">
        <w:rPr>
          <w:rFonts w:ascii="Arial" w:hAnsi="Arial" w:cs="Arial"/>
          <w:color w:val="000000" w:themeColor="text1"/>
          <w:sz w:val="20"/>
          <w:szCs w:val="20"/>
        </w:rPr>
        <w:t>. Data represent mean ± SEM. ** p&lt;0.01, **** p&lt;0.0001, two-way ANOVA.</w:t>
      </w:r>
    </w:p>
    <w:p w14:paraId="3956764F" w14:textId="77777777" w:rsidR="003535EB" w:rsidRPr="00E73B7F" w:rsidRDefault="003535EB" w:rsidP="003535EB">
      <w:pPr>
        <w:spacing w:line="360" w:lineRule="auto"/>
        <w:jc w:val="both"/>
        <w:rPr>
          <w:rFonts w:ascii="Arial" w:hAnsi="Arial" w:cs="Arial"/>
          <w:color w:val="000000" w:themeColor="text1"/>
          <w:sz w:val="20"/>
          <w:szCs w:val="20"/>
        </w:rPr>
      </w:pPr>
      <w:r w:rsidRPr="00E73B7F">
        <w:rPr>
          <w:rFonts w:ascii="Arial" w:hAnsi="Arial" w:cs="Arial"/>
          <w:color w:val="000000" w:themeColor="text1"/>
          <w:sz w:val="20"/>
          <w:szCs w:val="20"/>
        </w:rPr>
        <w:t>(</w:t>
      </w:r>
      <w:r w:rsidRPr="00E73B7F">
        <w:rPr>
          <w:rFonts w:ascii="Arial" w:hAnsi="Arial" w:cs="Arial"/>
          <w:b/>
          <w:bCs/>
          <w:color w:val="000000" w:themeColor="text1"/>
          <w:sz w:val="20"/>
          <w:szCs w:val="20"/>
        </w:rPr>
        <w:t>J</w:t>
      </w:r>
      <w:r w:rsidRPr="00E73B7F">
        <w:rPr>
          <w:rFonts w:ascii="Arial" w:hAnsi="Arial" w:cs="Arial"/>
          <w:color w:val="000000" w:themeColor="text1"/>
          <w:sz w:val="20"/>
          <w:szCs w:val="20"/>
        </w:rPr>
        <w:t xml:space="preserve">) Quantitative real time PCR for relative 16s rRNA in lung of Ctr and BDL mice.  n=5 for Ctr, 6 for BDL. Data represent mean ± SEM. ***p&lt;0.001, Student’s </w:t>
      </w:r>
      <w:r w:rsidRPr="00E73B7F">
        <w:rPr>
          <w:rFonts w:ascii="Arial" w:hAnsi="Arial" w:cs="Arial"/>
          <w:i/>
          <w:color w:val="000000" w:themeColor="text1"/>
          <w:sz w:val="20"/>
          <w:szCs w:val="20"/>
        </w:rPr>
        <w:t>t</w:t>
      </w:r>
      <w:r w:rsidRPr="00E73B7F">
        <w:rPr>
          <w:rFonts w:ascii="Arial" w:hAnsi="Arial" w:cs="Arial"/>
          <w:color w:val="000000" w:themeColor="text1"/>
          <w:sz w:val="20"/>
          <w:szCs w:val="20"/>
        </w:rPr>
        <w:t xml:space="preserve"> test.</w:t>
      </w:r>
    </w:p>
    <w:p w14:paraId="45058D57" w14:textId="77777777" w:rsidR="003535EB" w:rsidRPr="00E73B7F" w:rsidRDefault="003535EB" w:rsidP="003535EB">
      <w:pPr>
        <w:spacing w:line="360" w:lineRule="auto"/>
        <w:jc w:val="both"/>
        <w:rPr>
          <w:rFonts w:ascii="Arial" w:hAnsi="Arial" w:cs="Arial"/>
          <w:color w:val="000000" w:themeColor="text1"/>
          <w:sz w:val="20"/>
          <w:szCs w:val="20"/>
        </w:rPr>
      </w:pPr>
      <w:r w:rsidRPr="00E73B7F">
        <w:rPr>
          <w:rFonts w:ascii="Arial" w:hAnsi="Arial" w:cs="Arial"/>
          <w:color w:val="000000" w:themeColor="text1"/>
          <w:sz w:val="20"/>
          <w:szCs w:val="20"/>
        </w:rPr>
        <w:t>(</w:t>
      </w:r>
      <w:r w:rsidRPr="00E73B7F">
        <w:rPr>
          <w:rFonts w:ascii="Arial" w:hAnsi="Arial" w:cs="Arial"/>
          <w:b/>
          <w:bCs/>
          <w:color w:val="000000" w:themeColor="text1"/>
          <w:sz w:val="20"/>
          <w:szCs w:val="20"/>
        </w:rPr>
        <w:t>K</w:t>
      </w:r>
      <w:r w:rsidRPr="00E73B7F">
        <w:rPr>
          <w:rFonts w:ascii="Arial" w:hAnsi="Arial" w:cs="Arial"/>
          <w:color w:val="000000" w:themeColor="text1"/>
          <w:sz w:val="20"/>
          <w:szCs w:val="20"/>
        </w:rPr>
        <w:t>) C57BL/6 mice were treated with Neomycin for 2 weeks prior to BDL (</w:t>
      </w:r>
      <w:proofErr w:type="spellStart"/>
      <w:r w:rsidRPr="00E73B7F">
        <w:rPr>
          <w:rFonts w:ascii="Arial" w:hAnsi="Arial" w:cs="Arial"/>
          <w:color w:val="000000" w:themeColor="text1"/>
          <w:sz w:val="20"/>
          <w:szCs w:val="20"/>
        </w:rPr>
        <w:t>BDL+Neo</w:t>
      </w:r>
      <w:proofErr w:type="spellEnd"/>
      <w:r w:rsidRPr="00E73B7F">
        <w:rPr>
          <w:rFonts w:ascii="Arial" w:hAnsi="Arial" w:cs="Arial"/>
          <w:color w:val="000000" w:themeColor="text1"/>
          <w:sz w:val="20"/>
          <w:szCs w:val="20"/>
        </w:rPr>
        <w:t xml:space="preserve">). Two weeks after BDL, the percentage of hepatic M-MDSC, PMN-MDSC and MDSC were determined. n=5 for each group. Data represent mean ± SEM. ** p&lt;0.001, *** p&lt;0.001, two-way ANOVA. </w:t>
      </w:r>
    </w:p>
    <w:p w14:paraId="010C17E1" w14:textId="77777777" w:rsidR="003535EB" w:rsidRPr="00E73B7F" w:rsidRDefault="003535EB" w:rsidP="003535EB">
      <w:pPr>
        <w:spacing w:line="360" w:lineRule="auto"/>
        <w:jc w:val="both"/>
        <w:rPr>
          <w:rFonts w:ascii="Arial" w:hAnsi="Arial" w:cs="Arial"/>
          <w:color w:val="000000" w:themeColor="text1"/>
          <w:sz w:val="20"/>
          <w:szCs w:val="20"/>
        </w:rPr>
      </w:pPr>
      <w:r w:rsidRPr="00E73B7F">
        <w:rPr>
          <w:rFonts w:ascii="Arial" w:hAnsi="Arial" w:cs="Arial"/>
          <w:color w:val="000000" w:themeColor="text1"/>
          <w:sz w:val="20"/>
          <w:szCs w:val="20"/>
        </w:rPr>
        <w:t>(</w:t>
      </w:r>
      <w:r w:rsidRPr="00E73B7F">
        <w:rPr>
          <w:rFonts w:ascii="Arial" w:hAnsi="Arial" w:cs="Arial"/>
          <w:b/>
          <w:bCs/>
          <w:color w:val="000000" w:themeColor="text1"/>
          <w:sz w:val="20"/>
          <w:szCs w:val="20"/>
        </w:rPr>
        <w:t>L</w:t>
      </w:r>
      <w:r w:rsidRPr="00E73B7F">
        <w:rPr>
          <w:rFonts w:ascii="Arial" w:hAnsi="Arial" w:cs="Arial"/>
          <w:color w:val="000000" w:themeColor="text1"/>
          <w:sz w:val="20"/>
          <w:szCs w:val="20"/>
        </w:rPr>
        <w:t>) C57BL/6 mice were treated with H</w:t>
      </w:r>
      <w:r w:rsidRPr="00E73B7F">
        <w:rPr>
          <w:rFonts w:ascii="Arial" w:hAnsi="Arial" w:cs="Arial"/>
          <w:color w:val="000000" w:themeColor="text1"/>
          <w:sz w:val="20"/>
          <w:szCs w:val="20"/>
          <w:vertAlign w:val="subscript"/>
        </w:rPr>
        <w:t>2</w:t>
      </w:r>
      <w:r w:rsidRPr="00E73B7F">
        <w:rPr>
          <w:rFonts w:ascii="Arial" w:hAnsi="Arial" w:cs="Arial"/>
          <w:color w:val="000000" w:themeColor="text1"/>
          <w:sz w:val="20"/>
          <w:szCs w:val="20"/>
        </w:rPr>
        <w:t>O, DSS, neomycin (Neo) or DSS+ neomycin (</w:t>
      </w:r>
      <w:proofErr w:type="spellStart"/>
      <w:r w:rsidRPr="00E73B7F">
        <w:rPr>
          <w:rFonts w:ascii="Arial" w:hAnsi="Arial" w:cs="Arial"/>
          <w:color w:val="000000" w:themeColor="text1"/>
          <w:sz w:val="20"/>
          <w:szCs w:val="20"/>
        </w:rPr>
        <w:t>DSS+Neo</w:t>
      </w:r>
      <w:proofErr w:type="spellEnd"/>
      <w:r w:rsidRPr="00E73B7F">
        <w:rPr>
          <w:rFonts w:ascii="Arial" w:hAnsi="Arial" w:cs="Arial"/>
          <w:color w:val="000000" w:themeColor="text1"/>
          <w:sz w:val="20"/>
          <w:szCs w:val="20"/>
        </w:rPr>
        <w:t>) for 1 cycle. The absolute numbers of hepatic M-MDSC, PMN-MDSC and total MDSC were detected. n=8 for H</w:t>
      </w:r>
      <w:r w:rsidRPr="00E73B7F">
        <w:rPr>
          <w:rFonts w:ascii="Arial" w:hAnsi="Arial" w:cs="Arial"/>
          <w:color w:val="000000" w:themeColor="text1"/>
          <w:sz w:val="20"/>
          <w:szCs w:val="20"/>
          <w:vertAlign w:val="subscript"/>
        </w:rPr>
        <w:t>2</w:t>
      </w:r>
      <w:r w:rsidRPr="00E73B7F">
        <w:rPr>
          <w:rFonts w:ascii="Arial" w:hAnsi="Arial" w:cs="Arial"/>
          <w:color w:val="000000" w:themeColor="text1"/>
          <w:sz w:val="20"/>
          <w:szCs w:val="20"/>
        </w:rPr>
        <w:t xml:space="preserve">O, n= 9 for DSS, n=8 for Neo, n=8 for </w:t>
      </w:r>
      <w:proofErr w:type="spellStart"/>
      <w:r w:rsidRPr="00E73B7F">
        <w:rPr>
          <w:rFonts w:ascii="Arial" w:hAnsi="Arial" w:cs="Arial"/>
          <w:color w:val="000000" w:themeColor="text1"/>
          <w:sz w:val="20"/>
          <w:szCs w:val="20"/>
        </w:rPr>
        <w:t>DSS+Neo</w:t>
      </w:r>
      <w:proofErr w:type="spellEnd"/>
      <w:r w:rsidRPr="00E73B7F">
        <w:rPr>
          <w:rFonts w:ascii="Arial" w:hAnsi="Arial" w:cs="Arial"/>
          <w:color w:val="000000" w:themeColor="text1"/>
          <w:sz w:val="20"/>
          <w:szCs w:val="20"/>
        </w:rPr>
        <w:t xml:space="preserve">. Data represent mean ± SEM. **p&lt;0.01, ***p&lt;0.001, ****p&lt;0.0001, two-way ANOVA. </w:t>
      </w:r>
    </w:p>
    <w:p w14:paraId="47FCBAFA" w14:textId="77777777" w:rsidR="003535EB" w:rsidRPr="00E73B7F" w:rsidRDefault="003535EB" w:rsidP="003535EB">
      <w:pPr>
        <w:spacing w:line="360" w:lineRule="auto"/>
        <w:jc w:val="both"/>
        <w:rPr>
          <w:rFonts w:ascii="Arial" w:hAnsi="Arial" w:cs="Arial"/>
          <w:color w:val="000000" w:themeColor="text1"/>
          <w:sz w:val="20"/>
          <w:szCs w:val="20"/>
        </w:rPr>
      </w:pPr>
      <w:r w:rsidRPr="00E73B7F">
        <w:rPr>
          <w:rFonts w:ascii="Arial" w:hAnsi="Arial" w:cs="Arial"/>
          <w:color w:val="000000" w:themeColor="text1"/>
          <w:sz w:val="20"/>
          <w:szCs w:val="20"/>
        </w:rPr>
        <w:t>(</w:t>
      </w:r>
      <w:r w:rsidRPr="00E73B7F">
        <w:rPr>
          <w:rFonts w:ascii="Arial" w:hAnsi="Arial" w:cs="Arial"/>
          <w:b/>
          <w:color w:val="000000" w:themeColor="text1"/>
          <w:sz w:val="20"/>
          <w:szCs w:val="20"/>
        </w:rPr>
        <w:t>M</w:t>
      </w:r>
      <w:r w:rsidRPr="00E73B7F">
        <w:rPr>
          <w:rFonts w:ascii="Arial" w:hAnsi="Arial" w:cs="Arial"/>
          <w:color w:val="000000" w:themeColor="text1"/>
          <w:sz w:val="20"/>
          <w:szCs w:val="20"/>
        </w:rPr>
        <w:t>) Liver tissues from DSS, or DSS+ neomycin (</w:t>
      </w:r>
      <w:proofErr w:type="spellStart"/>
      <w:r w:rsidRPr="00E73B7F">
        <w:rPr>
          <w:rFonts w:ascii="Arial" w:hAnsi="Arial" w:cs="Arial"/>
          <w:color w:val="000000" w:themeColor="text1"/>
          <w:sz w:val="20"/>
          <w:szCs w:val="20"/>
        </w:rPr>
        <w:t>DSS+Neo</w:t>
      </w:r>
      <w:proofErr w:type="spellEnd"/>
      <w:r w:rsidRPr="00E73B7F">
        <w:rPr>
          <w:rFonts w:ascii="Arial" w:hAnsi="Arial" w:cs="Arial"/>
          <w:color w:val="000000" w:themeColor="text1"/>
          <w:sz w:val="20"/>
          <w:szCs w:val="20"/>
        </w:rPr>
        <w:t xml:space="preserve">) treated mice were detected by immunochemistry of Ly6G. The representative IHC of Ly6G was shown. </w:t>
      </w:r>
    </w:p>
    <w:p w14:paraId="459DD10D" w14:textId="77777777" w:rsidR="003535EB" w:rsidRPr="00E73B7F" w:rsidRDefault="003535EB" w:rsidP="003535EB">
      <w:pPr>
        <w:spacing w:line="360" w:lineRule="auto"/>
        <w:jc w:val="both"/>
        <w:rPr>
          <w:rFonts w:ascii="Arial" w:hAnsi="Arial" w:cs="Arial"/>
          <w:color w:val="000000" w:themeColor="text1"/>
          <w:sz w:val="20"/>
          <w:szCs w:val="20"/>
        </w:rPr>
      </w:pPr>
      <w:r w:rsidRPr="00E73B7F">
        <w:rPr>
          <w:rFonts w:ascii="Arial" w:hAnsi="Arial" w:cs="Arial"/>
          <w:color w:val="000000" w:themeColor="text1"/>
          <w:sz w:val="20"/>
          <w:szCs w:val="20"/>
        </w:rPr>
        <w:t>(</w:t>
      </w:r>
      <w:r w:rsidRPr="00E73B7F">
        <w:rPr>
          <w:rFonts w:ascii="Arial" w:hAnsi="Arial" w:cs="Arial"/>
          <w:b/>
          <w:bCs/>
          <w:color w:val="000000" w:themeColor="text1"/>
          <w:sz w:val="20"/>
          <w:szCs w:val="20"/>
        </w:rPr>
        <w:t>N and O</w:t>
      </w:r>
      <w:r w:rsidRPr="00E73B7F">
        <w:rPr>
          <w:rFonts w:ascii="Arial" w:hAnsi="Arial" w:cs="Arial"/>
          <w:color w:val="000000" w:themeColor="text1"/>
          <w:sz w:val="20"/>
          <w:szCs w:val="20"/>
        </w:rPr>
        <w:t>) Oral gavage was performed on C57BL/6 germ free mice using stool from mice treated for 3 weeks with Vancomycin (</w:t>
      </w:r>
      <w:proofErr w:type="spellStart"/>
      <w:r w:rsidRPr="00E73B7F">
        <w:rPr>
          <w:rFonts w:ascii="Arial" w:hAnsi="Arial" w:cs="Arial"/>
          <w:color w:val="000000" w:themeColor="text1"/>
          <w:sz w:val="20"/>
          <w:szCs w:val="20"/>
        </w:rPr>
        <w:t>Vanco</w:t>
      </w:r>
      <w:proofErr w:type="spellEnd"/>
      <w:r w:rsidRPr="00E73B7F">
        <w:rPr>
          <w:rFonts w:ascii="Arial" w:hAnsi="Arial" w:cs="Arial"/>
          <w:color w:val="000000" w:themeColor="text1"/>
          <w:sz w:val="20"/>
          <w:szCs w:val="20"/>
        </w:rPr>
        <w:t xml:space="preserve"> Stool) or Neomycin (Neo Stool) (</w:t>
      </w:r>
      <w:r w:rsidRPr="00E73B7F">
        <w:rPr>
          <w:rFonts w:ascii="Arial" w:hAnsi="Arial" w:cs="Arial"/>
          <w:b/>
          <w:bCs/>
          <w:color w:val="000000" w:themeColor="text1"/>
          <w:sz w:val="20"/>
          <w:szCs w:val="20"/>
        </w:rPr>
        <w:t>N</w:t>
      </w:r>
      <w:r w:rsidRPr="00E73B7F">
        <w:rPr>
          <w:rFonts w:ascii="Arial" w:hAnsi="Arial" w:cs="Arial"/>
          <w:color w:val="000000" w:themeColor="text1"/>
          <w:sz w:val="20"/>
          <w:szCs w:val="20"/>
        </w:rPr>
        <w:t xml:space="preserve">). Two weeks later, the percentage of </w:t>
      </w:r>
      <w:r w:rsidRPr="00E73B7F">
        <w:rPr>
          <w:rFonts w:ascii="Arial" w:hAnsi="Arial" w:cs="Arial"/>
          <w:color w:val="000000" w:themeColor="text1"/>
          <w:sz w:val="20"/>
          <w:szCs w:val="20"/>
        </w:rPr>
        <w:lastRenderedPageBreak/>
        <w:t>M-MDSC, PMN-MDSC and MDSC in liver leukocytes were detected (</w:t>
      </w:r>
      <w:r w:rsidRPr="00E73B7F">
        <w:rPr>
          <w:rFonts w:ascii="Arial" w:hAnsi="Arial" w:cs="Arial"/>
          <w:b/>
          <w:bCs/>
          <w:color w:val="000000" w:themeColor="text1"/>
          <w:sz w:val="20"/>
          <w:szCs w:val="20"/>
        </w:rPr>
        <w:t>O</w:t>
      </w:r>
      <w:r w:rsidRPr="00E73B7F">
        <w:rPr>
          <w:rFonts w:ascii="Arial" w:hAnsi="Arial" w:cs="Arial"/>
          <w:color w:val="000000" w:themeColor="text1"/>
          <w:sz w:val="20"/>
          <w:szCs w:val="20"/>
        </w:rPr>
        <w:t xml:space="preserve">). n=5 for each group. Data represent mean ± SEM. **p&lt;0.01, ***p&lt;0.001, two-way ANOVA. </w:t>
      </w:r>
    </w:p>
    <w:p w14:paraId="5269C8EC" w14:textId="77777777" w:rsidR="003535EB" w:rsidRPr="00E73B7F" w:rsidRDefault="003535EB" w:rsidP="003535EB">
      <w:pPr>
        <w:spacing w:line="360" w:lineRule="auto"/>
        <w:jc w:val="both"/>
        <w:rPr>
          <w:rFonts w:ascii="Arial" w:hAnsi="Arial" w:cs="Arial"/>
          <w:color w:val="000000" w:themeColor="text1"/>
          <w:sz w:val="20"/>
          <w:szCs w:val="20"/>
        </w:rPr>
      </w:pPr>
      <w:r w:rsidRPr="00E73B7F">
        <w:rPr>
          <w:rFonts w:ascii="Arial" w:hAnsi="Arial" w:cs="Arial"/>
          <w:color w:val="000000" w:themeColor="text1"/>
          <w:sz w:val="20"/>
          <w:szCs w:val="20"/>
        </w:rPr>
        <w:t>(</w:t>
      </w:r>
      <w:r w:rsidRPr="00E73B7F">
        <w:rPr>
          <w:rFonts w:ascii="Arial" w:hAnsi="Arial" w:cs="Arial"/>
          <w:b/>
          <w:bCs/>
          <w:color w:val="000000" w:themeColor="text1"/>
          <w:sz w:val="20"/>
          <w:szCs w:val="20"/>
        </w:rPr>
        <w:t>P</w:t>
      </w:r>
      <w:r w:rsidRPr="00E73B7F">
        <w:rPr>
          <w:rFonts w:ascii="Arial" w:hAnsi="Arial" w:cs="Arial"/>
          <w:color w:val="000000" w:themeColor="text1"/>
          <w:sz w:val="20"/>
          <w:szCs w:val="20"/>
        </w:rPr>
        <w:t>) Oral gavage was performed on C57BL/6 germ free mice using stool from mice treated for 3 weeks with Vancomycin (</w:t>
      </w:r>
      <w:proofErr w:type="spellStart"/>
      <w:r w:rsidRPr="00E73B7F">
        <w:rPr>
          <w:rFonts w:ascii="Arial" w:hAnsi="Arial" w:cs="Arial"/>
          <w:color w:val="000000" w:themeColor="text1"/>
          <w:sz w:val="20"/>
          <w:szCs w:val="20"/>
        </w:rPr>
        <w:t>Vanco</w:t>
      </w:r>
      <w:proofErr w:type="spellEnd"/>
      <w:r w:rsidRPr="00E73B7F">
        <w:rPr>
          <w:rFonts w:ascii="Arial" w:hAnsi="Arial" w:cs="Arial"/>
          <w:color w:val="000000" w:themeColor="text1"/>
          <w:sz w:val="20"/>
          <w:szCs w:val="20"/>
        </w:rPr>
        <w:t xml:space="preserve"> Stool) or Neomycin (Neo Stool). The concentration of endotoxin in portal vein was detected. n=3 for each group. Data represent mean ± SEM. *p&lt;0.05, Student’s </w:t>
      </w:r>
      <w:r w:rsidRPr="00E73B7F">
        <w:rPr>
          <w:rFonts w:ascii="Arial" w:hAnsi="Arial" w:cs="Arial"/>
          <w:i/>
          <w:color w:val="000000" w:themeColor="text1"/>
          <w:sz w:val="20"/>
          <w:szCs w:val="20"/>
        </w:rPr>
        <w:t>t</w:t>
      </w:r>
      <w:r w:rsidRPr="00E73B7F">
        <w:rPr>
          <w:rFonts w:ascii="Arial" w:hAnsi="Arial" w:cs="Arial"/>
          <w:color w:val="000000" w:themeColor="text1"/>
          <w:sz w:val="20"/>
          <w:szCs w:val="20"/>
        </w:rPr>
        <w:t xml:space="preserve"> test.</w:t>
      </w:r>
    </w:p>
    <w:p w14:paraId="3F4DE079" w14:textId="77777777" w:rsidR="003535EB" w:rsidRPr="00E73B7F" w:rsidRDefault="003535EB" w:rsidP="003535EB">
      <w:pPr>
        <w:spacing w:line="360" w:lineRule="auto"/>
        <w:jc w:val="both"/>
        <w:rPr>
          <w:rFonts w:ascii="Arial" w:hAnsi="Arial" w:cs="Arial"/>
          <w:color w:val="000000" w:themeColor="text1"/>
          <w:sz w:val="20"/>
          <w:szCs w:val="20"/>
        </w:rPr>
      </w:pPr>
      <w:r w:rsidRPr="00E73B7F">
        <w:rPr>
          <w:rFonts w:ascii="Arial" w:hAnsi="Arial" w:cs="Arial"/>
          <w:color w:val="000000" w:themeColor="text1"/>
          <w:sz w:val="20"/>
          <w:szCs w:val="20"/>
        </w:rPr>
        <w:t>(</w:t>
      </w:r>
      <w:r w:rsidRPr="00E73B7F">
        <w:rPr>
          <w:rFonts w:ascii="Arial" w:hAnsi="Arial" w:cs="Arial"/>
          <w:b/>
          <w:bCs/>
          <w:color w:val="000000" w:themeColor="text1"/>
          <w:sz w:val="20"/>
          <w:szCs w:val="20"/>
        </w:rPr>
        <w:t>Q</w:t>
      </w:r>
      <w:r w:rsidRPr="00E73B7F">
        <w:rPr>
          <w:rFonts w:ascii="Arial" w:hAnsi="Arial" w:cs="Arial"/>
          <w:color w:val="000000" w:themeColor="text1"/>
          <w:sz w:val="20"/>
          <w:szCs w:val="20"/>
        </w:rPr>
        <w:t xml:space="preserve">) WT or </w:t>
      </w:r>
      <w:r w:rsidRPr="00E73B7F">
        <w:rPr>
          <w:rFonts w:ascii="Arial" w:hAnsi="Arial" w:cs="Arial"/>
          <w:i/>
          <w:iCs/>
          <w:color w:val="000000" w:themeColor="text1"/>
          <w:sz w:val="20"/>
          <w:szCs w:val="20"/>
        </w:rPr>
        <w:t>Tlr4</w:t>
      </w:r>
      <w:r w:rsidRPr="00E73B7F">
        <w:rPr>
          <w:rFonts w:ascii="Arial" w:hAnsi="Arial" w:cs="Arial"/>
          <w:i/>
          <w:iCs/>
          <w:color w:val="000000" w:themeColor="text1"/>
          <w:sz w:val="20"/>
          <w:szCs w:val="20"/>
          <w:vertAlign w:val="superscript"/>
        </w:rPr>
        <w:t>-/-</w:t>
      </w:r>
      <w:r w:rsidRPr="00E73B7F">
        <w:rPr>
          <w:rFonts w:ascii="Arial" w:hAnsi="Arial" w:cs="Arial"/>
          <w:color w:val="000000" w:themeColor="text1"/>
          <w:sz w:val="20"/>
          <w:szCs w:val="20"/>
        </w:rPr>
        <w:t xml:space="preserve"> C57BL/6 mice were </w:t>
      </w:r>
      <w:proofErr w:type="spellStart"/>
      <w:r w:rsidRPr="00E73B7F">
        <w:rPr>
          <w:rFonts w:ascii="Arial" w:hAnsi="Arial" w:cs="Arial"/>
          <w:color w:val="000000" w:themeColor="text1"/>
          <w:sz w:val="20"/>
          <w:szCs w:val="20"/>
        </w:rPr>
        <w:t>i.p.</w:t>
      </w:r>
      <w:proofErr w:type="spellEnd"/>
      <w:r w:rsidRPr="00E73B7F">
        <w:rPr>
          <w:rFonts w:ascii="Arial" w:hAnsi="Arial" w:cs="Arial"/>
          <w:color w:val="000000" w:themeColor="text1"/>
          <w:sz w:val="20"/>
          <w:szCs w:val="20"/>
        </w:rPr>
        <w:t xml:space="preserve"> injected with PBS or 2.5mg/kg LPS. Three days later, the percentage of M-MDSC, PMN-MDSC and total MDSC in leukocytes were determined. Data represent mean ± SEM. n=6 for PBS and 7 for LPS in WT mice, n=7 for PBS and LPS in </w:t>
      </w:r>
      <w:r w:rsidRPr="00E73B7F">
        <w:rPr>
          <w:rFonts w:ascii="Arial" w:hAnsi="Arial" w:cs="Arial"/>
          <w:i/>
          <w:iCs/>
          <w:color w:val="000000" w:themeColor="text1"/>
          <w:sz w:val="20"/>
          <w:szCs w:val="20"/>
        </w:rPr>
        <w:t>Tlr4</w:t>
      </w:r>
      <w:r w:rsidRPr="00E73B7F">
        <w:rPr>
          <w:rFonts w:ascii="Arial" w:hAnsi="Arial" w:cs="Arial"/>
          <w:i/>
          <w:iCs/>
          <w:color w:val="000000" w:themeColor="text1"/>
          <w:sz w:val="20"/>
          <w:szCs w:val="20"/>
          <w:vertAlign w:val="superscript"/>
        </w:rPr>
        <w:t xml:space="preserve">-/- </w:t>
      </w:r>
      <w:r w:rsidRPr="00E73B7F">
        <w:rPr>
          <w:rFonts w:ascii="Arial" w:hAnsi="Arial" w:cs="Arial"/>
          <w:color w:val="000000" w:themeColor="text1"/>
          <w:sz w:val="20"/>
          <w:szCs w:val="20"/>
        </w:rPr>
        <w:t xml:space="preserve">mice. ns, no significant. ****p&lt;0.0001, two-way ANOVA. </w:t>
      </w:r>
    </w:p>
    <w:p w14:paraId="29A95A86" w14:textId="77777777" w:rsidR="003535EB" w:rsidRPr="00E73B7F" w:rsidRDefault="003535EB" w:rsidP="003535EB">
      <w:pPr>
        <w:spacing w:line="360" w:lineRule="auto"/>
        <w:jc w:val="both"/>
        <w:rPr>
          <w:rFonts w:ascii="Arial" w:hAnsi="Arial" w:cs="Arial"/>
          <w:color w:val="000000" w:themeColor="text1"/>
          <w:sz w:val="20"/>
          <w:szCs w:val="20"/>
        </w:rPr>
      </w:pPr>
      <w:r w:rsidRPr="00E73B7F">
        <w:rPr>
          <w:rFonts w:ascii="Arial" w:hAnsi="Arial" w:cs="Arial"/>
          <w:color w:val="000000" w:themeColor="text1"/>
          <w:sz w:val="20"/>
          <w:szCs w:val="20"/>
        </w:rPr>
        <w:t>(</w:t>
      </w:r>
      <w:r w:rsidRPr="00E73B7F">
        <w:rPr>
          <w:rFonts w:ascii="Arial" w:hAnsi="Arial" w:cs="Arial"/>
          <w:b/>
          <w:bCs/>
          <w:color w:val="000000" w:themeColor="text1"/>
          <w:sz w:val="20"/>
          <w:szCs w:val="20"/>
        </w:rPr>
        <w:t>R</w:t>
      </w:r>
      <w:r w:rsidRPr="00E73B7F">
        <w:rPr>
          <w:rFonts w:ascii="Arial" w:hAnsi="Arial" w:cs="Arial"/>
          <w:color w:val="000000" w:themeColor="text1"/>
          <w:sz w:val="20"/>
          <w:szCs w:val="20"/>
        </w:rPr>
        <w:t xml:space="preserve">) WT or </w:t>
      </w:r>
      <w:r w:rsidRPr="00E73B7F">
        <w:rPr>
          <w:rFonts w:ascii="Arial" w:hAnsi="Arial" w:cs="Arial"/>
          <w:i/>
          <w:iCs/>
          <w:color w:val="000000" w:themeColor="text1"/>
          <w:sz w:val="20"/>
          <w:szCs w:val="20"/>
        </w:rPr>
        <w:t>Tlr4</w:t>
      </w:r>
      <w:r w:rsidRPr="00E73B7F">
        <w:rPr>
          <w:rFonts w:ascii="Arial" w:hAnsi="Arial" w:cs="Arial"/>
          <w:i/>
          <w:iCs/>
          <w:color w:val="000000" w:themeColor="text1"/>
          <w:sz w:val="20"/>
          <w:szCs w:val="20"/>
          <w:vertAlign w:val="superscript"/>
        </w:rPr>
        <w:t>-/-</w:t>
      </w:r>
      <w:r w:rsidRPr="00E73B7F">
        <w:rPr>
          <w:rFonts w:ascii="Arial" w:hAnsi="Arial" w:cs="Arial"/>
          <w:color w:val="000000" w:themeColor="text1"/>
          <w:sz w:val="20"/>
          <w:szCs w:val="20"/>
        </w:rPr>
        <w:t xml:space="preserve"> C57BL/6 mice were treated with H</w:t>
      </w:r>
      <w:r w:rsidRPr="00E73B7F">
        <w:rPr>
          <w:rFonts w:ascii="Arial" w:hAnsi="Arial" w:cs="Arial"/>
          <w:color w:val="000000" w:themeColor="text1"/>
          <w:sz w:val="20"/>
          <w:szCs w:val="20"/>
          <w:vertAlign w:val="subscript"/>
        </w:rPr>
        <w:t>2</w:t>
      </w:r>
      <w:r w:rsidRPr="00E73B7F">
        <w:rPr>
          <w:rFonts w:ascii="Arial" w:hAnsi="Arial" w:cs="Arial"/>
          <w:color w:val="000000" w:themeColor="text1"/>
          <w:sz w:val="20"/>
          <w:szCs w:val="20"/>
        </w:rPr>
        <w:t>O or DSS for 1 cycle. The percentage of M-MDSC, PMN-MDSC and total MDSC in leukocytes were determined.  Data represent mean ± SEM. n=7 for H</w:t>
      </w:r>
      <w:r w:rsidRPr="00E73B7F">
        <w:rPr>
          <w:rFonts w:ascii="Arial" w:hAnsi="Arial" w:cs="Arial"/>
          <w:color w:val="000000" w:themeColor="text1"/>
          <w:sz w:val="20"/>
          <w:szCs w:val="20"/>
          <w:vertAlign w:val="subscript"/>
        </w:rPr>
        <w:t>2</w:t>
      </w:r>
      <w:r w:rsidRPr="00E73B7F">
        <w:rPr>
          <w:rFonts w:ascii="Arial" w:hAnsi="Arial" w:cs="Arial"/>
          <w:color w:val="000000" w:themeColor="text1"/>
          <w:sz w:val="20"/>
          <w:szCs w:val="20"/>
        </w:rPr>
        <w:t>O and DSS in WT mice, n= 7 for</w:t>
      </w:r>
      <w:r w:rsidRPr="00E73B7F">
        <w:rPr>
          <w:rFonts w:ascii="Arial" w:hAnsi="Arial" w:cs="Arial"/>
          <w:color w:val="000000" w:themeColor="text1"/>
          <w:sz w:val="20"/>
          <w:szCs w:val="20"/>
          <w:vertAlign w:val="superscript"/>
        </w:rPr>
        <w:t xml:space="preserve"> </w:t>
      </w:r>
      <w:r w:rsidRPr="00E73B7F">
        <w:rPr>
          <w:rFonts w:ascii="Arial" w:hAnsi="Arial" w:cs="Arial"/>
          <w:color w:val="000000" w:themeColor="text1"/>
          <w:sz w:val="20"/>
          <w:szCs w:val="20"/>
        </w:rPr>
        <w:t>H</w:t>
      </w:r>
      <w:r w:rsidRPr="00E73B7F">
        <w:rPr>
          <w:rFonts w:ascii="Arial" w:hAnsi="Arial" w:cs="Arial"/>
          <w:color w:val="000000" w:themeColor="text1"/>
          <w:sz w:val="20"/>
          <w:szCs w:val="20"/>
          <w:vertAlign w:val="subscript"/>
        </w:rPr>
        <w:t>2</w:t>
      </w:r>
      <w:r w:rsidRPr="00E73B7F">
        <w:rPr>
          <w:rFonts w:ascii="Arial" w:hAnsi="Arial" w:cs="Arial"/>
          <w:color w:val="000000" w:themeColor="text1"/>
          <w:sz w:val="20"/>
          <w:szCs w:val="20"/>
        </w:rPr>
        <w:t xml:space="preserve">O and 8 for DSS in </w:t>
      </w:r>
      <w:r w:rsidRPr="00E73B7F">
        <w:rPr>
          <w:rFonts w:ascii="Arial" w:hAnsi="Arial" w:cs="Arial"/>
          <w:i/>
          <w:iCs/>
          <w:color w:val="000000" w:themeColor="text1"/>
          <w:sz w:val="20"/>
          <w:szCs w:val="20"/>
        </w:rPr>
        <w:t>Tlr4</w:t>
      </w:r>
      <w:r w:rsidRPr="00E73B7F">
        <w:rPr>
          <w:rFonts w:ascii="Arial" w:hAnsi="Arial" w:cs="Arial"/>
          <w:i/>
          <w:iCs/>
          <w:color w:val="000000" w:themeColor="text1"/>
          <w:sz w:val="20"/>
          <w:szCs w:val="20"/>
          <w:vertAlign w:val="superscript"/>
        </w:rPr>
        <w:t xml:space="preserve">-/- </w:t>
      </w:r>
      <w:r w:rsidRPr="00E73B7F">
        <w:rPr>
          <w:rFonts w:ascii="Arial" w:hAnsi="Arial" w:cs="Arial"/>
          <w:color w:val="000000" w:themeColor="text1"/>
          <w:sz w:val="20"/>
          <w:szCs w:val="20"/>
        </w:rPr>
        <w:t xml:space="preserve">mice. ns, no significant. ****p&lt;0.0001, two-way ANOVA. </w:t>
      </w:r>
    </w:p>
    <w:p w14:paraId="610294FA" w14:textId="77777777" w:rsidR="003535EB" w:rsidRPr="00E73B7F" w:rsidRDefault="003535EB" w:rsidP="003535EB">
      <w:pPr>
        <w:spacing w:line="360" w:lineRule="auto"/>
        <w:jc w:val="both"/>
        <w:rPr>
          <w:rFonts w:ascii="Arial" w:hAnsi="Arial" w:cs="Arial"/>
          <w:color w:val="000000" w:themeColor="text1"/>
          <w:sz w:val="20"/>
          <w:szCs w:val="20"/>
        </w:rPr>
      </w:pPr>
    </w:p>
    <w:p w14:paraId="3B1A33E8" w14:textId="7A717038" w:rsidR="003535EB" w:rsidRPr="00E73B7F" w:rsidRDefault="00E73B7F" w:rsidP="003535EB">
      <w:pPr>
        <w:spacing w:line="360" w:lineRule="auto"/>
        <w:jc w:val="both"/>
        <w:rPr>
          <w:rFonts w:ascii="Arial" w:hAnsi="Arial" w:cs="Arial"/>
          <w:color w:val="000000" w:themeColor="text1"/>
          <w:sz w:val="20"/>
          <w:szCs w:val="20"/>
        </w:rPr>
      </w:pPr>
      <w:r w:rsidRPr="00E73B7F">
        <w:rPr>
          <w:rFonts w:ascii="Arial" w:hAnsi="Arial" w:cs="Arial"/>
          <w:noProof/>
          <w:color w:val="000000" w:themeColor="text1"/>
          <w:sz w:val="20"/>
          <w:szCs w:val="20"/>
        </w:rPr>
        <w:lastRenderedPageBreak/>
        <w:drawing>
          <wp:inline distT="0" distB="0" distL="0" distR="0" wp14:anchorId="0C55411C" wp14:editId="36BFE2ED">
            <wp:extent cx="5943600" cy="708977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7089775"/>
                    </a:xfrm>
                    <a:prstGeom prst="rect">
                      <a:avLst/>
                    </a:prstGeom>
                  </pic:spPr>
                </pic:pic>
              </a:graphicData>
            </a:graphic>
          </wp:inline>
        </w:drawing>
      </w:r>
    </w:p>
    <w:p w14:paraId="6CEB082E" w14:textId="77777777" w:rsidR="00E73B7F" w:rsidRPr="00E73B7F" w:rsidRDefault="00E73B7F" w:rsidP="003535EB">
      <w:pPr>
        <w:spacing w:line="360" w:lineRule="auto"/>
        <w:jc w:val="both"/>
        <w:rPr>
          <w:rFonts w:ascii="Arial" w:hAnsi="Arial" w:cs="Arial"/>
          <w:color w:val="000000" w:themeColor="text1"/>
          <w:sz w:val="20"/>
          <w:szCs w:val="20"/>
        </w:rPr>
      </w:pPr>
    </w:p>
    <w:p w14:paraId="77461322" w14:textId="77777777" w:rsidR="003535EB" w:rsidRPr="00E73B7F" w:rsidRDefault="003535EB" w:rsidP="003535EB">
      <w:pPr>
        <w:spacing w:line="360" w:lineRule="auto"/>
        <w:jc w:val="both"/>
        <w:rPr>
          <w:rFonts w:ascii="Arial" w:hAnsi="Arial" w:cs="Arial"/>
          <w:color w:val="000000" w:themeColor="text1"/>
          <w:sz w:val="20"/>
          <w:szCs w:val="20"/>
        </w:rPr>
      </w:pPr>
      <w:r w:rsidRPr="00E73B7F">
        <w:rPr>
          <w:rFonts w:ascii="Arial" w:hAnsi="Arial" w:cs="Arial"/>
          <w:b/>
          <w:bCs/>
          <w:color w:val="000000" w:themeColor="text1"/>
          <w:sz w:val="20"/>
          <w:szCs w:val="20"/>
        </w:rPr>
        <w:t>Figure S4</w:t>
      </w:r>
      <w:r w:rsidRPr="00E73B7F">
        <w:rPr>
          <w:rFonts w:ascii="Arial" w:hAnsi="Arial" w:cs="Arial"/>
          <w:color w:val="000000" w:themeColor="text1"/>
          <w:sz w:val="20"/>
          <w:szCs w:val="20"/>
        </w:rPr>
        <w:t xml:space="preserve">.  Hepatocytes mediate MDSC accumulation via LPS/TLR4/CXCL1. </w:t>
      </w:r>
    </w:p>
    <w:p w14:paraId="565906F9" w14:textId="77777777" w:rsidR="003535EB" w:rsidRPr="00E73B7F" w:rsidRDefault="003535EB" w:rsidP="003535EB">
      <w:pPr>
        <w:spacing w:line="360" w:lineRule="auto"/>
        <w:jc w:val="both"/>
        <w:rPr>
          <w:rFonts w:ascii="Arial" w:hAnsi="Arial" w:cs="Arial"/>
          <w:color w:val="000000" w:themeColor="text1"/>
          <w:sz w:val="20"/>
          <w:szCs w:val="20"/>
        </w:rPr>
      </w:pPr>
      <w:r w:rsidRPr="00E73B7F">
        <w:rPr>
          <w:rFonts w:ascii="Arial" w:hAnsi="Arial" w:cs="Arial"/>
          <w:color w:val="000000" w:themeColor="text1"/>
          <w:sz w:val="20"/>
          <w:szCs w:val="20"/>
        </w:rPr>
        <w:t>(</w:t>
      </w:r>
      <w:r w:rsidRPr="00E73B7F">
        <w:rPr>
          <w:rFonts w:ascii="Arial" w:hAnsi="Arial" w:cs="Arial"/>
          <w:b/>
          <w:bCs/>
          <w:color w:val="000000" w:themeColor="text1"/>
          <w:sz w:val="20"/>
          <w:szCs w:val="20"/>
        </w:rPr>
        <w:t>A</w:t>
      </w:r>
      <w:r w:rsidRPr="00E73B7F">
        <w:rPr>
          <w:rFonts w:ascii="Arial" w:hAnsi="Arial" w:cs="Arial"/>
          <w:color w:val="000000" w:themeColor="text1"/>
          <w:sz w:val="20"/>
          <w:szCs w:val="20"/>
        </w:rPr>
        <w:t xml:space="preserve"> and </w:t>
      </w:r>
      <w:r w:rsidRPr="00E73B7F">
        <w:rPr>
          <w:rFonts w:ascii="Arial" w:hAnsi="Arial" w:cs="Arial"/>
          <w:b/>
          <w:bCs/>
          <w:color w:val="000000" w:themeColor="text1"/>
          <w:sz w:val="20"/>
          <w:szCs w:val="20"/>
        </w:rPr>
        <w:t>B</w:t>
      </w:r>
      <w:r w:rsidRPr="00E73B7F">
        <w:rPr>
          <w:rFonts w:ascii="Arial" w:hAnsi="Arial" w:cs="Arial"/>
          <w:color w:val="000000" w:themeColor="text1"/>
          <w:sz w:val="20"/>
          <w:szCs w:val="20"/>
        </w:rPr>
        <w:t>) The percentage of CXCR2</w:t>
      </w:r>
      <w:r w:rsidRPr="00E73B7F">
        <w:rPr>
          <w:rFonts w:ascii="Arial" w:hAnsi="Arial" w:cs="Arial"/>
          <w:color w:val="000000" w:themeColor="text1"/>
          <w:sz w:val="20"/>
          <w:szCs w:val="20"/>
          <w:vertAlign w:val="superscript"/>
        </w:rPr>
        <w:t>+</w:t>
      </w:r>
      <w:r w:rsidRPr="00E73B7F">
        <w:rPr>
          <w:rFonts w:ascii="Arial" w:hAnsi="Arial" w:cs="Arial"/>
          <w:color w:val="000000" w:themeColor="text1"/>
          <w:sz w:val="20"/>
          <w:szCs w:val="20"/>
        </w:rPr>
        <w:t xml:space="preserve"> cells in leukocytes of C57BL/6 mice of Ctr and 2 weeks after BDL(</w:t>
      </w:r>
      <w:r w:rsidRPr="00E73B7F">
        <w:rPr>
          <w:rFonts w:ascii="Arial" w:hAnsi="Arial" w:cs="Arial"/>
          <w:b/>
          <w:bCs/>
          <w:color w:val="000000" w:themeColor="text1"/>
          <w:sz w:val="20"/>
          <w:szCs w:val="20"/>
        </w:rPr>
        <w:t>A</w:t>
      </w:r>
      <w:r w:rsidRPr="00E73B7F">
        <w:rPr>
          <w:rFonts w:ascii="Arial" w:hAnsi="Arial" w:cs="Arial"/>
          <w:color w:val="000000" w:themeColor="text1"/>
          <w:sz w:val="20"/>
          <w:szCs w:val="20"/>
        </w:rPr>
        <w:t>) or C57BL/6 mice treated with H</w:t>
      </w:r>
      <w:r w:rsidRPr="00E73B7F">
        <w:rPr>
          <w:rFonts w:ascii="Arial" w:hAnsi="Arial" w:cs="Arial"/>
          <w:color w:val="000000" w:themeColor="text1"/>
          <w:sz w:val="20"/>
          <w:szCs w:val="20"/>
          <w:vertAlign w:val="subscript"/>
        </w:rPr>
        <w:t>2</w:t>
      </w:r>
      <w:r w:rsidRPr="00E73B7F">
        <w:rPr>
          <w:rFonts w:ascii="Arial" w:hAnsi="Arial" w:cs="Arial"/>
          <w:color w:val="000000" w:themeColor="text1"/>
          <w:sz w:val="20"/>
          <w:szCs w:val="20"/>
        </w:rPr>
        <w:t>O or 1 cycle DSS (</w:t>
      </w:r>
      <w:r w:rsidRPr="00E73B7F">
        <w:rPr>
          <w:rFonts w:ascii="Arial" w:hAnsi="Arial" w:cs="Arial"/>
          <w:b/>
          <w:bCs/>
          <w:color w:val="000000" w:themeColor="text1"/>
          <w:sz w:val="20"/>
          <w:szCs w:val="20"/>
        </w:rPr>
        <w:t>B</w:t>
      </w:r>
      <w:r w:rsidRPr="00E73B7F">
        <w:rPr>
          <w:rFonts w:ascii="Arial" w:hAnsi="Arial" w:cs="Arial"/>
          <w:color w:val="000000" w:themeColor="text1"/>
          <w:sz w:val="20"/>
          <w:szCs w:val="20"/>
        </w:rPr>
        <w:t>). Data represent mean ± SEM. n=4 for Ctr and BDL, 5 for H</w:t>
      </w:r>
      <w:r w:rsidRPr="00E73B7F">
        <w:rPr>
          <w:rFonts w:ascii="Arial" w:hAnsi="Arial" w:cs="Arial"/>
          <w:color w:val="000000" w:themeColor="text1"/>
          <w:sz w:val="20"/>
          <w:szCs w:val="20"/>
          <w:vertAlign w:val="subscript"/>
        </w:rPr>
        <w:t>2</w:t>
      </w:r>
      <w:r w:rsidRPr="00E73B7F">
        <w:rPr>
          <w:rFonts w:ascii="Arial" w:hAnsi="Arial" w:cs="Arial"/>
          <w:color w:val="000000" w:themeColor="text1"/>
          <w:sz w:val="20"/>
          <w:szCs w:val="20"/>
        </w:rPr>
        <w:t xml:space="preserve">O and DSS. ***p&lt;0.001, Student’s </w:t>
      </w:r>
      <w:r w:rsidRPr="00E73B7F">
        <w:rPr>
          <w:rFonts w:ascii="Arial" w:hAnsi="Arial" w:cs="Arial"/>
          <w:i/>
          <w:color w:val="000000" w:themeColor="text1"/>
          <w:sz w:val="20"/>
          <w:szCs w:val="20"/>
        </w:rPr>
        <w:t>t</w:t>
      </w:r>
      <w:r w:rsidRPr="00E73B7F">
        <w:rPr>
          <w:rFonts w:ascii="Arial" w:hAnsi="Arial" w:cs="Arial"/>
          <w:color w:val="000000" w:themeColor="text1"/>
          <w:sz w:val="20"/>
          <w:szCs w:val="20"/>
        </w:rPr>
        <w:t xml:space="preserve"> test. </w:t>
      </w:r>
    </w:p>
    <w:p w14:paraId="306D4F9B" w14:textId="77777777" w:rsidR="003535EB" w:rsidRPr="00E73B7F" w:rsidRDefault="003535EB" w:rsidP="003535EB">
      <w:pPr>
        <w:spacing w:line="360" w:lineRule="auto"/>
        <w:jc w:val="both"/>
        <w:rPr>
          <w:rFonts w:ascii="Arial" w:hAnsi="Arial" w:cs="Arial"/>
          <w:color w:val="000000" w:themeColor="text1"/>
          <w:sz w:val="20"/>
          <w:szCs w:val="20"/>
        </w:rPr>
      </w:pPr>
      <w:r w:rsidRPr="00E73B7F">
        <w:rPr>
          <w:rFonts w:ascii="Arial" w:hAnsi="Arial" w:cs="Arial"/>
          <w:color w:val="000000" w:themeColor="text1"/>
          <w:sz w:val="20"/>
          <w:szCs w:val="20"/>
        </w:rPr>
        <w:lastRenderedPageBreak/>
        <w:t>(</w:t>
      </w:r>
      <w:r w:rsidRPr="00E73B7F">
        <w:rPr>
          <w:rFonts w:ascii="Arial" w:hAnsi="Arial" w:cs="Arial"/>
          <w:b/>
          <w:bCs/>
          <w:color w:val="000000" w:themeColor="text1"/>
          <w:sz w:val="20"/>
          <w:szCs w:val="20"/>
        </w:rPr>
        <w:t>C</w:t>
      </w:r>
      <w:r w:rsidRPr="00E73B7F">
        <w:rPr>
          <w:rFonts w:ascii="Arial" w:hAnsi="Arial" w:cs="Arial"/>
          <w:color w:val="000000" w:themeColor="text1"/>
          <w:sz w:val="20"/>
          <w:szCs w:val="20"/>
        </w:rPr>
        <w:t>) Representative M-MDSC and PMN- MDSC staining in hepatic CXCR2</w:t>
      </w:r>
      <w:r w:rsidRPr="00E73B7F">
        <w:rPr>
          <w:rFonts w:ascii="Arial" w:hAnsi="Arial" w:cs="Arial"/>
          <w:color w:val="000000" w:themeColor="text1"/>
          <w:sz w:val="20"/>
          <w:szCs w:val="20"/>
          <w:vertAlign w:val="superscript"/>
        </w:rPr>
        <w:t>+</w:t>
      </w:r>
      <w:r w:rsidRPr="00E73B7F">
        <w:rPr>
          <w:rFonts w:ascii="Arial" w:hAnsi="Arial" w:cs="Arial"/>
          <w:color w:val="000000" w:themeColor="text1"/>
          <w:sz w:val="20"/>
          <w:szCs w:val="20"/>
        </w:rPr>
        <w:t xml:space="preserve"> cells after 1 cycle H</w:t>
      </w:r>
      <w:r w:rsidRPr="00E73B7F">
        <w:rPr>
          <w:rFonts w:ascii="Arial" w:hAnsi="Arial" w:cs="Arial"/>
          <w:color w:val="000000" w:themeColor="text1"/>
          <w:sz w:val="20"/>
          <w:szCs w:val="20"/>
          <w:vertAlign w:val="subscript"/>
        </w:rPr>
        <w:t>2</w:t>
      </w:r>
      <w:r w:rsidRPr="00E73B7F">
        <w:rPr>
          <w:rFonts w:ascii="Arial" w:hAnsi="Arial" w:cs="Arial"/>
          <w:color w:val="000000" w:themeColor="text1"/>
          <w:sz w:val="20"/>
          <w:szCs w:val="20"/>
        </w:rPr>
        <w:t xml:space="preserve">O or DSS treatment in C57BL/6 mice. </w:t>
      </w:r>
    </w:p>
    <w:p w14:paraId="6C93BC48" w14:textId="77777777" w:rsidR="003535EB" w:rsidRPr="00E73B7F" w:rsidRDefault="003535EB" w:rsidP="003535EB">
      <w:pPr>
        <w:spacing w:line="360" w:lineRule="auto"/>
        <w:jc w:val="both"/>
        <w:rPr>
          <w:rFonts w:ascii="Arial" w:hAnsi="Arial" w:cs="Arial"/>
          <w:color w:val="000000" w:themeColor="text1"/>
          <w:sz w:val="20"/>
          <w:szCs w:val="20"/>
        </w:rPr>
      </w:pPr>
      <w:r w:rsidRPr="00E73B7F">
        <w:rPr>
          <w:rFonts w:ascii="Arial" w:hAnsi="Arial" w:cs="Arial"/>
          <w:color w:val="000000" w:themeColor="text1"/>
          <w:sz w:val="20"/>
          <w:szCs w:val="20"/>
        </w:rPr>
        <w:t>(</w:t>
      </w:r>
      <w:r w:rsidRPr="00E73B7F">
        <w:rPr>
          <w:rFonts w:ascii="Arial" w:hAnsi="Arial" w:cs="Arial"/>
          <w:b/>
          <w:bCs/>
          <w:color w:val="000000" w:themeColor="text1"/>
          <w:sz w:val="20"/>
          <w:szCs w:val="20"/>
        </w:rPr>
        <w:t>D</w:t>
      </w:r>
      <w:r w:rsidRPr="00E73B7F">
        <w:rPr>
          <w:rFonts w:ascii="Arial" w:hAnsi="Arial" w:cs="Arial"/>
          <w:color w:val="000000" w:themeColor="text1"/>
          <w:sz w:val="20"/>
          <w:szCs w:val="20"/>
        </w:rPr>
        <w:t xml:space="preserve"> and </w:t>
      </w:r>
      <w:r w:rsidRPr="00E73B7F">
        <w:rPr>
          <w:rFonts w:ascii="Arial" w:hAnsi="Arial" w:cs="Arial"/>
          <w:b/>
          <w:bCs/>
          <w:color w:val="000000" w:themeColor="text1"/>
          <w:sz w:val="20"/>
          <w:szCs w:val="20"/>
        </w:rPr>
        <w:t>E</w:t>
      </w:r>
      <w:r w:rsidRPr="00E73B7F">
        <w:rPr>
          <w:rFonts w:ascii="Arial" w:hAnsi="Arial" w:cs="Arial"/>
          <w:color w:val="000000" w:themeColor="text1"/>
          <w:sz w:val="20"/>
          <w:szCs w:val="20"/>
        </w:rPr>
        <w:t>) CXCL1 mRNA expression levels were detected in liver tissues of 10 weeks old FVBN/J (Ctr) and Mdr2</w:t>
      </w:r>
      <w:r w:rsidRPr="00E73B7F">
        <w:rPr>
          <w:rFonts w:ascii="Arial" w:hAnsi="Arial" w:cs="Arial"/>
          <w:color w:val="000000" w:themeColor="text1"/>
          <w:sz w:val="20"/>
          <w:szCs w:val="20"/>
          <w:vertAlign w:val="superscript"/>
        </w:rPr>
        <w:t xml:space="preserve">-/- </w:t>
      </w:r>
      <w:r w:rsidRPr="00E73B7F">
        <w:rPr>
          <w:rFonts w:ascii="Arial" w:hAnsi="Arial" w:cs="Arial"/>
          <w:color w:val="000000" w:themeColor="text1"/>
          <w:sz w:val="20"/>
          <w:szCs w:val="20"/>
        </w:rPr>
        <w:t>(</w:t>
      </w:r>
      <w:r w:rsidRPr="00E73B7F">
        <w:rPr>
          <w:rFonts w:ascii="Arial" w:hAnsi="Arial" w:cs="Arial"/>
          <w:b/>
          <w:bCs/>
          <w:color w:val="000000" w:themeColor="text1"/>
          <w:sz w:val="20"/>
          <w:szCs w:val="20"/>
        </w:rPr>
        <w:t>D</w:t>
      </w:r>
      <w:r w:rsidRPr="00E73B7F">
        <w:rPr>
          <w:rFonts w:ascii="Arial" w:hAnsi="Arial" w:cs="Arial"/>
          <w:color w:val="000000" w:themeColor="text1"/>
          <w:sz w:val="20"/>
          <w:szCs w:val="20"/>
        </w:rPr>
        <w:t>), or C57BL/6 mice treated with H</w:t>
      </w:r>
      <w:r w:rsidRPr="00E73B7F">
        <w:rPr>
          <w:rFonts w:ascii="Arial" w:hAnsi="Arial" w:cs="Arial"/>
          <w:color w:val="000000" w:themeColor="text1"/>
          <w:sz w:val="20"/>
          <w:szCs w:val="20"/>
          <w:vertAlign w:val="subscript"/>
        </w:rPr>
        <w:t>2</w:t>
      </w:r>
      <w:r w:rsidRPr="00E73B7F">
        <w:rPr>
          <w:rFonts w:ascii="Arial" w:hAnsi="Arial" w:cs="Arial"/>
          <w:color w:val="000000" w:themeColor="text1"/>
          <w:sz w:val="20"/>
          <w:szCs w:val="20"/>
        </w:rPr>
        <w:t>O or 1 cycle DSS (</w:t>
      </w:r>
      <w:r w:rsidRPr="00E73B7F">
        <w:rPr>
          <w:rFonts w:ascii="Arial" w:hAnsi="Arial" w:cs="Arial"/>
          <w:b/>
          <w:bCs/>
          <w:color w:val="000000" w:themeColor="text1"/>
          <w:sz w:val="20"/>
          <w:szCs w:val="20"/>
        </w:rPr>
        <w:t>E</w:t>
      </w:r>
      <w:r w:rsidRPr="00E73B7F">
        <w:rPr>
          <w:rFonts w:ascii="Arial" w:hAnsi="Arial" w:cs="Arial"/>
          <w:color w:val="000000" w:themeColor="text1"/>
          <w:sz w:val="20"/>
          <w:szCs w:val="20"/>
        </w:rPr>
        <w:t xml:space="preserve">). n=4 for Ctr, 5 for Mdr2 </w:t>
      </w:r>
      <w:r w:rsidRPr="00E73B7F">
        <w:rPr>
          <w:rFonts w:ascii="Arial" w:hAnsi="Arial" w:cs="Arial"/>
          <w:color w:val="000000" w:themeColor="text1"/>
          <w:sz w:val="20"/>
          <w:szCs w:val="20"/>
          <w:vertAlign w:val="superscript"/>
        </w:rPr>
        <w:t>-/-</w:t>
      </w:r>
      <w:r w:rsidRPr="00E73B7F">
        <w:rPr>
          <w:rFonts w:ascii="Arial" w:hAnsi="Arial" w:cs="Arial"/>
          <w:color w:val="000000" w:themeColor="text1"/>
          <w:sz w:val="20"/>
          <w:szCs w:val="20"/>
        </w:rPr>
        <w:t>, 14 for H</w:t>
      </w:r>
      <w:r w:rsidRPr="00E73B7F">
        <w:rPr>
          <w:rFonts w:ascii="Arial" w:hAnsi="Arial" w:cs="Arial"/>
          <w:color w:val="000000" w:themeColor="text1"/>
          <w:sz w:val="20"/>
          <w:szCs w:val="20"/>
          <w:vertAlign w:val="subscript"/>
        </w:rPr>
        <w:t>2</w:t>
      </w:r>
      <w:r w:rsidRPr="00E73B7F">
        <w:rPr>
          <w:rFonts w:ascii="Arial" w:hAnsi="Arial" w:cs="Arial"/>
          <w:color w:val="000000" w:themeColor="text1"/>
          <w:sz w:val="20"/>
          <w:szCs w:val="20"/>
        </w:rPr>
        <w:t xml:space="preserve">O and DSS. Data represent mean ± SEM. **p&lt;0.01, ****p&lt;0.0001, Student’s t test. </w:t>
      </w:r>
    </w:p>
    <w:p w14:paraId="7AAB013A" w14:textId="77777777" w:rsidR="003535EB" w:rsidRPr="00E73B7F" w:rsidRDefault="003535EB" w:rsidP="003535EB">
      <w:pPr>
        <w:spacing w:line="360" w:lineRule="auto"/>
        <w:jc w:val="both"/>
        <w:rPr>
          <w:rFonts w:ascii="Arial" w:hAnsi="Arial" w:cs="Arial"/>
          <w:color w:val="000000" w:themeColor="text1"/>
          <w:sz w:val="20"/>
          <w:szCs w:val="20"/>
        </w:rPr>
      </w:pPr>
      <w:r w:rsidRPr="00E73B7F">
        <w:rPr>
          <w:rFonts w:ascii="Arial" w:hAnsi="Arial" w:cs="Arial"/>
          <w:color w:val="000000" w:themeColor="text1"/>
          <w:sz w:val="20"/>
          <w:szCs w:val="20"/>
        </w:rPr>
        <w:t>(</w:t>
      </w:r>
      <w:r w:rsidRPr="00E73B7F">
        <w:rPr>
          <w:rFonts w:ascii="Arial" w:hAnsi="Arial" w:cs="Arial"/>
          <w:b/>
          <w:bCs/>
          <w:color w:val="000000" w:themeColor="text1"/>
          <w:sz w:val="20"/>
          <w:szCs w:val="20"/>
        </w:rPr>
        <w:t>F</w:t>
      </w:r>
      <w:r w:rsidRPr="00E73B7F">
        <w:rPr>
          <w:rFonts w:ascii="Arial" w:hAnsi="Arial" w:cs="Arial"/>
          <w:color w:val="000000" w:themeColor="text1"/>
          <w:sz w:val="20"/>
          <w:szCs w:val="20"/>
        </w:rPr>
        <w:t xml:space="preserve">) Hydrodynamic injection of PBS or CXCL1 overexpression plasmid (Cat no: MG50150-UT, Sino Biological) was performed on C57BL/6 mice. The percentage of PMN-MDSC in leukocytes was detected 7 days later. n=5 for PBS and CXCL1. Data represent mean ± SEM. **p&lt;0.01, Student’s </w:t>
      </w:r>
      <w:r w:rsidRPr="00E73B7F">
        <w:rPr>
          <w:rFonts w:ascii="Arial" w:hAnsi="Arial" w:cs="Arial"/>
          <w:i/>
          <w:color w:val="000000" w:themeColor="text1"/>
          <w:sz w:val="20"/>
          <w:szCs w:val="20"/>
        </w:rPr>
        <w:t>t</w:t>
      </w:r>
      <w:r w:rsidRPr="00E73B7F">
        <w:rPr>
          <w:rFonts w:ascii="Arial" w:hAnsi="Arial" w:cs="Arial"/>
          <w:color w:val="000000" w:themeColor="text1"/>
          <w:sz w:val="20"/>
          <w:szCs w:val="20"/>
        </w:rPr>
        <w:t xml:space="preserve"> test.</w:t>
      </w:r>
    </w:p>
    <w:p w14:paraId="0D5AFDA4" w14:textId="77777777" w:rsidR="003535EB" w:rsidRPr="00E73B7F" w:rsidRDefault="003535EB" w:rsidP="003535EB">
      <w:pPr>
        <w:spacing w:line="360" w:lineRule="auto"/>
        <w:jc w:val="both"/>
        <w:rPr>
          <w:rFonts w:ascii="Arial" w:hAnsi="Arial" w:cs="Arial"/>
          <w:color w:val="000000" w:themeColor="text1"/>
          <w:sz w:val="20"/>
          <w:szCs w:val="20"/>
        </w:rPr>
      </w:pPr>
      <w:r w:rsidRPr="00E73B7F">
        <w:rPr>
          <w:rFonts w:ascii="Arial" w:hAnsi="Arial" w:cs="Arial"/>
          <w:color w:val="000000" w:themeColor="text1"/>
          <w:sz w:val="20"/>
          <w:szCs w:val="20"/>
        </w:rPr>
        <w:t>(</w:t>
      </w:r>
      <w:r w:rsidRPr="00E73B7F">
        <w:rPr>
          <w:rFonts w:ascii="Arial" w:hAnsi="Arial" w:cs="Arial"/>
          <w:b/>
          <w:bCs/>
          <w:color w:val="000000" w:themeColor="text1"/>
          <w:sz w:val="20"/>
          <w:szCs w:val="20"/>
        </w:rPr>
        <w:t>G</w:t>
      </w:r>
      <w:r w:rsidRPr="00E73B7F">
        <w:rPr>
          <w:rFonts w:ascii="Arial" w:hAnsi="Arial" w:cs="Arial"/>
          <w:color w:val="000000" w:themeColor="text1"/>
          <w:sz w:val="20"/>
          <w:szCs w:val="20"/>
        </w:rPr>
        <w:t xml:space="preserve">) C57BL/6 mice were treated with 2.5% DSS for 7days. CXCL1 neutralization antibody or isotype control at 4 mg/kg was </w:t>
      </w:r>
      <w:proofErr w:type="spellStart"/>
      <w:r w:rsidRPr="00E73B7F">
        <w:rPr>
          <w:rFonts w:ascii="Arial" w:hAnsi="Arial" w:cs="Arial"/>
          <w:color w:val="000000" w:themeColor="text1"/>
          <w:sz w:val="20"/>
          <w:szCs w:val="20"/>
        </w:rPr>
        <w:t>i.v.</w:t>
      </w:r>
      <w:proofErr w:type="spellEnd"/>
      <w:r w:rsidRPr="00E73B7F">
        <w:rPr>
          <w:rFonts w:ascii="Arial" w:hAnsi="Arial" w:cs="Arial"/>
          <w:color w:val="000000" w:themeColor="text1"/>
          <w:sz w:val="20"/>
          <w:szCs w:val="20"/>
        </w:rPr>
        <w:t xml:space="preserve"> injected at day 5,7,9. The mice were sacrificed at day 11. The percentages of M-MDSC, PMN-MDSC and total MDSC in leukocytes were detected. Data represent mean ± SEM. n=4 for Iso and a-CXCL1. *p&lt;0.05, two-way ANOVA. </w:t>
      </w:r>
    </w:p>
    <w:p w14:paraId="76C141E2" w14:textId="77777777" w:rsidR="003535EB" w:rsidRPr="00E73B7F" w:rsidRDefault="003535EB" w:rsidP="003535EB">
      <w:pPr>
        <w:spacing w:line="360" w:lineRule="auto"/>
        <w:jc w:val="both"/>
        <w:rPr>
          <w:rFonts w:ascii="Arial" w:hAnsi="Arial" w:cs="Arial"/>
          <w:color w:val="000000" w:themeColor="text1"/>
          <w:sz w:val="20"/>
          <w:szCs w:val="20"/>
        </w:rPr>
      </w:pPr>
      <w:r w:rsidRPr="00E73B7F">
        <w:rPr>
          <w:rFonts w:ascii="Arial" w:hAnsi="Arial" w:cs="Arial"/>
          <w:color w:val="000000" w:themeColor="text1"/>
          <w:sz w:val="20"/>
          <w:szCs w:val="20"/>
        </w:rPr>
        <w:t>(</w:t>
      </w:r>
      <w:r w:rsidRPr="00E73B7F">
        <w:rPr>
          <w:rFonts w:ascii="Arial" w:hAnsi="Arial" w:cs="Arial"/>
          <w:b/>
          <w:bCs/>
          <w:color w:val="000000" w:themeColor="text1"/>
          <w:sz w:val="20"/>
          <w:szCs w:val="20"/>
        </w:rPr>
        <w:t>H</w:t>
      </w:r>
      <w:r w:rsidRPr="00E73B7F">
        <w:rPr>
          <w:rFonts w:ascii="Arial" w:hAnsi="Arial" w:cs="Arial"/>
          <w:color w:val="000000" w:themeColor="text1"/>
          <w:sz w:val="20"/>
          <w:szCs w:val="20"/>
        </w:rPr>
        <w:t xml:space="preserve">) BDL was performed on C57BL/6 mice and mice were treated with vehicle or SB225002 (10mg/kg, </w:t>
      </w:r>
      <w:proofErr w:type="spellStart"/>
      <w:r w:rsidRPr="00E73B7F">
        <w:rPr>
          <w:rFonts w:ascii="Arial" w:hAnsi="Arial" w:cs="Arial"/>
          <w:color w:val="000000" w:themeColor="text1"/>
          <w:sz w:val="20"/>
          <w:szCs w:val="20"/>
        </w:rPr>
        <w:t>i.p.</w:t>
      </w:r>
      <w:proofErr w:type="spellEnd"/>
      <w:r w:rsidRPr="00E73B7F">
        <w:rPr>
          <w:rFonts w:ascii="Arial" w:hAnsi="Arial" w:cs="Arial"/>
          <w:color w:val="000000" w:themeColor="text1"/>
          <w:sz w:val="20"/>
          <w:szCs w:val="20"/>
        </w:rPr>
        <w:t xml:space="preserve"> every other day). The percentages of hepatic M-MDSC, PMN-MDSC and total MDSC in leukocytes were determined. n=5 for Vehicle and SB225002. Data represent mean ± SEM. ** p&lt;0.01, ***p&lt;0.001, two-way ANOVA. </w:t>
      </w:r>
    </w:p>
    <w:p w14:paraId="6F097BFA" w14:textId="77777777" w:rsidR="003535EB" w:rsidRPr="00E73B7F" w:rsidRDefault="003535EB" w:rsidP="003535EB">
      <w:pPr>
        <w:spacing w:line="360" w:lineRule="auto"/>
        <w:jc w:val="both"/>
        <w:rPr>
          <w:rFonts w:ascii="Arial" w:hAnsi="Arial" w:cs="Arial"/>
          <w:color w:val="000000" w:themeColor="text1"/>
          <w:sz w:val="20"/>
          <w:szCs w:val="20"/>
        </w:rPr>
      </w:pPr>
      <w:r w:rsidRPr="00E73B7F">
        <w:rPr>
          <w:rFonts w:ascii="Arial" w:hAnsi="Arial" w:cs="Arial"/>
          <w:color w:val="000000" w:themeColor="text1"/>
          <w:sz w:val="20"/>
          <w:szCs w:val="20"/>
        </w:rPr>
        <w:t>(</w:t>
      </w:r>
      <w:r w:rsidRPr="00E73B7F">
        <w:rPr>
          <w:rFonts w:ascii="Arial" w:hAnsi="Arial" w:cs="Arial"/>
          <w:b/>
          <w:bCs/>
          <w:color w:val="000000" w:themeColor="text1"/>
          <w:sz w:val="20"/>
          <w:szCs w:val="20"/>
        </w:rPr>
        <w:t>I</w:t>
      </w:r>
      <w:r w:rsidRPr="00E73B7F">
        <w:rPr>
          <w:rFonts w:ascii="Arial" w:hAnsi="Arial" w:cs="Arial"/>
          <w:color w:val="000000" w:themeColor="text1"/>
          <w:sz w:val="20"/>
          <w:szCs w:val="20"/>
        </w:rPr>
        <w:t xml:space="preserve">) C57BL/6 mice were treated with DSS for 1 cycle, and the mice were treated with vehicle or SB225002 (10mg/kg, </w:t>
      </w:r>
      <w:proofErr w:type="spellStart"/>
      <w:r w:rsidRPr="00E73B7F">
        <w:rPr>
          <w:rFonts w:ascii="Arial" w:hAnsi="Arial" w:cs="Arial"/>
          <w:color w:val="000000" w:themeColor="text1"/>
          <w:sz w:val="20"/>
          <w:szCs w:val="20"/>
        </w:rPr>
        <w:t>i.p.</w:t>
      </w:r>
      <w:proofErr w:type="spellEnd"/>
      <w:r w:rsidRPr="00E73B7F">
        <w:rPr>
          <w:rFonts w:ascii="Arial" w:hAnsi="Arial" w:cs="Arial"/>
          <w:color w:val="000000" w:themeColor="text1"/>
          <w:sz w:val="20"/>
          <w:szCs w:val="20"/>
        </w:rPr>
        <w:t xml:space="preserve"> every other day). The absolute number of hepatic M-MDSC, PMN-MDSC and total were determined. n=6 for Vehicle and SB225002. Data represent mean ± SEM. *p&lt;0.05, two-way ANOVA. </w:t>
      </w:r>
    </w:p>
    <w:p w14:paraId="59E60FD8" w14:textId="77777777" w:rsidR="003535EB" w:rsidRPr="00E73B7F" w:rsidRDefault="003535EB" w:rsidP="003535EB">
      <w:pPr>
        <w:spacing w:line="360" w:lineRule="auto"/>
        <w:jc w:val="both"/>
        <w:rPr>
          <w:rFonts w:ascii="Arial" w:hAnsi="Arial" w:cs="Arial"/>
          <w:color w:val="000000" w:themeColor="text1"/>
          <w:sz w:val="20"/>
          <w:szCs w:val="20"/>
        </w:rPr>
      </w:pPr>
      <w:r w:rsidRPr="00E73B7F">
        <w:rPr>
          <w:rFonts w:ascii="Arial" w:hAnsi="Arial" w:cs="Arial"/>
          <w:color w:val="000000" w:themeColor="text1"/>
          <w:sz w:val="20"/>
          <w:szCs w:val="20"/>
        </w:rPr>
        <w:t>(</w:t>
      </w:r>
      <w:r w:rsidRPr="00E73B7F">
        <w:rPr>
          <w:rFonts w:ascii="Arial" w:hAnsi="Arial" w:cs="Arial"/>
          <w:b/>
          <w:bCs/>
          <w:color w:val="000000" w:themeColor="text1"/>
          <w:sz w:val="20"/>
          <w:szCs w:val="20"/>
        </w:rPr>
        <w:t xml:space="preserve">J </w:t>
      </w:r>
      <w:r w:rsidRPr="00E73B7F">
        <w:rPr>
          <w:rFonts w:ascii="Arial" w:hAnsi="Arial" w:cs="Arial"/>
          <w:color w:val="000000" w:themeColor="text1"/>
          <w:sz w:val="20"/>
          <w:szCs w:val="20"/>
        </w:rPr>
        <w:t xml:space="preserve">and </w:t>
      </w:r>
      <w:r w:rsidRPr="00E73B7F">
        <w:rPr>
          <w:rFonts w:ascii="Arial" w:hAnsi="Arial" w:cs="Arial"/>
          <w:b/>
          <w:bCs/>
          <w:color w:val="000000" w:themeColor="text1"/>
          <w:sz w:val="20"/>
          <w:szCs w:val="20"/>
        </w:rPr>
        <w:t>K</w:t>
      </w:r>
      <w:r w:rsidRPr="00E73B7F">
        <w:rPr>
          <w:rFonts w:ascii="Arial" w:hAnsi="Arial" w:cs="Arial"/>
          <w:color w:val="000000" w:themeColor="text1"/>
          <w:sz w:val="20"/>
          <w:szCs w:val="20"/>
        </w:rPr>
        <w:t xml:space="preserve">) C57BL/6 mice (WT) or </w:t>
      </w:r>
      <w:r w:rsidRPr="00E73B7F">
        <w:rPr>
          <w:rFonts w:ascii="Arial" w:hAnsi="Arial" w:cs="Arial"/>
          <w:i/>
          <w:iCs/>
          <w:color w:val="000000" w:themeColor="text1"/>
          <w:sz w:val="20"/>
          <w:szCs w:val="20"/>
        </w:rPr>
        <w:t>Tlr4</w:t>
      </w:r>
      <w:r w:rsidRPr="00E73B7F">
        <w:rPr>
          <w:rFonts w:ascii="Arial" w:hAnsi="Arial" w:cs="Arial"/>
          <w:i/>
          <w:iCs/>
          <w:color w:val="000000" w:themeColor="text1"/>
          <w:sz w:val="20"/>
          <w:szCs w:val="20"/>
          <w:vertAlign w:val="superscript"/>
        </w:rPr>
        <w:t>-/-</w:t>
      </w:r>
      <w:r w:rsidRPr="00E73B7F">
        <w:rPr>
          <w:rFonts w:ascii="Arial" w:hAnsi="Arial" w:cs="Arial"/>
          <w:color w:val="000000" w:themeColor="text1"/>
          <w:sz w:val="20"/>
          <w:szCs w:val="20"/>
        </w:rPr>
        <w:t xml:space="preserve"> mice (KO) was lethally irradiated with 900 rad, followed by </w:t>
      </w:r>
      <w:proofErr w:type="spellStart"/>
      <w:r w:rsidRPr="00E73B7F">
        <w:rPr>
          <w:rFonts w:ascii="Arial" w:hAnsi="Arial" w:cs="Arial"/>
          <w:color w:val="000000" w:themeColor="text1"/>
          <w:sz w:val="20"/>
          <w:szCs w:val="20"/>
        </w:rPr>
        <w:t>i.v.</w:t>
      </w:r>
      <w:proofErr w:type="spellEnd"/>
      <w:r w:rsidRPr="00E73B7F">
        <w:rPr>
          <w:rFonts w:ascii="Arial" w:hAnsi="Arial" w:cs="Arial"/>
          <w:color w:val="000000" w:themeColor="text1"/>
          <w:sz w:val="20"/>
          <w:szCs w:val="20"/>
        </w:rPr>
        <w:t xml:space="preserve"> injection with 2x10</w:t>
      </w:r>
      <w:r w:rsidRPr="00E73B7F">
        <w:rPr>
          <w:rFonts w:ascii="Arial" w:hAnsi="Arial" w:cs="Arial"/>
          <w:color w:val="000000" w:themeColor="text1"/>
          <w:sz w:val="20"/>
          <w:szCs w:val="20"/>
          <w:vertAlign w:val="superscript"/>
        </w:rPr>
        <w:t xml:space="preserve">7 </w:t>
      </w:r>
      <w:r w:rsidRPr="00E73B7F">
        <w:rPr>
          <w:rFonts w:ascii="Arial" w:hAnsi="Arial" w:cs="Arial"/>
          <w:color w:val="000000" w:themeColor="text1"/>
          <w:sz w:val="20"/>
          <w:szCs w:val="20"/>
        </w:rPr>
        <w:t>bone marrow cells from WT or KO mice. Six weeks later, peripheral blood was collected for CD45.1 (PercpCy5.5) and CD45.2 (PE) staining (</w:t>
      </w:r>
      <w:r w:rsidRPr="00E73B7F">
        <w:rPr>
          <w:rFonts w:ascii="Arial" w:hAnsi="Arial" w:cs="Arial"/>
          <w:b/>
          <w:bCs/>
          <w:color w:val="000000" w:themeColor="text1"/>
          <w:sz w:val="20"/>
          <w:szCs w:val="20"/>
        </w:rPr>
        <w:t>J</w:t>
      </w:r>
      <w:r w:rsidRPr="00E73B7F">
        <w:rPr>
          <w:rFonts w:ascii="Arial" w:hAnsi="Arial" w:cs="Arial"/>
          <w:color w:val="000000" w:themeColor="text1"/>
          <w:sz w:val="20"/>
          <w:szCs w:val="20"/>
        </w:rPr>
        <w:t>). Then, the mice were treated with H</w:t>
      </w:r>
      <w:r w:rsidRPr="00E73B7F">
        <w:rPr>
          <w:rFonts w:ascii="Arial" w:hAnsi="Arial" w:cs="Arial"/>
          <w:color w:val="000000" w:themeColor="text1"/>
          <w:sz w:val="20"/>
          <w:szCs w:val="20"/>
          <w:vertAlign w:val="subscript"/>
        </w:rPr>
        <w:t>2</w:t>
      </w:r>
      <w:r w:rsidRPr="00E73B7F">
        <w:rPr>
          <w:rFonts w:ascii="Arial" w:hAnsi="Arial" w:cs="Arial"/>
          <w:color w:val="000000" w:themeColor="text1"/>
          <w:sz w:val="20"/>
          <w:szCs w:val="20"/>
        </w:rPr>
        <w:t>O or 2.5% DSS for 1cycle. The percentage of M-MDSC, PMN-MDSC and total MDSC in leukocytes were detected (K). n=3 for WT to WT+ H</w:t>
      </w:r>
      <w:r w:rsidRPr="00E73B7F">
        <w:rPr>
          <w:rFonts w:ascii="Arial" w:hAnsi="Arial" w:cs="Arial"/>
          <w:color w:val="000000" w:themeColor="text1"/>
          <w:sz w:val="20"/>
          <w:szCs w:val="20"/>
          <w:vertAlign w:val="subscript"/>
        </w:rPr>
        <w:t>2</w:t>
      </w:r>
      <w:r w:rsidRPr="00E73B7F">
        <w:rPr>
          <w:rFonts w:ascii="Arial" w:hAnsi="Arial" w:cs="Arial"/>
          <w:color w:val="000000" w:themeColor="text1"/>
          <w:sz w:val="20"/>
          <w:szCs w:val="20"/>
        </w:rPr>
        <w:t>O, WT to KO+ H</w:t>
      </w:r>
      <w:r w:rsidRPr="00E73B7F">
        <w:rPr>
          <w:rFonts w:ascii="Arial" w:hAnsi="Arial" w:cs="Arial"/>
          <w:color w:val="000000" w:themeColor="text1"/>
          <w:sz w:val="20"/>
          <w:szCs w:val="20"/>
          <w:vertAlign w:val="subscript"/>
        </w:rPr>
        <w:t>2</w:t>
      </w:r>
      <w:r w:rsidRPr="00E73B7F">
        <w:rPr>
          <w:rFonts w:ascii="Arial" w:hAnsi="Arial" w:cs="Arial"/>
          <w:color w:val="000000" w:themeColor="text1"/>
          <w:sz w:val="20"/>
          <w:szCs w:val="20"/>
        </w:rPr>
        <w:t>O, KO to WT+ H</w:t>
      </w:r>
      <w:r w:rsidRPr="00E73B7F">
        <w:rPr>
          <w:rFonts w:ascii="Arial" w:hAnsi="Arial" w:cs="Arial"/>
          <w:color w:val="000000" w:themeColor="text1"/>
          <w:sz w:val="20"/>
          <w:szCs w:val="20"/>
          <w:vertAlign w:val="subscript"/>
        </w:rPr>
        <w:t>2</w:t>
      </w:r>
      <w:r w:rsidRPr="00E73B7F">
        <w:rPr>
          <w:rFonts w:ascii="Arial" w:hAnsi="Arial" w:cs="Arial"/>
          <w:color w:val="000000" w:themeColor="text1"/>
          <w:sz w:val="20"/>
          <w:szCs w:val="20"/>
        </w:rPr>
        <w:t>O, KO to KO+ H</w:t>
      </w:r>
      <w:r w:rsidRPr="00E73B7F">
        <w:rPr>
          <w:rFonts w:ascii="Arial" w:hAnsi="Arial" w:cs="Arial"/>
          <w:color w:val="000000" w:themeColor="text1"/>
          <w:sz w:val="20"/>
          <w:szCs w:val="20"/>
          <w:vertAlign w:val="subscript"/>
        </w:rPr>
        <w:t>2</w:t>
      </w:r>
      <w:r w:rsidRPr="00E73B7F">
        <w:rPr>
          <w:rFonts w:ascii="Arial" w:hAnsi="Arial" w:cs="Arial"/>
          <w:color w:val="000000" w:themeColor="text1"/>
          <w:sz w:val="20"/>
          <w:szCs w:val="20"/>
        </w:rPr>
        <w:t xml:space="preserve">O, n=7 for WT to WT+ DSS, WT to KO+ DSS, KO to WT+ DSS, KO to KO+ DSS. Data represent mean ± SEM. ns, no significant. *p&lt;0.05, **p&lt;0.01, two-way ANOVA.  </w:t>
      </w:r>
    </w:p>
    <w:p w14:paraId="69FAAC34" w14:textId="3CC83467" w:rsidR="003535EB" w:rsidRPr="00E73B7F" w:rsidRDefault="003535EB" w:rsidP="003535EB">
      <w:pPr>
        <w:spacing w:line="360" w:lineRule="auto"/>
        <w:jc w:val="both"/>
        <w:rPr>
          <w:rFonts w:ascii="Arial" w:hAnsi="Arial" w:cs="Arial"/>
          <w:color w:val="000000" w:themeColor="text1"/>
          <w:sz w:val="20"/>
          <w:szCs w:val="20"/>
        </w:rPr>
      </w:pPr>
      <w:r w:rsidRPr="00E73B7F">
        <w:rPr>
          <w:rFonts w:ascii="Arial" w:hAnsi="Arial" w:cs="Arial"/>
          <w:color w:val="000000" w:themeColor="text1"/>
          <w:sz w:val="20"/>
          <w:szCs w:val="20"/>
        </w:rPr>
        <w:t>(</w:t>
      </w:r>
      <w:r w:rsidRPr="00E73B7F">
        <w:rPr>
          <w:rFonts w:ascii="Arial" w:hAnsi="Arial" w:cs="Arial"/>
          <w:b/>
          <w:bCs/>
          <w:color w:val="000000" w:themeColor="text1"/>
          <w:sz w:val="20"/>
          <w:szCs w:val="20"/>
        </w:rPr>
        <w:t>L</w:t>
      </w:r>
      <w:r w:rsidRPr="00E73B7F">
        <w:rPr>
          <w:rFonts w:ascii="Arial" w:hAnsi="Arial" w:cs="Arial"/>
          <w:color w:val="000000" w:themeColor="text1"/>
          <w:sz w:val="20"/>
          <w:szCs w:val="20"/>
        </w:rPr>
        <w:t>) C57BL/6 mice (WT) were treated with H</w:t>
      </w:r>
      <w:r w:rsidRPr="00E73B7F">
        <w:rPr>
          <w:rFonts w:ascii="Arial" w:hAnsi="Arial" w:cs="Arial"/>
          <w:color w:val="000000" w:themeColor="text1"/>
          <w:sz w:val="20"/>
          <w:szCs w:val="20"/>
          <w:vertAlign w:val="subscript"/>
        </w:rPr>
        <w:t>2</w:t>
      </w:r>
      <w:r w:rsidRPr="00E73B7F">
        <w:rPr>
          <w:rFonts w:ascii="Arial" w:hAnsi="Arial" w:cs="Arial"/>
          <w:color w:val="000000" w:themeColor="text1"/>
          <w:sz w:val="20"/>
          <w:szCs w:val="20"/>
        </w:rPr>
        <w:t>O or 2.5% DSS for 1cycle, Alb-</w:t>
      </w:r>
      <w:proofErr w:type="spellStart"/>
      <w:r w:rsidRPr="00E73B7F">
        <w:rPr>
          <w:rFonts w:ascii="Arial" w:hAnsi="Arial" w:cs="Arial"/>
          <w:color w:val="000000" w:themeColor="text1"/>
          <w:sz w:val="20"/>
          <w:szCs w:val="20"/>
        </w:rPr>
        <w:t>Cre</w:t>
      </w:r>
      <w:proofErr w:type="spellEnd"/>
      <w:r w:rsidRPr="00E73B7F">
        <w:rPr>
          <w:rFonts w:ascii="Arial" w:hAnsi="Arial" w:cs="Arial"/>
          <w:color w:val="000000" w:themeColor="text1"/>
          <w:sz w:val="20"/>
          <w:szCs w:val="20"/>
        </w:rPr>
        <w:t xml:space="preserve">-; </w:t>
      </w:r>
      <w:r w:rsidRPr="00E73B7F">
        <w:rPr>
          <w:rFonts w:ascii="Arial" w:hAnsi="Arial" w:cs="Arial"/>
          <w:i/>
          <w:iCs/>
          <w:color w:val="000000" w:themeColor="text1"/>
          <w:sz w:val="20"/>
          <w:szCs w:val="20"/>
        </w:rPr>
        <w:t>Tlr4</w:t>
      </w:r>
      <w:r w:rsidRPr="00E73B7F">
        <w:rPr>
          <w:rFonts w:ascii="Arial" w:hAnsi="Arial" w:cs="Arial"/>
          <w:color w:val="000000" w:themeColor="text1"/>
          <w:sz w:val="20"/>
          <w:szCs w:val="20"/>
        </w:rPr>
        <w:t xml:space="preserve"> </w:t>
      </w:r>
      <w:r w:rsidRPr="00E73B7F">
        <w:rPr>
          <w:rFonts w:ascii="Arial" w:hAnsi="Arial" w:cs="Arial"/>
          <w:color w:val="000000" w:themeColor="text1"/>
          <w:sz w:val="20"/>
          <w:szCs w:val="20"/>
          <w:vertAlign w:val="superscript"/>
        </w:rPr>
        <w:t>f/f</w:t>
      </w:r>
      <w:r w:rsidRPr="00E73B7F">
        <w:rPr>
          <w:rFonts w:ascii="Arial" w:hAnsi="Arial" w:cs="Arial"/>
          <w:color w:val="000000" w:themeColor="text1"/>
          <w:sz w:val="20"/>
          <w:szCs w:val="20"/>
        </w:rPr>
        <w:t xml:space="preserve"> (</w:t>
      </w:r>
      <w:r w:rsidRPr="00E73B7F">
        <w:rPr>
          <w:rFonts w:ascii="Arial" w:hAnsi="Arial" w:cs="Arial"/>
          <w:i/>
          <w:iCs/>
          <w:color w:val="000000" w:themeColor="text1"/>
          <w:sz w:val="20"/>
          <w:szCs w:val="20"/>
        </w:rPr>
        <w:t>Tlr4</w:t>
      </w:r>
      <w:r w:rsidRPr="00E73B7F">
        <w:rPr>
          <w:rFonts w:ascii="Arial" w:hAnsi="Arial" w:cs="Arial"/>
          <w:color w:val="000000" w:themeColor="text1"/>
          <w:sz w:val="20"/>
          <w:szCs w:val="20"/>
          <w:vertAlign w:val="superscript"/>
        </w:rPr>
        <w:t>LWT</w:t>
      </w:r>
      <w:r w:rsidRPr="00E73B7F">
        <w:rPr>
          <w:rFonts w:ascii="Arial" w:hAnsi="Arial" w:cs="Arial"/>
          <w:color w:val="000000" w:themeColor="text1"/>
          <w:sz w:val="20"/>
          <w:szCs w:val="20"/>
        </w:rPr>
        <w:t>) and Alb-</w:t>
      </w:r>
      <w:proofErr w:type="spellStart"/>
      <w:r w:rsidRPr="00E73B7F">
        <w:rPr>
          <w:rFonts w:ascii="Arial" w:hAnsi="Arial" w:cs="Arial"/>
          <w:color w:val="000000" w:themeColor="text1"/>
          <w:sz w:val="20"/>
          <w:szCs w:val="20"/>
        </w:rPr>
        <w:t>Cre</w:t>
      </w:r>
      <w:proofErr w:type="spellEnd"/>
      <w:proofErr w:type="gramStart"/>
      <w:r w:rsidRPr="00E73B7F">
        <w:rPr>
          <w:rFonts w:ascii="Arial" w:hAnsi="Arial" w:cs="Arial"/>
          <w:color w:val="000000" w:themeColor="text1"/>
          <w:sz w:val="20"/>
          <w:szCs w:val="20"/>
        </w:rPr>
        <w:t>+;</w:t>
      </w:r>
      <w:r w:rsidRPr="00E73B7F">
        <w:rPr>
          <w:rFonts w:ascii="Arial" w:hAnsi="Arial" w:cs="Arial"/>
          <w:i/>
          <w:iCs/>
          <w:color w:val="000000" w:themeColor="text1"/>
          <w:sz w:val="20"/>
          <w:szCs w:val="20"/>
        </w:rPr>
        <w:t>Tlr</w:t>
      </w:r>
      <w:proofErr w:type="gramEnd"/>
      <w:r w:rsidRPr="00E73B7F">
        <w:rPr>
          <w:rFonts w:ascii="Arial" w:hAnsi="Arial" w:cs="Arial"/>
          <w:i/>
          <w:iCs/>
          <w:color w:val="000000" w:themeColor="text1"/>
          <w:sz w:val="20"/>
          <w:szCs w:val="20"/>
        </w:rPr>
        <w:t>4</w:t>
      </w:r>
      <w:r w:rsidRPr="00E73B7F">
        <w:rPr>
          <w:rFonts w:ascii="Arial" w:hAnsi="Arial" w:cs="Arial"/>
          <w:color w:val="000000" w:themeColor="text1"/>
          <w:sz w:val="20"/>
          <w:szCs w:val="20"/>
          <w:vertAlign w:val="superscript"/>
        </w:rPr>
        <w:t>f/f</w:t>
      </w:r>
      <w:r w:rsidRPr="00E73B7F">
        <w:rPr>
          <w:rFonts w:ascii="Arial" w:hAnsi="Arial" w:cs="Arial"/>
          <w:color w:val="000000" w:themeColor="text1"/>
          <w:sz w:val="20"/>
          <w:szCs w:val="20"/>
        </w:rPr>
        <w:t xml:space="preserve"> (</w:t>
      </w:r>
      <w:r w:rsidRPr="00E73B7F">
        <w:rPr>
          <w:rFonts w:ascii="Arial" w:hAnsi="Arial" w:cs="Arial"/>
          <w:i/>
          <w:iCs/>
          <w:color w:val="000000" w:themeColor="text1"/>
          <w:sz w:val="20"/>
          <w:szCs w:val="20"/>
        </w:rPr>
        <w:t>Tlr4</w:t>
      </w:r>
      <w:r w:rsidRPr="00E73B7F">
        <w:rPr>
          <w:rFonts w:ascii="Arial" w:hAnsi="Arial" w:cs="Arial"/>
          <w:color w:val="000000" w:themeColor="text1"/>
          <w:sz w:val="20"/>
          <w:szCs w:val="20"/>
          <w:vertAlign w:val="superscript"/>
        </w:rPr>
        <w:t>LKO</w:t>
      </w:r>
      <w:r w:rsidRPr="00E73B7F">
        <w:rPr>
          <w:rFonts w:ascii="Arial" w:hAnsi="Arial" w:cs="Arial"/>
          <w:color w:val="000000" w:themeColor="text1"/>
          <w:sz w:val="20"/>
          <w:szCs w:val="20"/>
        </w:rPr>
        <w:t>) mice were treated with 2.5% DSS for 1cycle. Then, the percentage of hepatic M-MDSC, PMN-MDSC and total MDSC in leukocytes were detected. n=3 for WT+ H</w:t>
      </w:r>
      <w:r w:rsidRPr="00E73B7F">
        <w:rPr>
          <w:rFonts w:ascii="Arial" w:hAnsi="Arial" w:cs="Arial"/>
          <w:color w:val="000000" w:themeColor="text1"/>
          <w:sz w:val="20"/>
          <w:szCs w:val="20"/>
          <w:vertAlign w:val="subscript"/>
        </w:rPr>
        <w:t>2</w:t>
      </w:r>
      <w:r w:rsidRPr="00E73B7F">
        <w:rPr>
          <w:rFonts w:ascii="Arial" w:hAnsi="Arial" w:cs="Arial"/>
          <w:color w:val="000000" w:themeColor="text1"/>
          <w:sz w:val="20"/>
          <w:szCs w:val="20"/>
        </w:rPr>
        <w:t xml:space="preserve">O and WT+ DSS, n=5 for </w:t>
      </w:r>
      <w:r w:rsidRPr="00E73B7F">
        <w:rPr>
          <w:rFonts w:ascii="Arial" w:hAnsi="Arial" w:cs="Arial"/>
          <w:i/>
          <w:iCs/>
          <w:color w:val="000000" w:themeColor="text1"/>
          <w:sz w:val="20"/>
          <w:szCs w:val="20"/>
        </w:rPr>
        <w:t>Tlr4</w:t>
      </w:r>
      <w:r w:rsidRPr="00E73B7F">
        <w:rPr>
          <w:rFonts w:ascii="Arial" w:hAnsi="Arial" w:cs="Arial"/>
          <w:color w:val="000000" w:themeColor="text1"/>
          <w:sz w:val="20"/>
          <w:szCs w:val="20"/>
          <w:vertAlign w:val="superscript"/>
        </w:rPr>
        <w:t>LWT</w:t>
      </w:r>
      <w:r w:rsidRPr="00E73B7F" w:rsidDel="00B459D2">
        <w:rPr>
          <w:rFonts w:ascii="Arial" w:hAnsi="Arial" w:cs="Arial"/>
          <w:color w:val="000000" w:themeColor="text1"/>
          <w:sz w:val="20"/>
          <w:szCs w:val="20"/>
        </w:rPr>
        <w:t xml:space="preserve"> </w:t>
      </w:r>
      <w:r w:rsidRPr="00E73B7F">
        <w:rPr>
          <w:rFonts w:ascii="Arial" w:hAnsi="Arial" w:cs="Arial"/>
          <w:color w:val="000000" w:themeColor="text1"/>
          <w:sz w:val="20"/>
          <w:szCs w:val="20"/>
        </w:rPr>
        <w:t xml:space="preserve">+ DSS and </w:t>
      </w:r>
      <w:r w:rsidRPr="00E73B7F">
        <w:rPr>
          <w:rFonts w:ascii="Arial" w:hAnsi="Arial" w:cs="Arial"/>
          <w:i/>
          <w:iCs/>
          <w:color w:val="000000" w:themeColor="text1"/>
          <w:sz w:val="20"/>
          <w:szCs w:val="20"/>
        </w:rPr>
        <w:t>Tlr4</w:t>
      </w:r>
      <w:r w:rsidRPr="00E73B7F">
        <w:rPr>
          <w:rFonts w:ascii="Arial" w:hAnsi="Arial" w:cs="Arial"/>
          <w:color w:val="000000" w:themeColor="text1"/>
          <w:sz w:val="20"/>
          <w:szCs w:val="20"/>
          <w:vertAlign w:val="superscript"/>
        </w:rPr>
        <w:t>LKO</w:t>
      </w:r>
      <w:r w:rsidRPr="00E73B7F" w:rsidDel="00B459D2">
        <w:rPr>
          <w:rFonts w:ascii="Arial" w:hAnsi="Arial" w:cs="Arial"/>
          <w:color w:val="000000" w:themeColor="text1"/>
          <w:sz w:val="20"/>
          <w:szCs w:val="20"/>
        </w:rPr>
        <w:t xml:space="preserve"> </w:t>
      </w:r>
      <w:r w:rsidRPr="00E73B7F">
        <w:rPr>
          <w:rFonts w:ascii="Arial" w:hAnsi="Arial" w:cs="Arial"/>
          <w:color w:val="000000" w:themeColor="text1"/>
          <w:sz w:val="20"/>
          <w:szCs w:val="20"/>
        </w:rPr>
        <w:t xml:space="preserve">+ DSS. Data represent mean ± SEM. *p&lt;0.05, **p&lt;0.01, two-way ANOVA. </w:t>
      </w:r>
    </w:p>
    <w:p w14:paraId="678F307A" w14:textId="77777777" w:rsidR="00E73B7F" w:rsidRPr="00E73B7F" w:rsidRDefault="00E73B7F" w:rsidP="003535EB">
      <w:pPr>
        <w:spacing w:line="360" w:lineRule="auto"/>
        <w:jc w:val="both"/>
        <w:rPr>
          <w:rFonts w:ascii="Arial" w:hAnsi="Arial" w:cs="Arial"/>
          <w:color w:val="000000" w:themeColor="text1"/>
          <w:sz w:val="20"/>
          <w:szCs w:val="20"/>
        </w:rPr>
      </w:pPr>
    </w:p>
    <w:p w14:paraId="50AD45D2" w14:textId="77777777" w:rsidR="003535EB" w:rsidRPr="00E73B7F" w:rsidRDefault="003535EB" w:rsidP="003535EB">
      <w:pPr>
        <w:spacing w:line="360" w:lineRule="auto"/>
        <w:jc w:val="both"/>
        <w:rPr>
          <w:rFonts w:ascii="Arial" w:hAnsi="Arial" w:cs="Arial"/>
          <w:color w:val="000000" w:themeColor="text1"/>
          <w:sz w:val="20"/>
          <w:szCs w:val="20"/>
        </w:rPr>
      </w:pPr>
    </w:p>
    <w:p w14:paraId="225C5797" w14:textId="2A8C269C" w:rsidR="003535EB" w:rsidRPr="00E73B7F" w:rsidRDefault="00E73B7F" w:rsidP="003535EB">
      <w:pPr>
        <w:spacing w:line="360" w:lineRule="auto"/>
        <w:jc w:val="both"/>
        <w:rPr>
          <w:rFonts w:ascii="Arial" w:hAnsi="Arial" w:cs="Arial"/>
          <w:color w:val="000000" w:themeColor="text1"/>
          <w:sz w:val="20"/>
          <w:szCs w:val="20"/>
        </w:rPr>
      </w:pPr>
      <w:r w:rsidRPr="00E73B7F">
        <w:rPr>
          <w:rFonts w:ascii="Arial" w:hAnsi="Arial" w:cs="Arial"/>
          <w:noProof/>
          <w:color w:val="000000" w:themeColor="text1"/>
          <w:sz w:val="20"/>
          <w:szCs w:val="20"/>
        </w:rPr>
        <w:lastRenderedPageBreak/>
        <w:drawing>
          <wp:inline distT="0" distB="0" distL="0" distR="0" wp14:anchorId="10ABBCFF" wp14:editId="2EF309B5">
            <wp:extent cx="5943600" cy="609790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6097905"/>
                    </a:xfrm>
                    <a:prstGeom prst="rect">
                      <a:avLst/>
                    </a:prstGeom>
                  </pic:spPr>
                </pic:pic>
              </a:graphicData>
            </a:graphic>
          </wp:inline>
        </w:drawing>
      </w:r>
    </w:p>
    <w:p w14:paraId="5DB1FC85" w14:textId="77777777" w:rsidR="00E73B7F" w:rsidRPr="00E73B7F" w:rsidRDefault="00E73B7F" w:rsidP="003535EB">
      <w:pPr>
        <w:spacing w:line="360" w:lineRule="auto"/>
        <w:jc w:val="both"/>
        <w:rPr>
          <w:rFonts w:ascii="Arial" w:hAnsi="Arial" w:cs="Arial"/>
          <w:color w:val="000000" w:themeColor="text1"/>
          <w:sz w:val="20"/>
          <w:szCs w:val="20"/>
        </w:rPr>
      </w:pPr>
    </w:p>
    <w:p w14:paraId="4B990E93" w14:textId="77777777" w:rsidR="003535EB" w:rsidRPr="00E73B7F" w:rsidRDefault="003535EB" w:rsidP="003535EB">
      <w:pPr>
        <w:spacing w:line="360" w:lineRule="auto"/>
        <w:jc w:val="both"/>
        <w:rPr>
          <w:rFonts w:ascii="Arial" w:hAnsi="Arial" w:cs="Arial"/>
          <w:color w:val="000000" w:themeColor="text1"/>
          <w:sz w:val="20"/>
          <w:szCs w:val="20"/>
        </w:rPr>
      </w:pPr>
      <w:r w:rsidRPr="00E73B7F">
        <w:rPr>
          <w:rFonts w:ascii="Arial" w:hAnsi="Arial" w:cs="Arial"/>
          <w:b/>
          <w:bCs/>
          <w:color w:val="000000" w:themeColor="text1"/>
          <w:sz w:val="20"/>
          <w:szCs w:val="20"/>
        </w:rPr>
        <w:t>Figure S5</w:t>
      </w:r>
      <w:r w:rsidRPr="00E73B7F">
        <w:rPr>
          <w:rFonts w:ascii="Arial" w:hAnsi="Arial" w:cs="Arial"/>
          <w:color w:val="000000" w:themeColor="text1"/>
          <w:sz w:val="20"/>
          <w:szCs w:val="20"/>
        </w:rPr>
        <w:t xml:space="preserve">.  PSC and colitis promote cholangiocarcinoma.  </w:t>
      </w:r>
    </w:p>
    <w:p w14:paraId="49D10B9F" w14:textId="77777777" w:rsidR="003535EB" w:rsidRPr="00E73B7F" w:rsidRDefault="003535EB" w:rsidP="003535EB">
      <w:pPr>
        <w:spacing w:line="360" w:lineRule="auto"/>
        <w:jc w:val="both"/>
        <w:rPr>
          <w:rFonts w:ascii="Arial" w:hAnsi="Arial" w:cs="Arial"/>
          <w:color w:val="000000" w:themeColor="text1"/>
          <w:sz w:val="20"/>
          <w:szCs w:val="20"/>
        </w:rPr>
      </w:pPr>
      <w:r w:rsidRPr="00E73B7F">
        <w:rPr>
          <w:rFonts w:ascii="Arial" w:hAnsi="Arial" w:cs="Arial"/>
          <w:color w:val="000000" w:themeColor="text1"/>
          <w:sz w:val="20"/>
          <w:szCs w:val="20"/>
        </w:rPr>
        <w:t>(</w:t>
      </w:r>
      <w:r w:rsidRPr="00E73B7F">
        <w:rPr>
          <w:rFonts w:ascii="Arial" w:hAnsi="Arial" w:cs="Arial"/>
          <w:b/>
          <w:color w:val="000000" w:themeColor="text1"/>
          <w:sz w:val="20"/>
          <w:szCs w:val="20"/>
        </w:rPr>
        <w:t>A</w:t>
      </w:r>
      <w:r w:rsidRPr="00E73B7F">
        <w:rPr>
          <w:rFonts w:ascii="Arial" w:hAnsi="Arial" w:cs="Arial"/>
          <w:color w:val="000000" w:themeColor="text1"/>
          <w:sz w:val="20"/>
          <w:szCs w:val="20"/>
        </w:rPr>
        <w:t xml:space="preserve">) Representative H&amp;E staining of liver section from AKT+NICD1 and AKT+YAP cholangiocarcinoma mice. </w:t>
      </w:r>
    </w:p>
    <w:p w14:paraId="73B7B404" w14:textId="77777777" w:rsidR="003535EB" w:rsidRPr="00E73B7F" w:rsidRDefault="003535EB" w:rsidP="003535EB">
      <w:pPr>
        <w:spacing w:line="360" w:lineRule="auto"/>
        <w:jc w:val="both"/>
        <w:rPr>
          <w:rFonts w:ascii="Arial" w:hAnsi="Arial" w:cs="Arial"/>
          <w:color w:val="000000" w:themeColor="text1"/>
          <w:sz w:val="20"/>
          <w:szCs w:val="20"/>
        </w:rPr>
      </w:pPr>
      <w:r w:rsidRPr="00E73B7F">
        <w:rPr>
          <w:rFonts w:ascii="Arial" w:hAnsi="Arial" w:cs="Arial"/>
          <w:color w:val="000000" w:themeColor="text1"/>
          <w:sz w:val="20"/>
          <w:szCs w:val="20"/>
        </w:rPr>
        <w:t>(</w:t>
      </w:r>
      <w:r w:rsidRPr="00E73B7F">
        <w:rPr>
          <w:rFonts w:ascii="Arial" w:hAnsi="Arial" w:cs="Arial"/>
          <w:b/>
          <w:color w:val="000000" w:themeColor="text1"/>
          <w:sz w:val="20"/>
          <w:szCs w:val="20"/>
        </w:rPr>
        <w:t>B</w:t>
      </w:r>
      <w:r w:rsidRPr="00E73B7F">
        <w:rPr>
          <w:rFonts w:ascii="Arial" w:hAnsi="Arial" w:cs="Arial"/>
          <w:color w:val="000000" w:themeColor="text1"/>
          <w:sz w:val="20"/>
          <w:szCs w:val="20"/>
        </w:rPr>
        <w:t>) Representative immunochemistry of CK19 and HNF4</w:t>
      </w:r>
      <w:r w:rsidRPr="00E73B7F">
        <w:rPr>
          <w:rFonts w:ascii="Arial" w:hAnsi="Arial" w:cs="Arial"/>
          <w:color w:val="000000" w:themeColor="text1"/>
          <w:sz w:val="20"/>
          <w:szCs w:val="20"/>
        </w:rPr>
        <w:sym w:font="Symbol" w:char="F061"/>
      </w:r>
      <w:r w:rsidRPr="00E73B7F">
        <w:rPr>
          <w:rFonts w:ascii="Arial" w:hAnsi="Arial" w:cs="Arial"/>
          <w:color w:val="000000" w:themeColor="text1"/>
          <w:sz w:val="20"/>
          <w:szCs w:val="20"/>
        </w:rPr>
        <w:t xml:space="preserve"> in AKT+YAP cholangiocarcinoma liver sections. </w:t>
      </w:r>
    </w:p>
    <w:p w14:paraId="6981F4D0" w14:textId="77777777" w:rsidR="003535EB" w:rsidRPr="00E73B7F" w:rsidRDefault="003535EB" w:rsidP="003535EB">
      <w:pPr>
        <w:spacing w:line="360" w:lineRule="auto"/>
        <w:jc w:val="both"/>
        <w:rPr>
          <w:rFonts w:ascii="Arial" w:hAnsi="Arial" w:cs="Arial"/>
          <w:color w:val="000000" w:themeColor="text1"/>
          <w:sz w:val="20"/>
          <w:szCs w:val="20"/>
        </w:rPr>
      </w:pPr>
      <w:r w:rsidRPr="00E73B7F">
        <w:rPr>
          <w:rFonts w:ascii="Arial" w:hAnsi="Arial" w:cs="Arial"/>
          <w:color w:val="000000" w:themeColor="text1"/>
          <w:sz w:val="20"/>
          <w:szCs w:val="20"/>
        </w:rPr>
        <w:t>(</w:t>
      </w:r>
      <w:r w:rsidRPr="00E73B7F">
        <w:rPr>
          <w:rFonts w:ascii="Arial" w:hAnsi="Arial" w:cs="Arial"/>
          <w:b/>
          <w:color w:val="000000" w:themeColor="text1"/>
          <w:sz w:val="20"/>
          <w:szCs w:val="20"/>
        </w:rPr>
        <w:t>C</w:t>
      </w:r>
      <w:r w:rsidRPr="00E73B7F">
        <w:rPr>
          <w:rFonts w:ascii="Arial" w:hAnsi="Arial" w:cs="Arial"/>
          <w:color w:val="000000" w:themeColor="text1"/>
          <w:sz w:val="20"/>
          <w:szCs w:val="20"/>
        </w:rPr>
        <w:t xml:space="preserve">) Western blotting of CK-7 and CK-19 expression in different cell lines (LD1, Huh7 and A20). </w:t>
      </w:r>
      <w:r w:rsidRPr="00E73B7F">
        <w:rPr>
          <w:rFonts w:ascii="Arial" w:hAnsi="Arial" w:cs="Arial"/>
          <w:color w:val="000000" w:themeColor="text1"/>
          <w:sz w:val="20"/>
          <w:szCs w:val="20"/>
          <w:lang w:val="el-GR"/>
        </w:rPr>
        <w:t>β-</w:t>
      </w:r>
      <w:r w:rsidRPr="00E73B7F">
        <w:rPr>
          <w:rFonts w:ascii="Arial" w:hAnsi="Arial" w:cs="Arial"/>
          <w:color w:val="000000" w:themeColor="text1"/>
          <w:sz w:val="20"/>
          <w:szCs w:val="20"/>
        </w:rPr>
        <w:t xml:space="preserve">actin was used as control. </w:t>
      </w:r>
    </w:p>
    <w:p w14:paraId="3999B70A" w14:textId="77777777" w:rsidR="003535EB" w:rsidRPr="00E73B7F" w:rsidRDefault="003535EB" w:rsidP="003535EB">
      <w:pPr>
        <w:spacing w:line="360" w:lineRule="auto"/>
        <w:jc w:val="both"/>
        <w:rPr>
          <w:rFonts w:ascii="Arial" w:hAnsi="Arial" w:cs="Arial"/>
          <w:color w:val="000000" w:themeColor="text1"/>
          <w:sz w:val="20"/>
          <w:szCs w:val="20"/>
        </w:rPr>
      </w:pPr>
      <w:r w:rsidRPr="00E73B7F">
        <w:rPr>
          <w:rFonts w:ascii="Arial" w:hAnsi="Arial" w:cs="Arial"/>
          <w:color w:val="000000" w:themeColor="text1"/>
          <w:sz w:val="20"/>
          <w:szCs w:val="20"/>
        </w:rPr>
        <w:t>(</w:t>
      </w:r>
      <w:r w:rsidRPr="00E73B7F">
        <w:rPr>
          <w:rFonts w:ascii="Arial" w:hAnsi="Arial" w:cs="Arial"/>
          <w:b/>
          <w:color w:val="000000" w:themeColor="text1"/>
          <w:sz w:val="20"/>
          <w:szCs w:val="20"/>
        </w:rPr>
        <w:t>D</w:t>
      </w:r>
      <w:r w:rsidRPr="00E73B7F">
        <w:rPr>
          <w:rFonts w:ascii="Arial" w:hAnsi="Arial" w:cs="Arial"/>
          <w:color w:val="000000" w:themeColor="text1"/>
          <w:sz w:val="20"/>
          <w:szCs w:val="20"/>
        </w:rPr>
        <w:t>) Cholangiocarcinoma was induced in C57BL/10J mice by hydrodynamic injection of AKT+NICD1. On weeks 0,2,4, the mice were injected intrarectally with 100</w:t>
      </w:r>
      <w:r w:rsidRPr="00E73B7F">
        <w:rPr>
          <w:rFonts w:ascii="Arial" w:eastAsia="MS Gothic" w:hAnsi="Arial" w:cs="Arial"/>
          <w:color w:val="000000" w:themeColor="text1"/>
          <w:sz w:val="20"/>
          <w:szCs w:val="20"/>
        </w:rPr>
        <w:t>u</w:t>
      </w:r>
      <w:r w:rsidRPr="00E73B7F">
        <w:rPr>
          <w:rFonts w:ascii="Arial" w:hAnsi="Arial" w:cs="Arial"/>
          <w:color w:val="000000" w:themeColor="text1"/>
          <w:sz w:val="20"/>
          <w:szCs w:val="20"/>
        </w:rPr>
        <w:t xml:space="preserve">l 5%TNBS or Vehicle. After 7 weeks, the mice </w:t>
      </w:r>
      <w:r w:rsidRPr="00E73B7F">
        <w:rPr>
          <w:rFonts w:ascii="Arial" w:hAnsi="Arial" w:cs="Arial"/>
          <w:color w:val="000000" w:themeColor="text1"/>
          <w:sz w:val="20"/>
          <w:szCs w:val="20"/>
        </w:rPr>
        <w:lastRenderedPageBreak/>
        <w:t xml:space="preserve">were sacrificed, and the liver weight and microscopic tumors were measured. n=6 for Vehicle and TNBS, Data represent mean ± SEM. **p&lt;0.01, ***p&lt;0.001, Student’s </w:t>
      </w:r>
      <w:r w:rsidRPr="00E73B7F">
        <w:rPr>
          <w:rFonts w:ascii="Arial" w:hAnsi="Arial" w:cs="Arial"/>
          <w:i/>
          <w:color w:val="000000" w:themeColor="text1"/>
          <w:sz w:val="20"/>
          <w:szCs w:val="20"/>
        </w:rPr>
        <w:t>t</w:t>
      </w:r>
      <w:r w:rsidRPr="00E73B7F">
        <w:rPr>
          <w:rFonts w:ascii="Arial" w:hAnsi="Arial" w:cs="Arial"/>
          <w:color w:val="000000" w:themeColor="text1"/>
          <w:sz w:val="20"/>
          <w:szCs w:val="20"/>
        </w:rPr>
        <w:t xml:space="preserve"> test.</w:t>
      </w:r>
    </w:p>
    <w:p w14:paraId="590FCE8D" w14:textId="77777777" w:rsidR="003535EB" w:rsidRPr="00E73B7F" w:rsidRDefault="003535EB" w:rsidP="003535EB">
      <w:pPr>
        <w:spacing w:line="360" w:lineRule="auto"/>
        <w:jc w:val="both"/>
        <w:rPr>
          <w:rFonts w:ascii="Arial" w:hAnsi="Arial" w:cs="Arial"/>
          <w:color w:val="000000" w:themeColor="text1"/>
          <w:sz w:val="20"/>
          <w:szCs w:val="20"/>
        </w:rPr>
      </w:pPr>
      <w:r w:rsidRPr="00E73B7F">
        <w:rPr>
          <w:rFonts w:ascii="Arial" w:hAnsi="Arial" w:cs="Arial"/>
          <w:color w:val="000000" w:themeColor="text1"/>
          <w:sz w:val="20"/>
          <w:szCs w:val="20"/>
        </w:rPr>
        <w:t>(</w:t>
      </w:r>
      <w:r w:rsidRPr="00E73B7F">
        <w:rPr>
          <w:rFonts w:ascii="Arial" w:hAnsi="Arial" w:cs="Arial"/>
          <w:b/>
          <w:color w:val="000000" w:themeColor="text1"/>
          <w:sz w:val="20"/>
          <w:szCs w:val="20"/>
        </w:rPr>
        <w:t>E</w:t>
      </w:r>
      <w:r w:rsidRPr="00E73B7F">
        <w:rPr>
          <w:rFonts w:ascii="Arial" w:hAnsi="Arial" w:cs="Arial"/>
          <w:color w:val="000000" w:themeColor="text1"/>
          <w:sz w:val="20"/>
          <w:szCs w:val="20"/>
        </w:rPr>
        <w:t>) Cholangiocarcinoma was induced in female BALB/c mice by hydrodynamic injection of AKT+NICD1 and treated with 3 cycles of DSS.  After 10 weeks, the mice were sacrificed, and the liver weight and microscopic tumors were detected. n=9 for H</w:t>
      </w:r>
      <w:r w:rsidRPr="00E73B7F">
        <w:rPr>
          <w:rFonts w:ascii="Arial" w:hAnsi="Arial" w:cs="Arial"/>
          <w:color w:val="000000" w:themeColor="text1"/>
          <w:sz w:val="20"/>
          <w:szCs w:val="20"/>
          <w:vertAlign w:val="subscript"/>
        </w:rPr>
        <w:t>2</w:t>
      </w:r>
      <w:r w:rsidRPr="00E73B7F">
        <w:rPr>
          <w:rFonts w:ascii="Arial" w:hAnsi="Arial" w:cs="Arial"/>
          <w:color w:val="000000" w:themeColor="text1"/>
          <w:sz w:val="20"/>
          <w:szCs w:val="20"/>
        </w:rPr>
        <w:t xml:space="preserve">O, 8 for DSS, Data represent mean ± SEM. **p&lt;0.01, ***p&lt;0.001, Student’s </w:t>
      </w:r>
      <w:r w:rsidRPr="00E73B7F">
        <w:rPr>
          <w:rFonts w:ascii="Arial" w:hAnsi="Arial" w:cs="Arial"/>
          <w:i/>
          <w:color w:val="000000" w:themeColor="text1"/>
          <w:sz w:val="20"/>
          <w:szCs w:val="20"/>
        </w:rPr>
        <w:t>t</w:t>
      </w:r>
      <w:r w:rsidRPr="00E73B7F">
        <w:rPr>
          <w:rFonts w:ascii="Arial" w:hAnsi="Arial" w:cs="Arial"/>
          <w:color w:val="000000" w:themeColor="text1"/>
          <w:sz w:val="20"/>
          <w:szCs w:val="20"/>
        </w:rPr>
        <w:t xml:space="preserve"> test.</w:t>
      </w:r>
    </w:p>
    <w:p w14:paraId="4E73E1D8" w14:textId="7886BFD7" w:rsidR="003535EB" w:rsidRDefault="003535EB" w:rsidP="003535EB">
      <w:pPr>
        <w:spacing w:line="360" w:lineRule="auto"/>
        <w:jc w:val="both"/>
        <w:rPr>
          <w:rFonts w:ascii="Arial" w:hAnsi="Arial" w:cs="Arial"/>
          <w:color w:val="000000" w:themeColor="text1"/>
          <w:sz w:val="20"/>
          <w:szCs w:val="20"/>
        </w:rPr>
      </w:pPr>
      <w:r w:rsidRPr="00E73B7F">
        <w:rPr>
          <w:rFonts w:ascii="Arial" w:hAnsi="Arial" w:cs="Arial"/>
          <w:color w:val="000000" w:themeColor="text1"/>
          <w:sz w:val="20"/>
          <w:szCs w:val="20"/>
        </w:rPr>
        <w:t>(</w:t>
      </w:r>
      <w:r w:rsidRPr="00E73B7F">
        <w:rPr>
          <w:rFonts w:ascii="Arial" w:hAnsi="Arial" w:cs="Arial"/>
          <w:b/>
          <w:color w:val="000000" w:themeColor="text1"/>
          <w:sz w:val="20"/>
          <w:szCs w:val="20"/>
        </w:rPr>
        <w:t>F</w:t>
      </w:r>
      <w:r w:rsidRPr="00E73B7F">
        <w:rPr>
          <w:rFonts w:ascii="Arial" w:hAnsi="Arial" w:cs="Arial"/>
          <w:color w:val="000000" w:themeColor="text1"/>
          <w:sz w:val="20"/>
          <w:szCs w:val="20"/>
        </w:rPr>
        <w:t>) Cholangiocarcinoma was induced in C57BL/6 mice by hydrodynamic injection of AKT and NICD1. After 2 cycles of DSS treatment, the mice were sacrificed, and the liver weight was measured. n=5 for H</w:t>
      </w:r>
      <w:r w:rsidRPr="00E73B7F">
        <w:rPr>
          <w:rFonts w:ascii="Arial" w:hAnsi="Arial" w:cs="Arial"/>
          <w:color w:val="000000" w:themeColor="text1"/>
          <w:sz w:val="20"/>
          <w:szCs w:val="20"/>
          <w:vertAlign w:val="subscript"/>
        </w:rPr>
        <w:t>2</w:t>
      </w:r>
      <w:r w:rsidRPr="00E73B7F">
        <w:rPr>
          <w:rFonts w:ascii="Arial" w:hAnsi="Arial" w:cs="Arial"/>
          <w:color w:val="000000" w:themeColor="text1"/>
          <w:sz w:val="20"/>
          <w:szCs w:val="20"/>
        </w:rPr>
        <w:t>O and DSS, Data represent mean ± SEM. **p&lt;0.01, ***p&lt;0.001, Student's t test.</w:t>
      </w:r>
    </w:p>
    <w:p w14:paraId="647A95FC" w14:textId="4DD8E08D" w:rsidR="00E73B7F" w:rsidRDefault="00E73B7F" w:rsidP="003535EB">
      <w:pPr>
        <w:spacing w:line="360" w:lineRule="auto"/>
        <w:jc w:val="both"/>
        <w:rPr>
          <w:rFonts w:ascii="Arial" w:hAnsi="Arial" w:cs="Arial"/>
          <w:color w:val="000000" w:themeColor="text1"/>
          <w:sz w:val="20"/>
          <w:szCs w:val="20"/>
        </w:rPr>
      </w:pPr>
    </w:p>
    <w:p w14:paraId="142B72AB" w14:textId="61DABDBF" w:rsidR="00E73B7F" w:rsidRDefault="00E73B7F" w:rsidP="003535EB">
      <w:pPr>
        <w:spacing w:line="360" w:lineRule="auto"/>
        <w:jc w:val="both"/>
        <w:rPr>
          <w:rFonts w:ascii="Arial" w:hAnsi="Arial" w:cs="Arial"/>
          <w:color w:val="000000" w:themeColor="text1"/>
          <w:sz w:val="20"/>
          <w:szCs w:val="20"/>
        </w:rPr>
      </w:pPr>
    </w:p>
    <w:p w14:paraId="1FAE27FF" w14:textId="77777777" w:rsidR="00E73B7F" w:rsidRPr="00E73B7F" w:rsidRDefault="00E73B7F" w:rsidP="003535EB">
      <w:pPr>
        <w:spacing w:line="360" w:lineRule="auto"/>
        <w:jc w:val="both"/>
        <w:rPr>
          <w:rFonts w:ascii="Arial" w:hAnsi="Arial" w:cs="Arial"/>
          <w:color w:val="000000" w:themeColor="text1"/>
          <w:sz w:val="20"/>
          <w:szCs w:val="20"/>
        </w:rPr>
      </w:pPr>
    </w:p>
    <w:p w14:paraId="4EAC0784" w14:textId="77777777" w:rsidR="003535EB" w:rsidRPr="00E73B7F" w:rsidRDefault="003535EB" w:rsidP="003535EB">
      <w:pPr>
        <w:spacing w:line="360" w:lineRule="auto"/>
        <w:jc w:val="both"/>
        <w:rPr>
          <w:rFonts w:ascii="Arial" w:hAnsi="Arial" w:cs="Arial"/>
          <w:color w:val="000000" w:themeColor="text1"/>
          <w:sz w:val="20"/>
          <w:szCs w:val="20"/>
        </w:rPr>
      </w:pPr>
    </w:p>
    <w:p w14:paraId="10CEAEA1" w14:textId="11EE145D" w:rsidR="00E73B7F" w:rsidRPr="00E73B7F" w:rsidRDefault="00E73B7F" w:rsidP="003535EB">
      <w:pPr>
        <w:spacing w:line="360" w:lineRule="auto"/>
        <w:jc w:val="both"/>
        <w:rPr>
          <w:rFonts w:ascii="Arial" w:hAnsi="Arial" w:cs="Arial"/>
          <w:color w:val="000000" w:themeColor="text1"/>
          <w:sz w:val="20"/>
          <w:szCs w:val="20"/>
        </w:rPr>
      </w:pPr>
      <w:r w:rsidRPr="00E73B7F">
        <w:rPr>
          <w:rFonts w:ascii="Arial" w:hAnsi="Arial" w:cs="Arial"/>
          <w:noProof/>
          <w:color w:val="000000" w:themeColor="text1"/>
          <w:sz w:val="20"/>
          <w:szCs w:val="20"/>
        </w:rPr>
        <w:lastRenderedPageBreak/>
        <w:drawing>
          <wp:inline distT="0" distB="0" distL="0" distR="0" wp14:anchorId="2AAC0729" wp14:editId="73820DD6">
            <wp:extent cx="5943600" cy="5596890"/>
            <wp:effectExtent l="0" t="0" r="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5596890"/>
                    </a:xfrm>
                    <a:prstGeom prst="rect">
                      <a:avLst/>
                    </a:prstGeom>
                  </pic:spPr>
                </pic:pic>
              </a:graphicData>
            </a:graphic>
          </wp:inline>
        </w:drawing>
      </w:r>
    </w:p>
    <w:p w14:paraId="4CBAFE55" w14:textId="77777777" w:rsidR="003535EB" w:rsidRPr="00E73B7F" w:rsidRDefault="003535EB" w:rsidP="003535EB">
      <w:pPr>
        <w:spacing w:line="360" w:lineRule="auto"/>
        <w:jc w:val="both"/>
        <w:rPr>
          <w:rFonts w:ascii="Arial" w:hAnsi="Arial" w:cs="Arial"/>
          <w:color w:val="000000" w:themeColor="text1"/>
          <w:sz w:val="20"/>
          <w:szCs w:val="20"/>
        </w:rPr>
      </w:pPr>
      <w:r w:rsidRPr="00E73B7F">
        <w:rPr>
          <w:rFonts w:ascii="Arial" w:hAnsi="Arial" w:cs="Arial"/>
          <w:b/>
          <w:bCs/>
          <w:color w:val="000000" w:themeColor="text1"/>
          <w:sz w:val="20"/>
          <w:szCs w:val="20"/>
        </w:rPr>
        <w:t>Figure S6</w:t>
      </w:r>
      <w:r w:rsidRPr="00E73B7F">
        <w:rPr>
          <w:rFonts w:ascii="Arial" w:hAnsi="Arial" w:cs="Arial"/>
          <w:color w:val="000000" w:themeColor="text1"/>
          <w:sz w:val="20"/>
          <w:szCs w:val="20"/>
        </w:rPr>
        <w:t>. Targeting PMN-MDSC reduces cholangiocarcinoma.</w:t>
      </w:r>
    </w:p>
    <w:p w14:paraId="3CBBDF6A" w14:textId="77777777" w:rsidR="003535EB" w:rsidRPr="00E73B7F" w:rsidRDefault="003535EB" w:rsidP="003535EB">
      <w:pPr>
        <w:spacing w:line="360" w:lineRule="auto"/>
        <w:jc w:val="both"/>
        <w:rPr>
          <w:rFonts w:ascii="Arial" w:hAnsi="Arial" w:cs="Arial"/>
          <w:color w:val="000000" w:themeColor="text1"/>
          <w:sz w:val="20"/>
          <w:szCs w:val="20"/>
        </w:rPr>
      </w:pPr>
      <w:r w:rsidRPr="00E73B7F">
        <w:rPr>
          <w:rFonts w:ascii="Arial" w:hAnsi="Arial" w:cs="Arial"/>
          <w:color w:val="000000" w:themeColor="text1"/>
          <w:sz w:val="20"/>
          <w:szCs w:val="20"/>
        </w:rPr>
        <w:t>(</w:t>
      </w:r>
      <w:r w:rsidRPr="00E73B7F">
        <w:rPr>
          <w:rFonts w:ascii="Arial" w:hAnsi="Arial" w:cs="Arial"/>
          <w:b/>
          <w:bCs/>
          <w:color w:val="000000" w:themeColor="text1"/>
          <w:sz w:val="20"/>
          <w:szCs w:val="20"/>
        </w:rPr>
        <w:t>A</w:t>
      </w:r>
      <w:r w:rsidRPr="00E73B7F">
        <w:rPr>
          <w:rFonts w:ascii="Arial" w:hAnsi="Arial" w:cs="Arial"/>
          <w:color w:val="000000" w:themeColor="text1"/>
          <w:sz w:val="20"/>
          <w:szCs w:val="20"/>
        </w:rPr>
        <w:t xml:space="preserve">) AKT+ NICD1 tumor bearing C57BL/6 mice with DSS-colitis were treated with isotype control (ISO) or anti-Ly6G antibody (1A8) (200 </w:t>
      </w:r>
      <w:r w:rsidRPr="00E73B7F">
        <w:rPr>
          <w:rFonts w:ascii="Arial" w:hAnsi="Arial" w:cs="Arial"/>
          <w:color w:val="000000" w:themeColor="text1"/>
          <w:sz w:val="20"/>
          <w:szCs w:val="20"/>
        </w:rPr>
        <w:sym w:font="Symbol" w:char="F06D"/>
      </w:r>
      <w:r w:rsidRPr="00E73B7F">
        <w:rPr>
          <w:rFonts w:ascii="Arial" w:hAnsi="Arial" w:cs="Arial"/>
          <w:color w:val="000000" w:themeColor="text1"/>
          <w:sz w:val="20"/>
          <w:szCs w:val="20"/>
        </w:rPr>
        <w:t xml:space="preserve">g, </w:t>
      </w:r>
      <w:proofErr w:type="spellStart"/>
      <w:r w:rsidRPr="00E73B7F">
        <w:rPr>
          <w:rFonts w:ascii="Arial" w:hAnsi="Arial" w:cs="Arial"/>
          <w:color w:val="000000" w:themeColor="text1"/>
          <w:sz w:val="20"/>
          <w:szCs w:val="20"/>
        </w:rPr>
        <w:t>i.p.</w:t>
      </w:r>
      <w:proofErr w:type="spellEnd"/>
      <w:r w:rsidRPr="00E73B7F">
        <w:rPr>
          <w:rFonts w:ascii="Arial" w:hAnsi="Arial" w:cs="Arial"/>
          <w:color w:val="000000" w:themeColor="text1"/>
          <w:sz w:val="20"/>
          <w:szCs w:val="20"/>
        </w:rPr>
        <w:t xml:space="preserve"> every other day). The absolute number and percentage of M-MDSC, PMN-MDSC and total MDSC were determined after 2 cycles of DSS treatment. Data represent mean ± SEM. n=5 for each group. * p&lt;0.05, Student’s </w:t>
      </w:r>
      <w:r w:rsidRPr="00E73B7F">
        <w:rPr>
          <w:rFonts w:ascii="Arial" w:hAnsi="Arial" w:cs="Arial"/>
          <w:i/>
          <w:color w:val="000000" w:themeColor="text1"/>
          <w:sz w:val="20"/>
          <w:szCs w:val="20"/>
        </w:rPr>
        <w:t>t</w:t>
      </w:r>
      <w:r w:rsidRPr="00E73B7F">
        <w:rPr>
          <w:rFonts w:ascii="Arial" w:hAnsi="Arial" w:cs="Arial"/>
          <w:color w:val="000000" w:themeColor="text1"/>
          <w:sz w:val="20"/>
          <w:szCs w:val="20"/>
        </w:rPr>
        <w:t xml:space="preserve"> test. </w:t>
      </w:r>
    </w:p>
    <w:p w14:paraId="0E76CBDD" w14:textId="77777777" w:rsidR="003535EB" w:rsidRPr="00E73B7F" w:rsidRDefault="003535EB" w:rsidP="003535EB">
      <w:pPr>
        <w:spacing w:line="360" w:lineRule="auto"/>
        <w:jc w:val="both"/>
        <w:rPr>
          <w:rFonts w:ascii="Arial" w:hAnsi="Arial" w:cs="Arial"/>
          <w:color w:val="000000" w:themeColor="text1"/>
          <w:sz w:val="20"/>
          <w:szCs w:val="20"/>
        </w:rPr>
      </w:pPr>
      <w:r w:rsidRPr="00E73B7F">
        <w:rPr>
          <w:rFonts w:ascii="Arial" w:hAnsi="Arial" w:cs="Arial"/>
          <w:color w:val="000000" w:themeColor="text1"/>
          <w:sz w:val="20"/>
          <w:szCs w:val="20"/>
        </w:rPr>
        <w:t>(</w:t>
      </w:r>
      <w:r w:rsidRPr="00E73B7F">
        <w:rPr>
          <w:rFonts w:ascii="Arial" w:hAnsi="Arial" w:cs="Arial"/>
          <w:b/>
          <w:bCs/>
          <w:color w:val="000000" w:themeColor="text1"/>
          <w:sz w:val="20"/>
          <w:szCs w:val="20"/>
        </w:rPr>
        <w:t>B</w:t>
      </w:r>
      <w:r w:rsidRPr="00E73B7F">
        <w:rPr>
          <w:rFonts w:ascii="Arial" w:hAnsi="Arial" w:cs="Arial"/>
          <w:color w:val="000000" w:themeColor="text1"/>
          <w:sz w:val="20"/>
          <w:szCs w:val="20"/>
        </w:rPr>
        <w:t xml:space="preserve">) C57BL/6 mice were used to induce cholangiocarcinoma via hydrodynamic injection of AKT+NICD1 (Ctr), or AKT+NICD1+CXCL1 (CXCL1). Seven weeks later, the absolute number and the percentage of hepatic M-MDSC, PMN-MDSC and total MDSC were detected. Data represent mean ± SEM. n=8 for Ctr and CXCL1. **p&lt;0.01, Student’s </w:t>
      </w:r>
      <w:r w:rsidRPr="00E73B7F">
        <w:rPr>
          <w:rFonts w:ascii="Arial" w:hAnsi="Arial" w:cs="Arial"/>
          <w:i/>
          <w:color w:val="000000" w:themeColor="text1"/>
          <w:sz w:val="20"/>
          <w:szCs w:val="20"/>
        </w:rPr>
        <w:t>t</w:t>
      </w:r>
      <w:r w:rsidRPr="00E73B7F">
        <w:rPr>
          <w:rFonts w:ascii="Arial" w:hAnsi="Arial" w:cs="Arial"/>
          <w:color w:val="000000" w:themeColor="text1"/>
          <w:sz w:val="20"/>
          <w:szCs w:val="20"/>
        </w:rPr>
        <w:t xml:space="preserve"> test. </w:t>
      </w:r>
    </w:p>
    <w:p w14:paraId="7E779567" w14:textId="77777777" w:rsidR="003535EB" w:rsidRPr="00E73B7F" w:rsidRDefault="003535EB" w:rsidP="003535EB">
      <w:pPr>
        <w:spacing w:line="360" w:lineRule="auto"/>
        <w:jc w:val="both"/>
        <w:rPr>
          <w:rFonts w:ascii="Arial" w:hAnsi="Arial" w:cs="Arial"/>
          <w:color w:val="000000" w:themeColor="text1"/>
          <w:sz w:val="20"/>
          <w:szCs w:val="20"/>
        </w:rPr>
      </w:pPr>
      <w:r w:rsidRPr="00E73B7F">
        <w:rPr>
          <w:rFonts w:ascii="Arial" w:hAnsi="Arial" w:cs="Arial"/>
          <w:color w:val="000000" w:themeColor="text1"/>
          <w:sz w:val="20"/>
          <w:szCs w:val="20"/>
        </w:rPr>
        <w:t>(</w:t>
      </w:r>
      <w:r w:rsidRPr="00E73B7F">
        <w:rPr>
          <w:rFonts w:ascii="Arial" w:hAnsi="Arial" w:cs="Arial"/>
          <w:b/>
          <w:bCs/>
          <w:color w:val="000000" w:themeColor="text1"/>
          <w:sz w:val="20"/>
          <w:szCs w:val="20"/>
        </w:rPr>
        <w:t>C</w:t>
      </w:r>
      <w:r w:rsidRPr="00E73B7F">
        <w:rPr>
          <w:rFonts w:ascii="Arial" w:hAnsi="Arial" w:cs="Arial"/>
          <w:color w:val="000000" w:themeColor="text1"/>
          <w:sz w:val="20"/>
          <w:szCs w:val="20"/>
        </w:rPr>
        <w:t xml:space="preserve">) C57BL/6 mice were induced cholangiocarcinoma via hydrodynamic injection of AKT+YAP. Mice were treated with CXCL1 neutralization antibody or isotype control (4 mg/kg, </w:t>
      </w:r>
      <w:proofErr w:type="spellStart"/>
      <w:r w:rsidRPr="00E73B7F">
        <w:rPr>
          <w:rFonts w:ascii="Arial" w:hAnsi="Arial" w:cs="Arial"/>
          <w:color w:val="000000" w:themeColor="text1"/>
          <w:sz w:val="20"/>
          <w:szCs w:val="20"/>
        </w:rPr>
        <w:t>i.v.</w:t>
      </w:r>
      <w:proofErr w:type="spellEnd"/>
      <w:r w:rsidRPr="00E73B7F">
        <w:rPr>
          <w:rFonts w:ascii="Arial" w:hAnsi="Arial" w:cs="Arial"/>
          <w:color w:val="000000" w:themeColor="text1"/>
          <w:sz w:val="20"/>
          <w:szCs w:val="20"/>
        </w:rPr>
        <w:t xml:space="preserve">) and sacrificed after 2 cycles </w:t>
      </w:r>
      <w:r w:rsidRPr="00E73B7F">
        <w:rPr>
          <w:rFonts w:ascii="Arial" w:hAnsi="Arial" w:cs="Arial"/>
          <w:color w:val="000000" w:themeColor="text1"/>
          <w:sz w:val="20"/>
          <w:szCs w:val="20"/>
        </w:rPr>
        <w:lastRenderedPageBreak/>
        <w:t xml:space="preserve">DSS treatment. The absolute number and percentage of hepatic M-MDSC, PMN-MDSC and total MDSC were detected. Data represent mean ± SEM. n=5 for Iso, 4 for a-CXCL1. *p&lt;0.05, Student’s </w:t>
      </w:r>
      <w:r w:rsidRPr="00E73B7F">
        <w:rPr>
          <w:rFonts w:ascii="Arial" w:hAnsi="Arial" w:cs="Arial"/>
          <w:i/>
          <w:color w:val="000000" w:themeColor="text1"/>
          <w:sz w:val="20"/>
          <w:szCs w:val="20"/>
        </w:rPr>
        <w:t>t</w:t>
      </w:r>
      <w:r w:rsidRPr="00E73B7F">
        <w:rPr>
          <w:rFonts w:ascii="Arial" w:hAnsi="Arial" w:cs="Arial"/>
          <w:color w:val="000000" w:themeColor="text1"/>
          <w:sz w:val="20"/>
          <w:szCs w:val="20"/>
        </w:rPr>
        <w:t xml:space="preserve"> test. </w:t>
      </w:r>
    </w:p>
    <w:p w14:paraId="4CAB927E" w14:textId="77777777" w:rsidR="003535EB" w:rsidRPr="00E73B7F" w:rsidRDefault="003535EB" w:rsidP="003535EB">
      <w:pPr>
        <w:spacing w:line="360" w:lineRule="auto"/>
        <w:jc w:val="both"/>
        <w:rPr>
          <w:rFonts w:ascii="Arial" w:hAnsi="Arial" w:cs="Arial"/>
          <w:color w:val="000000" w:themeColor="text1"/>
          <w:sz w:val="20"/>
          <w:szCs w:val="20"/>
        </w:rPr>
      </w:pPr>
      <w:r w:rsidRPr="00E73B7F">
        <w:rPr>
          <w:rFonts w:ascii="Arial" w:hAnsi="Arial" w:cs="Arial"/>
          <w:color w:val="000000" w:themeColor="text1"/>
          <w:sz w:val="20"/>
          <w:szCs w:val="20"/>
        </w:rPr>
        <w:t>(</w:t>
      </w:r>
      <w:r w:rsidRPr="00E73B7F">
        <w:rPr>
          <w:rFonts w:ascii="Arial" w:hAnsi="Arial" w:cs="Arial"/>
          <w:b/>
          <w:color w:val="000000" w:themeColor="text1"/>
          <w:sz w:val="20"/>
          <w:szCs w:val="20"/>
        </w:rPr>
        <w:t>D</w:t>
      </w:r>
      <w:r w:rsidRPr="00E73B7F">
        <w:rPr>
          <w:rFonts w:ascii="Arial" w:hAnsi="Arial" w:cs="Arial"/>
          <w:color w:val="000000" w:themeColor="text1"/>
          <w:sz w:val="20"/>
          <w:szCs w:val="20"/>
        </w:rPr>
        <w:t xml:space="preserve">) C57BL/6 mice were induced cholangiocarcinoma via hydrodynamic injection of AKT+ NICD1, followed by 2 cycles DSS treatment. The mice were treated with vehicle or SB225002 (10mg/kg, </w:t>
      </w:r>
      <w:proofErr w:type="spellStart"/>
      <w:r w:rsidRPr="00E73B7F">
        <w:rPr>
          <w:rFonts w:ascii="Arial" w:hAnsi="Arial" w:cs="Arial"/>
          <w:color w:val="000000" w:themeColor="text1"/>
          <w:sz w:val="20"/>
          <w:szCs w:val="20"/>
        </w:rPr>
        <w:t>i.p.</w:t>
      </w:r>
      <w:proofErr w:type="spellEnd"/>
      <w:r w:rsidRPr="00E73B7F">
        <w:rPr>
          <w:rFonts w:ascii="Arial" w:hAnsi="Arial" w:cs="Arial"/>
          <w:color w:val="000000" w:themeColor="text1"/>
          <w:sz w:val="20"/>
          <w:szCs w:val="20"/>
        </w:rPr>
        <w:t xml:space="preserve"> every other day). The absolute number and percentage of hepatic CXCR2</w:t>
      </w:r>
      <w:r w:rsidRPr="00E73B7F">
        <w:rPr>
          <w:rFonts w:ascii="Arial" w:hAnsi="Arial" w:cs="Arial"/>
          <w:color w:val="000000" w:themeColor="text1"/>
          <w:sz w:val="20"/>
          <w:szCs w:val="20"/>
          <w:vertAlign w:val="superscript"/>
        </w:rPr>
        <w:t>+</w:t>
      </w:r>
      <w:r w:rsidRPr="00E73B7F">
        <w:rPr>
          <w:rFonts w:ascii="Arial" w:hAnsi="Arial" w:cs="Arial"/>
          <w:color w:val="000000" w:themeColor="text1"/>
          <w:sz w:val="20"/>
          <w:szCs w:val="20"/>
        </w:rPr>
        <w:t xml:space="preserve"> cells were detected. Data represent mean ± SEM. n=6 for Vehicle and SB225002. ** p&lt;0.01, Student’s </w:t>
      </w:r>
      <w:r w:rsidRPr="00E73B7F">
        <w:rPr>
          <w:rFonts w:ascii="Arial" w:hAnsi="Arial" w:cs="Arial"/>
          <w:i/>
          <w:color w:val="000000" w:themeColor="text1"/>
          <w:sz w:val="20"/>
          <w:szCs w:val="20"/>
        </w:rPr>
        <w:t>t</w:t>
      </w:r>
      <w:r w:rsidRPr="00E73B7F">
        <w:rPr>
          <w:rFonts w:ascii="Arial" w:hAnsi="Arial" w:cs="Arial"/>
          <w:color w:val="000000" w:themeColor="text1"/>
          <w:sz w:val="20"/>
          <w:szCs w:val="20"/>
        </w:rPr>
        <w:t xml:space="preserve"> test.  </w:t>
      </w:r>
    </w:p>
    <w:p w14:paraId="6D1FD233" w14:textId="3E8281B6" w:rsidR="003535EB" w:rsidRPr="00E73B7F" w:rsidRDefault="003535EB" w:rsidP="003535EB">
      <w:pPr>
        <w:spacing w:line="360" w:lineRule="auto"/>
        <w:jc w:val="both"/>
        <w:rPr>
          <w:rFonts w:ascii="Arial" w:hAnsi="Arial" w:cs="Arial"/>
          <w:color w:val="000000" w:themeColor="text1"/>
          <w:sz w:val="20"/>
          <w:szCs w:val="20"/>
        </w:rPr>
      </w:pPr>
      <w:r w:rsidRPr="00E73B7F">
        <w:rPr>
          <w:rFonts w:ascii="Arial" w:hAnsi="Arial" w:cs="Arial"/>
          <w:color w:val="000000" w:themeColor="text1"/>
          <w:sz w:val="20"/>
          <w:szCs w:val="20"/>
        </w:rPr>
        <w:t>(</w:t>
      </w:r>
      <w:r w:rsidRPr="00E73B7F">
        <w:rPr>
          <w:rFonts w:ascii="Arial" w:hAnsi="Arial" w:cs="Arial"/>
          <w:b/>
          <w:color w:val="000000" w:themeColor="text1"/>
          <w:sz w:val="20"/>
          <w:szCs w:val="20"/>
        </w:rPr>
        <w:t>E</w:t>
      </w:r>
      <w:r w:rsidRPr="00E73B7F">
        <w:rPr>
          <w:rFonts w:ascii="Arial" w:hAnsi="Arial" w:cs="Arial"/>
          <w:color w:val="000000" w:themeColor="text1"/>
          <w:sz w:val="20"/>
          <w:szCs w:val="20"/>
        </w:rPr>
        <w:t xml:space="preserve"> and </w:t>
      </w:r>
      <w:r w:rsidRPr="00E73B7F">
        <w:rPr>
          <w:rFonts w:ascii="Arial" w:hAnsi="Arial" w:cs="Arial"/>
          <w:b/>
          <w:color w:val="000000" w:themeColor="text1"/>
          <w:sz w:val="20"/>
          <w:szCs w:val="20"/>
        </w:rPr>
        <w:t>F</w:t>
      </w:r>
      <w:r w:rsidRPr="00E73B7F">
        <w:rPr>
          <w:rFonts w:ascii="Arial" w:hAnsi="Arial" w:cs="Arial"/>
          <w:color w:val="000000" w:themeColor="text1"/>
          <w:sz w:val="20"/>
          <w:szCs w:val="20"/>
        </w:rPr>
        <w:t>) C57BL/6 mice were used to induce cholangiocarcinoma via hydrodynamic injection of AKT+ NICD1. Mice were treated with CD4, CD8 or NK depleting antibodies and euthanized after 2 cycles of DSS treatment. The efficacy of CD4, CD8 or NK depletion were confirmed using flow cytometry (</w:t>
      </w:r>
      <w:r w:rsidR="002F6C21">
        <w:rPr>
          <w:rFonts w:ascii="Arial" w:hAnsi="Arial" w:cs="Arial"/>
          <w:b/>
          <w:bCs/>
          <w:color w:val="000000" w:themeColor="text1"/>
          <w:sz w:val="20"/>
          <w:szCs w:val="20"/>
        </w:rPr>
        <w:t>E</w:t>
      </w:r>
      <w:r w:rsidRPr="00E73B7F">
        <w:rPr>
          <w:rFonts w:ascii="Arial" w:hAnsi="Arial" w:cs="Arial"/>
          <w:color w:val="000000" w:themeColor="text1"/>
          <w:sz w:val="20"/>
          <w:szCs w:val="20"/>
        </w:rPr>
        <w:t>).  Liver weight was measured (</w:t>
      </w:r>
      <w:r w:rsidR="002F6C21">
        <w:rPr>
          <w:rFonts w:ascii="Arial" w:hAnsi="Arial" w:cs="Arial"/>
          <w:b/>
          <w:bCs/>
          <w:color w:val="000000" w:themeColor="text1"/>
          <w:sz w:val="20"/>
          <w:szCs w:val="20"/>
        </w:rPr>
        <w:t>F</w:t>
      </w:r>
      <w:r w:rsidRPr="00E73B7F">
        <w:rPr>
          <w:rFonts w:ascii="Arial" w:hAnsi="Arial" w:cs="Arial"/>
          <w:color w:val="000000" w:themeColor="text1"/>
          <w:sz w:val="20"/>
          <w:szCs w:val="20"/>
        </w:rPr>
        <w:t xml:space="preserve">). n=5 for CD8 depletion in DSS-treated mice, 4 for some other groups.  Data represent mean ± SEM. **p&lt;0.01, ***p&lt;0.001, two-way ANOVA.    </w:t>
      </w:r>
    </w:p>
    <w:p w14:paraId="78CFD3FA" w14:textId="77777777" w:rsidR="003535EB" w:rsidRPr="00E73B7F" w:rsidRDefault="003535EB" w:rsidP="003535EB">
      <w:pPr>
        <w:spacing w:line="360" w:lineRule="auto"/>
        <w:jc w:val="both"/>
        <w:rPr>
          <w:rFonts w:ascii="Arial" w:hAnsi="Arial" w:cs="Arial"/>
          <w:color w:val="000000" w:themeColor="text1"/>
          <w:sz w:val="20"/>
          <w:szCs w:val="20"/>
        </w:rPr>
      </w:pPr>
    </w:p>
    <w:p w14:paraId="58041BEC" w14:textId="0390E5ED" w:rsidR="003535EB" w:rsidRPr="00E73B7F" w:rsidRDefault="00E73B7F" w:rsidP="003535EB">
      <w:pPr>
        <w:spacing w:line="360" w:lineRule="auto"/>
        <w:jc w:val="both"/>
        <w:rPr>
          <w:rFonts w:ascii="Arial" w:hAnsi="Arial" w:cs="Arial"/>
          <w:color w:val="000000" w:themeColor="text1"/>
          <w:sz w:val="20"/>
          <w:szCs w:val="20"/>
        </w:rPr>
      </w:pPr>
      <w:r w:rsidRPr="00E73B7F">
        <w:rPr>
          <w:rFonts w:ascii="Arial" w:hAnsi="Arial" w:cs="Arial"/>
          <w:noProof/>
          <w:color w:val="000000" w:themeColor="text1"/>
          <w:sz w:val="20"/>
          <w:szCs w:val="20"/>
        </w:rPr>
        <w:lastRenderedPageBreak/>
        <w:drawing>
          <wp:inline distT="0" distB="0" distL="0" distR="0" wp14:anchorId="68D1601B" wp14:editId="2B3EC317">
            <wp:extent cx="5943600" cy="640588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6405880"/>
                    </a:xfrm>
                    <a:prstGeom prst="rect">
                      <a:avLst/>
                    </a:prstGeom>
                  </pic:spPr>
                </pic:pic>
              </a:graphicData>
            </a:graphic>
          </wp:inline>
        </w:drawing>
      </w:r>
    </w:p>
    <w:p w14:paraId="30B0218D" w14:textId="77777777" w:rsidR="003535EB" w:rsidRPr="00E73B7F" w:rsidRDefault="003535EB" w:rsidP="003535EB">
      <w:pPr>
        <w:spacing w:line="360" w:lineRule="auto"/>
        <w:jc w:val="both"/>
        <w:rPr>
          <w:rFonts w:ascii="Arial" w:hAnsi="Arial" w:cs="Arial"/>
          <w:color w:val="000000" w:themeColor="text1"/>
          <w:sz w:val="20"/>
          <w:szCs w:val="20"/>
        </w:rPr>
      </w:pPr>
      <w:r w:rsidRPr="00E73B7F">
        <w:rPr>
          <w:rFonts w:ascii="Arial" w:hAnsi="Arial" w:cs="Arial"/>
          <w:b/>
          <w:bCs/>
          <w:color w:val="000000" w:themeColor="text1"/>
          <w:sz w:val="20"/>
          <w:szCs w:val="20"/>
        </w:rPr>
        <w:t xml:space="preserve">Figure S7. </w:t>
      </w:r>
      <w:r w:rsidRPr="00E73B7F">
        <w:rPr>
          <w:rFonts w:ascii="Arial" w:hAnsi="Arial" w:cs="Arial"/>
          <w:color w:val="000000" w:themeColor="text1"/>
          <w:sz w:val="20"/>
          <w:szCs w:val="20"/>
        </w:rPr>
        <w:t xml:space="preserve">Gram negative bacteria direct hepatocytes to control cholangiocarcinoma development.  </w:t>
      </w:r>
    </w:p>
    <w:p w14:paraId="7003D884" w14:textId="77777777" w:rsidR="003535EB" w:rsidRPr="00E73B7F" w:rsidRDefault="003535EB" w:rsidP="003535EB">
      <w:pPr>
        <w:spacing w:line="360" w:lineRule="auto"/>
        <w:jc w:val="both"/>
        <w:rPr>
          <w:rFonts w:ascii="Arial" w:hAnsi="Arial" w:cs="Arial"/>
          <w:color w:val="000000" w:themeColor="text1"/>
          <w:sz w:val="20"/>
          <w:szCs w:val="20"/>
        </w:rPr>
      </w:pPr>
      <w:r w:rsidRPr="00E73B7F">
        <w:rPr>
          <w:rFonts w:ascii="Arial" w:hAnsi="Arial" w:cs="Arial"/>
          <w:color w:val="000000" w:themeColor="text1"/>
          <w:sz w:val="20"/>
          <w:szCs w:val="20"/>
        </w:rPr>
        <w:t>(</w:t>
      </w:r>
      <w:r w:rsidRPr="00E73B7F">
        <w:rPr>
          <w:rFonts w:ascii="Arial" w:hAnsi="Arial" w:cs="Arial"/>
          <w:b/>
          <w:bCs/>
          <w:color w:val="000000" w:themeColor="text1"/>
          <w:sz w:val="20"/>
          <w:szCs w:val="20"/>
        </w:rPr>
        <w:t>A and B</w:t>
      </w:r>
      <w:r w:rsidRPr="00E73B7F">
        <w:rPr>
          <w:rFonts w:ascii="Arial" w:hAnsi="Arial" w:cs="Arial"/>
          <w:color w:val="000000" w:themeColor="text1"/>
          <w:sz w:val="20"/>
          <w:szCs w:val="20"/>
        </w:rPr>
        <w:t>) C57BL/6 mice were used to induce cholangiocarcinoma via hydrodynamic injection of AKT+YAP and treated with Neomycin. One week later, BDL was performed on the mice. Control (Ctr), BDL, neomycin (Neo) and BDL+ neomycin (</w:t>
      </w:r>
      <w:proofErr w:type="spellStart"/>
      <w:r w:rsidRPr="00E73B7F">
        <w:rPr>
          <w:rFonts w:ascii="Arial" w:hAnsi="Arial" w:cs="Arial"/>
          <w:color w:val="000000" w:themeColor="text1"/>
          <w:sz w:val="20"/>
          <w:szCs w:val="20"/>
        </w:rPr>
        <w:t>BDL+Neo</w:t>
      </w:r>
      <w:proofErr w:type="spellEnd"/>
      <w:r w:rsidRPr="00E73B7F">
        <w:rPr>
          <w:rFonts w:ascii="Arial" w:hAnsi="Arial" w:cs="Arial"/>
          <w:color w:val="000000" w:themeColor="text1"/>
          <w:sz w:val="20"/>
          <w:szCs w:val="20"/>
        </w:rPr>
        <w:t xml:space="preserve">) mice were sacrificed 3 weeks after BDL. Liver weight in each group was detected. n=5 for each group. Data represent mean ± SEM.  ***p&lt;0.001, one-way ANOVA. </w:t>
      </w:r>
    </w:p>
    <w:p w14:paraId="5E9625EE" w14:textId="77777777" w:rsidR="003535EB" w:rsidRPr="00E73B7F" w:rsidRDefault="003535EB" w:rsidP="003535EB">
      <w:pPr>
        <w:spacing w:line="360" w:lineRule="auto"/>
        <w:jc w:val="both"/>
        <w:rPr>
          <w:rFonts w:ascii="Arial" w:hAnsi="Arial" w:cs="Arial"/>
          <w:color w:val="000000" w:themeColor="text1"/>
          <w:sz w:val="20"/>
          <w:szCs w:val="20"/>
        </w:rPr>
      </w:pPr>
      <w:r w:rsidRPr="00E73B7F">
        <w:rPr>
          <w:rFonts w:ascii="Arial" w:hAnsi="Arial" w:cs="Arial"/>
          <w:color w:val="000000" w:themeColor="text1"/>
          <w:sz w:val="20"/>
          <w:szCs w:val="20"/>
        </w:rPr>
        <w:t>(</w:t>
      </w:r>
      <w:r w:rsidRPr="00E73B7F">
        <w:rPr>
          <w:rFonts w:ascii="Arial" w:hAnsi="Arial" w:cs="Arial"/>
          <w:b/>
          <w:bCs/>
          <w:color w:val="000000" w:themeColor="text1"/>
          <w:sz w:val="20"/>
          <w:szCs w:val="20"/>
        </w:rPr>
        <w:t>C, D and E</w:t>
      </w:r>
      <w:r w:rsidRPr="00E73B7F">
        <w:rPr>
          <w:rFonts w:ascii="Arial" w:hAnsi="Arial" w:cs="Arial"/>
          <w:color w:val="000000" w:themeColor="text1"/>
          <w:sz w:val="20"/>
          <w:szCs w:val="20"/>
        </w:rPr>
        <w:t>) Cholangiocarcinoma was induced in C57BL/6 via hydrodynamic injection of AKT+NICD1. Mice were sacrificed after 2 cycles of H</w:t>
      </w:r>
      <w:r w:rsidRPr="00E73B7F">
        <w:rPr>
          <w:rFonts w:ascii="Arial" w:hAnsi="Arial" w:cs="Arial"/>
          <w:color w:val="000000" w:themeColor="text1"/>
          <w:sz w:val="20"/>
          <w:szCs w:val="20"/>
          <w:vertAlign w:val="subscript"/>
        </w:rPr>
        <w:t>2</w:t>
      </w:r>
      <w:r w:rsidRPr="00E73B7F">
        <w:rPr>
          <w:rFonts w:ascii="Arial" w:hAnsi="Arial" w:cs="Arial"/>
          <w:color w:val="000000" w:themeColor="text1"/>
          <w:sz w:val="20"/>
          <w:szCs w:val="20"/>
        </w:rPr>
        <w:t xml:space="preserve">O, DSS, neomycin (Neo) or </w:t>
      </w:r>
      <w:proofErr w:type="spellStart"/>
      <w:r w:rsidRPr="00E73B7F">
        <w:rPr>
          <w:rFonts w:ascii="Arial" w:hAnsi="Arial" w:cs="Arial"/>
          <w:color w:val="000000" w:themeColor="text1"/>
          <w:sz w:val="20"/>
          <w:szCs w:val="20"/>
        </w:rPr>
        <w:t>DSS+neomycin</w:t>
      </w:r>
      <w:proofErr w:type="spellEnd"/>
      <w:r w:rsidRPr="00E73B7F">
        <w:rPr>
          <w:rFonts w:ascii="Arial" w:hAnsi="Arial" w:cs="Arial"/>
          <w:color w:val="000000" w:themeColor="text1"/>
          <w:sz w:val="20"/>
          <w:szCs w:val="20"/>
        </w:rPr>
        <w:t xml:space="preserve"> (</w:t>
      </w:r>
      <w:proofErr w:type="spellStart"/>
      <w:r w:rsidRPr="00E73B7F">
        <w:rPr>
          <w:rFonts w:ascii="Arial" w:hAnsi="Arial" w:cs="Arial"/>
          <w:color w:val="000000" w:themeColor="text1"/>
          <w:sz w:val="20"/>
          <w:szCs w:val="20"/>
        </w:rPr>
        <w:t>DSS+Neo</w:t>
      </w:r>
      <w:proofErr w:type="spellEnd"/>
      <w:r w:rsidRPr="00E73B7F">
        <w:rPr>
          <w:rFonts w:ascii="Arial" w:hAnsi="Arial" w:cs="Arial"/>
          <w:color w:val="000000" w:themeColor="text1"/>
          <w:sz w:val="20"/>
          <w:szCs w:val="20"/>
        </w:rPr>
        <w:t>) treatment (</w:t>
      </w:r>
      <w:r w:rsidRPr="00E73B7F">
        <w:rPr>
          <w:rFonts w:ascii="Arial" w:hAnsi="Arial" w:cs="Arial"/>
          <w:b/>
          <w:bCs/>
          <w:color w:val="000000" w:themeColor="text1"/>
          <w:sz w:val="20"/>
          <w:szCs w:val="20"/>
        </w:rPr>
        <w:t>C</w:t>
      </w:r>
      <w:r w:rsidRPr="00E73B7F">
        <w:rPr>
          <w:rFonts w:ascii="Arial" w:hAnsi="Arial" w:cs="Arial"/>
          <w:color w:val="000000" w:themeColor="text1"/>
          <w:sz w:val="20"/>
          <w:szCs w:val="20"/>
        </w:rPr>
        <w:t>). Liver weights were measured (</w:t>
      </w:r>
      <w:r w:rsidRPr="00E73B7F">
        <w:rPr>
          <w:rFonts w:ascii="Arial" w:hAnsi="Arial" w:cs="Arial"/>
          <w:b/>
          <w:bCs/>
          <w:color w:val="000000" w:themeColor="text1"/>
          <w:sz w:val="20"/>
          <w:szCs w:val="20"/>
        </w:rPr>
        <w:t>D</w:t>
      </w:r>
      <w:r w:rsidRPr="00E73B7F">
        <w:rPr>
          <w:rFonts w:ascii="Arial" w:hAnsi="Arial" w:cs="Arial"/>
          <w:color w:val="000000" w:themeColor="text1"/>
          <w:sz w:val="20"/>
          <w:szCs w:val="20"/>
        </w:rPr>
        <w:t xml:space="preserve">). The representative H&amp;E staining of liver sections in each group was </w:t>
      </w:r>
      <w:r w:rsidRPr="00E73B7F">
        <w:rPr>
          <w:rFonts w:ascii="Arial" w:hAnsi="Arial" w:cs="Arial"/>
          <w:color w:val="000000" w:themeColor="text1"/>
          <w:sz w:val="20"/>
          <w:szCs w:val="20"/>
        </w:rPr>
        <w:lastRenderedPageBreak/>
        <w:t>shown (</w:t>
      </w:r>
      <w:r w:rsidRPr="00E73B7F">
        <w:rPr>
          <w:rFonts w:ascii="Arial" w:hAnsi="Arial" w:cs="Arial"/>
          <w:b/>
          <w:bCs/>
          <w:color w:val="000000" w:themeColor="text1"/>
          <w:sz w:val="20"/>
          <w:szCs w:val="20"/>
        </w:rPr>
        <w:t>E</w:t>
      </w:r>
      <w:r w:rsidRPr="00E73B7F">
        <w:rPr>
          <w:rFonts w:ascii="Arial" w:hAnsi="Arial" w:cs="Arial"/>
          <w:color w:val="000000" w:themeColor="text1"/>
          <w:sz w:val="20"/>
          <w:szCs w:val="20"/>
        </w:rPr>
        <w:t xml:space="preserve">). n=5 for each group. Data represent mean ± SEM.  ns, no significance. ***p&lt;0.001, one-way ANOVA. </w:t>
      </w:r>
    </w:p>
    <w:p w14:paraId="4139FD8B" w14:textId="77777777" w:rsidR="003535EB" w:rsidRPr="00E73B7F" w:rsidRDefault="003535EB" w:rsidP="003535EB">
      <w:pPr>
        <w:spacing w:line="360" w:lineRule="auto"/>
        <w:jc w:val="both"/>
        <w:rPr>
          <w:rFonts w:ascii="Arial" w:hAnsi="Arial" w:cs="Arial"/>
          <w:color w:val="000000" w:themeColor="text1"/>
          <w:sz w:val="20"/>
          <w:szCs w:val="20"/>
        </w:rPr>
      </w:pPr>
      <w:r w:rsidRPr="00E73B7F">
        <w:rPr>
          <w:rFonts w:ascii="Arial" w:hAnsi="Arial" w:cs="Arial"/>
          <w:color w:val="000000" w:themeColor="text1"/>
          <w:sz w:val="20"/>
          <w:szCs w:val="20"/>
        </w:rPr>
        <w:t>(</w:t>
      </w:r>
      <w:r w:rsidRPr="00E73B7F">
        <w:rPr>
          <w:rFonts w:ascii="Arial" w:hAnsi="Arial" w:cs="Arial"/>
          <w:b/>
          <w:bCs/>
          <w:color w:val="000000" w:themeColor="text1"/>
          <w:sz w:val="20"/>
          <w:szCs w:val="20"/>
        </w:rPr>
        <w:t>F</w:t>
      </w:r>
      <w:r w:rsidRPr="00E73B7F">
        <w:rPr>
          <w:rFonts w:ascii="Arial" w:hAnsi="Arial" w:cs="Arial"/>
          <w:color w:val="000000" w:themeColor="text1"/>
          <w:sz w:val="20"/>
          <w:szCs w:val="20"/>
        </w:rPr>
        <w:t>) C57BL/6 mice were treated with antibiotics cocktail for 3 weeks, followed by oral garaged with 3 weeks Vancomycin (</w:t>
      </w:r>
      <w:proofErr w:type="spellStart"/>
      <w:r w:rsidRPr="00E73B7F">
        <w:rPr>
          <w:rFonts w:ascii="Arial" w:hAnsi="Arial" w:cs="Arial"/>
          <w:color w:val="000000" w:themeColor="text1"/>
          <w:sz w:val="20"/>
          <w:szCs w:val="20"/>
        </w:rPr>
        <w:t>Vanco</w:t>
      </w:r>
      <w:proofErr w:type="spellEnd"/>
      <w:r w:rsidRPr="00E73B7F">
        <w:rPr>
          <w:rFonts w:ascii="Arial" w:hAnsi="Arial" w:cs="Arial"/>
          <w:color w:val="000000" w:themeColor="text1"/>
          <w:sz w:val="20"/>
          <w:szCs w:val="20"/>
        </w:rPr>
        <w:t xml:space="preserve"> Stool) or Neomycin (Neo Stool) treated-cecum stool. Two weeks later (Week 5), intrahepatic injection with 3x10</w:t>
      </w:r>
      <w:r w:rsidRPr="00E73B7F">
        <w:rPr>
          <w:rFonts w:ascii="Arial" w:hAnsi="Arial" w:cs="Arial"/>
          <w:color w:val="000000" w:themeColor="text1"/>
          <w:sz w:val="20"/>
          <w:szCs w:val="20"/>
          <w:vertAlign w:val="superscript"/>
        </w:rPr>
        <w:t>5</w:t>
      </w:r>
      <w:r w:rsidRPr="00E73B7F">
        <w:rPr>
          <w:rFonts w:ascii="Arial" w:hAnsi="Arial" w:cs="Arial"/>
          <w:color w:val="000000" w:themeColor="text1"/>
          <w:sz w:val="20"/>
          <w:szCs w:val="20"/>
        </w:rPr>
        <w:t xml:space="preserve"> RIL175 cell line was performed on the mice. At week 8, the mice were sacrificed. The absolute number and percentage of hepatic M-MDSC, PMN-MDSC and total MDSC were detected. n=6 for </w:t>
      </w:r>
      <w:proofErr w:type="spellStart"/>
      <w:r w:rsidRPr="00E73B7F">
        <w:rPr>
          <w:rFonts w:ascii="Arial" w:hAnsi="Arial" w:cs="Arial"/>
          <w:color w:val="000000" w:themeColor="text1"/>
          <w:sz w:val="20"/>
          <w:szCs w:val="20"/>
        </w:rPr>
        <w:t>Vanco</w:t>
      </w:r>
      <w:proofErr w:type="spellEnd"/>
      <w:r w:rsidRPr="00E73B7F">
        <w:rPr>
          <w:rFonts w:ascii="Arial" w:hAnsi="Arial" w:cs="Arial"/>
          <w:color w:val="000000" w:themeColor="text1"/>
          <w:sz w:val="20"/>
          <w:szCs w:val="20"/>
        </w:rPr>
        <w:t xml:space="preserve"> stool, 7 for Neo stool. Data represent mean ± SEM.  **p&lt;0.01, ***p&lt;0.001, two-way ANOVA.</w:t>
      </w:r>
    </w:p>
    <w:p w14:paraId="68C08E6B" w14:textId="77777777" w:rsidR="003535EB" w:rsidRPr="00E73B7F" w:rsidRDefault="003535EB" w:rsidP="003535EB">
      <w:pPr>
        <w:spacing w:line="360" w:lineRule="auto"/>
        <w:jc w:val="both"/>
        <w:rPr>
          <w:rFonts w:ascii="Arial" w:hAnsi="Arial" w:cs="Arial"/>
          <w:color w:val="000000" w:themeColor="text1"/>
          <w:sz w:val="20"/>
          <w:szCs w:val="20"/>
        </w:rPr>
      </w:pPr>
      <w:r w:rsidRPr="00E73B7F">
        <w:rPr>
          <w:rFonts w:ascii="Arial" w:hAnsi="Arial" w:cs="Arial"/>
          <w:color w:val="000000" w:themeColor="text1"/>
          <w:sz w:val="20"/>
          <w:szCs w:val="20"/>
        </w:rPr>
        <w:t>(</w:t>
      </w:r>
      <w:r w:rsidRPr="00E73B7F">
        <w:rPr>
          <w:rFonts w:ascii="Arial" w:hAnsi="Arial" w:cs="Arial"/>
          <w:b/>
          <w:bCs/>
          <w:color w:val="000000" w:themeColor="text1"/>
          <w:sz w:val="20"/>
          <w:szCs w:val="20"/>
        </w:rPr>
        <w:t>G</w:t>
      </w:r>
      <w:r w:rsidRPr="00E73B7F">
        <w:rPr>
          <w:rFonts w:ascii="Arial" w:hAnsi="Arial" w:cs="Arial"/>
          <w:color w:val="000000" w:themeColor="text1"/>
          <w:sz w:val="20"/>
          <w:szCs w:val="20"/>
        </w:rPr>
        <w:t xml:space="preserve"> and </w:t>
      </w:r>
      <w:r w:rsidRPr="00E73B7F">
        <w:rPr>
          <w:rFonts w:ascii="Arial" w:hAnsi="Arial" w:cs="Arial"/>
          <w:b/>
          <w:color w:val="000000" w:themeColor="text1"/>
          <w:sz w:val="20"/>
          <w:szCs w:val="20"/>
        </w:rPr>
        <w:t>H</w:t>
      </w:r>
      <w:r w:rsidRPr="00E73B7F">
        <w:rPr>
          <w:rFonts w:ascii="Arial" w:hAnsi="Arial" w:cs="Arial"/>
          <w:color w:val="000000" w:themeColor="text1"/>
          <w:sz w:val="20"/>
          <w:szCs w:val="20"/>
        </w:rPr>
        <w:t>) C57BL/6 mice were used to induce cholangiocarcinoma via hydrodynamic injection of AKT+ NICD1 and mice were treated with H</w:t>
      </w:r>
      <w:r w:rsidRPr="00E73B7F">
        <w:rPr>
          <w:rFonts w:ascii="Arial" w:hAnsi="Arial" w:cs="Arial"/>
          <w:color w:val="000000" w:themeColor="text1"/>
          <w:sz w:val="20"/>
          <w:szCs w:val="20"/>
          <w:vertAlign w:val="subscript"/>
        </w:rPr>
        <w:t>2</w:t>
      </w:r>
      <w:r w:rsidRPr="00E73B7F">
        <w:rPr>
          <w:rFonts w:ascii="Arial" w:hAnsi="Arial" w:cs="Arial"/>
          <w:color w:val="000000" w:themeColor="text1"/>
          <w:sz w:val="20"/>
          <w:szCs w:val="20"/>
        </w:rPr>
        <w:t>O or ABX. Five weeks later, the mice were sacrificed (</w:t>
      </w:r>
      <w:r w:rsidRPr="00E73B7F">
        <w:rPr>
          <w:rFonts w:ascii="Arial" w:hAnsi="Arial" w:cs="Arial"/>
          <w:b/>
          <w:bCs/>
          <w:color w:val="000000" w:themeColor="text1"/>
          <w:sz w:val="20"/>
          <w:szCs w:val="20"/>
        </w:rPr>
        <w:t>G</w:t>
      </w:r>
      <w:r w:rsidRPr="00E73B7F">
        <w:rPr>
          <w:rFonts w:ascii="Arial" w:hAnsi="Arial" w:cs="Arial"/>
          <w:color w:val="000000" w:themeColor="text1"/>
          <w:sz w:val="20"/>
          <w:szCs w:val="20"/>
        </w:rPr>
        <w:t>).  The liver weight and the surface tumor numbers were examined (</w:t>
      </w:r>
      <w:r w:rsidRPr="00E73B7F">
        <w:rPr>
          <w:rFonts w:ascii="Arial" w:hAnsi="Arial" w:cs="Arial"/>
          <w:b/>
          <w:bCs/>
          <w:color w:val="000000" w:themeColor="text1"/>
          <w:sz w:val="20"/>
          <w:szCs w:val="20"/>
        </w:rPr>
        <w:t>H</w:t>
      </w:r>
      <w:r w:rsidRPr="00E73B7F">
        <w:rPr>
          <w:rFonts w:ascii="Arial" w:hAnsi="Arial" w:cs="Arial"/>
          <w:color w:val="000000" w:themeColor="text1"/>
          <w:sz w:val="20"/>
          <w:szCs w:val="20"/>
        </w:rPr>
        <w:t xml:space="preserve">). n=5 for each group. Data represent mean ± SEM. ns, no significance. Student’s </w:t>
      </w:r>
      <w:r w:rsidRPr="00E73B7F">
        <w:rPr>
          <w:rFonts w:ascii="Arial" w:hAnsi="Arial" w:cs="Arial"/>
          <w:i/>
          <w:color w:val="000000" w:themeColor="text1"/>
          <w:sz w:val="20"/>
          <w:szCs w:val="20"/>
        </w:rPr>
        <w:t>t</w:t>
      </w:r>
      <w:r w:rsidRPr="00E73B7F">
        <w:rPr>
          <w:rFonts w:ascii="Arial" w:hAnsi="Arial" w:cs="Arial"/>
          <w:color w:val="000000" w:themeColor="text1"/>
          <w:sz w:val="20"/>
          <w:szCs w:val="20"/>
        </w:rPr>
        <w:t xml:space="preserve"> test. </w:t>
      </w:r>
    </w:p>
    <w:p w14:paraId="3E247F4E" w14:textId="77777777" w:rsidR="003535EB" w:rsidRPr="00E73B7F" w:rsidRDefault="003535EB" w:rsidP="003535EB">
      <w:pPr>
        <w:spacing w:line="360" w:lineRule="auto"/>
        <w:jc w:val="both"/>
        <w:rPr>
          <w:rFonts w:ascii="Arial" w:hAnsi="Arial" w:cs="Arial"/>
          <w:color w:val="000000" w:themeColor="text1"/>
          <w:sz w:val="20"/>
          <w:szCs w:val="20"/>
        </w:rPr>
      </w:pPr>
      <w:r w:rsidRPr="00E73B7F">
        <w:rPr>
          <w:rFonts w:ascii="Arial" w:hAnsi="Arial" w:cs="Arial"/>
          <w:color w:val="000000" w:themeColor="text1"/>
          <w:sz w:val="20"/>
          <w:szCs w:val="20"/>
        </w:rPr>
        <w:t>(</w:t>
      </w:r>
      <w:r w:rsidRPr="00E73B7F">
        <w:rPr>
          <w:rFonts w:ascii="Arial" w:hAnsi="Arial" w:cs="Arial"/>
          <w:b/>
          <w:bCs/>
          <w:color w:val="000000" w:themeColor="text1"/>
          <w:sz w:val="20"/>
          <w:szCs w:val="20"/>
        </w:rPr>
        <w:t>I</w:t>
      </w:r>
      <w:r w:rsidRPr="00E73B7F">
        <w:rPr>
          <w:rFonts w:ascii="Arial" w:hAnsi="Arial" w:cs="Arial"/>
          <w:color w:val="000000" w:themeColor="text1"/>
          <w:sz w:val="20"/>
          <w:szCs w:val="20"/>
        </w:rPr>
        <w:t xml:space="preserve">) </w:t>
      </w:r>
      <w:r w:rsidRPr="00E73B7F">
        <w:rPr>
          <w:rFonts w:ascii="Arial" w:hAnsi="Arial" w:cs="Arial"/>
          <w:i/>
          <w:iCs/>
          <w:color w:val="000000" w:themeColor="text1"/>
          <w:sz w:val="20"/>
          <w:szCs w:val="20"/>
        </w:rPr>
        <w:t>Tlr4</w:t>
      </w:r>
      <w:r w:rsidRPr="00E73B7F">
        <w:rPr>
          <w:rFonts w:ascii="Arial" w:hAnsi="Arial" w:cs="Arial"/>
          <w:color w:val="000000" w:themeColor="text1"/>
          <w:sz w:val="20"/>
          <w:szCs w:val="20"/>
          <w:vertAlign w:val="superscript"/>
        </w:rPr>
        <w:t>-/-</w:t>
      </w:r>
      <w:r w:rsidRPr="00E73B7F">
        <w:rPr>
          <w:rFonts w:ascii="Arial" w:hAnsi="Arial" w:cs="Arial"/>
          <w:color w:val="000000" w:themeColor="text1"/>
          <w:sz w:val="20"/>
          <w:szCs w:val="20"/>
        </w:rPr>
        <w:t xml:space="preserve"> mice were used to induce AKT+YAP cholangiocarcinoma. Mice were treated with H</w:t>
      </w:r>
      <w:r w:rsidRPr="00E73B7F">
        <w:rPr>
          <w:rFonts w:ascii="Arial" w:hAnsi="Arial" w:cs="Arial"/>
          <w:color w:val="000000" w:themeColor="text1"/>
          <w:sz w:val="20"/>
          <w:szCs w:val="20"/>
          <w:vertAlign w:val="subscript"/>
        </w:rPr>
        <w:t>2</w:t>
      </w:r>
      <w:r w:rsidRPr="00E73B7F">
        <w:rPr>
          <w:rFonts w:ascii="Arial" w:hAnsi="Arial" w:cs="Arial"/>
          <w:color w:val="000000" w:themeColor="text1"/>
          <w:sz w:val="20"/>
          <w:szCs w:val="20"/>
        </w:rPr>
        <w:t>O or DSS for 2 cycles. The absolute number of hepatic M-MDSC, PMN-MDSC and total MDSC was detected. Data represent mean ± SEM. n=9 for H</w:t>
      </w:r>
      <w:r w:rsidRPr="00E73B7F">
        <w:rPr>
          <w:rFonts w:ascii="Arial" w:hAnsi="Arial" w:cs="Arial"/>
          <w:color w:val="000000" w:themeColor="text1"/>
          <w:sz w:val="20"/>
          <w:szCs w:val="20"/>
          <w:vertAlign w:val="subscript"/>
        </w:rPr>
        <w:t>2</w:t>
      </w:r>
      <w:r w:rsidRPr="00E73B7F">
        <w:rPr>
          <w:rFonts w:ascii="Arial" w:hAnsi="Arial" w:cs="Arial"/>
          <w:color w:val="000000" w:themeColor="text1"/>
          <w:sz w:val="20"/>
          <w:szCs w:val="20"/>
        </w:rPr>
        <w:t xml:space="preserve">O, 8 for DSS. ns, no significant, Student’s </w:t>
      </w:r>
      <w:r w:rsidRPr="00E73B7F">
        <w:rPr>
          <w:rFonts w:ascii="Arial" w:hAnsi="Arial" w:cs="Arial"/>
          <w:i/>
          <w:color w:val="000000" w:themeColor="text1"/>
          <w:sz w:val="20"/>
          <w:szCs w:val="20"/>
        </w:rPr>
        <w:t>t</w:t>
      </w:r>
      <w:r w:rsidRPr="00E73B7F">
        <w:rPr>
          <w:rFonts w:ascii="Arial" w:hAnsi="Arial" w:cs="Arial"/>
          <w:color w:val="000000" w:themeColor="text1"/>
          <w:sz w:val="20"/>
          <w:szCs w:val="20"/>
        </w:rPr>
        <w:t xml:space="preserve"> test. </w:t>
      </w:r>
    </w:p>
    <w:p w14:paraId="1934A469" w14:textId="77777777" w:rsidR="003535EB" w:rsidRPr="00E73B7F" w:rsidRDefault="003535EB" w:rsidP="003535EB">
      <w:pPr>
        <w:spacing w:line="360" w:lineRule="auto"/>
        <w:jc w:val="both"/>
        <w:rPr>
          <w:rFonts w:ascii="Arial" w:hAnsi="Arial" w:cs="Arial"/>
          <w:color w:val="000000" w:themeColor="text1"/>
          <w:sz w:val="20"/>
          <w:szCs w:val="20"/>
        </w:rPr>
      </w:pPr>
      <w:r w:rsidRPr="00E73B7F">
        <w:rPr>
          <w:rFonts w:ascii="Arial" w:hAnsi="Arial" w:cs="Arial"/>
          <w:color w:val="000000" w:themeColor="text1"/>
          <w:sz w:val="20"/>
          <w:szCs w:val="20"/>
        </w:rPr>
        <w:t>(</w:t>
      </w:r>
      <w:r w:rsidRPr="00E73B7F">
        <w:rPr>
          <w:rFonts w:ascii="Arial" w:hAnsi="Arial" w:cs="Arial"/>
          <w:b/>
          <w:color w:val="000000" w:themeColor="text1"/>
          <w:sz w:val="20"/>
          <w:szCs w:val="20"/>
        </w:rPr>
        <w:t>J and K</w:t>
      </w:r>
      <w:r w:rsidRPr="00E73B7F">
        <w:rPr>
          <w:rFonts w:ascii="Arial" w:hAnsi="Arial" w:cs="Arial"/>
          <w:color w:val="000000" w:themeColor="text1"/>
          <w:sz w:val="20"/>
          <w:szCs w:val="20"/>
        </w:rPr>
        <w:t>) Alb-</w:t>
      </w:r>
      <w:proofErr w:type="spellStart"/>
      <w:r w:rsidRPr="00E73B7F">
        <w:rPr>
          <w:rFonts w:ascii="Arial" w:hAnsi="Arial" w:cs="Arial"/>
          <w:color w:val="000000" w:themeColor="text1"/>
          <w:sz w:val="20"/>
          <w:szCs w:val="20"/>
        </w:rPr>
        <w:t>Cre</w:t>
      </w:r>
      <w:proofErr w:type="spellEnd"/>
      <w:proofErr w:type="gramStart"/>
      <w:r w:rsidRPr="00E73B7F">
        <w:rPr>
          <w:rFonts w:ascii="Arial" w:hAnsi="Arial" w:cs="Arial"/>
          <w:color w:val="000000" w:themeColor="text1"/>
          <w:sz w:val="20"/>
          <w:szCs w:val="20"/>
        </w:rPr>
        <w:t>-;</w:t>
      </w:r>
      <w:r w:rsidRPr="00E73B7F">
        <w:rPr>
          <w:rFonts w:ascii="Arial" w:hAnsi="Arial" w:cs="Arial"/>
          <w:i/>
          <w:iCs/>
          <w:color w:val="000000" w:themeColor="text1"/>
          <w:sz w:val="20"/>
          <w:szCs w:val="20"/>
        </w:rPr>
        <w:t>Tlr</w:t>
      </w:r>
      <w:proofErr w:type="gramEnd"/>
      <w:r w:rsidRPr="00E73B7F">
        <w:rPr>
          <w:rFonts w:ascii="Arial" w:hAnsi="Arial" w:cs="Arial"/>
          <w:i/>
          <w:iCs/>
          <w:color w:val="000000" w:themeColor="text1"/>
          <w:sz w:val="20"/>
          <w:szCs w:val="20"/>
        </w:rPr>
        <w:t>4</w:t>
      </w:r>
      <w:r w:rsidRPr="00E73B7F">
        <w:rPr>
          <w:rFonts w:ascii="Arial" w:hAnsi="Arial" w:cs="Arial"/>
          <w:color w:val="000000" w:themeColor="text1"/>
          <w:sz w:val="20"/>
          <w:szCs w:val="20"/>
        </w:rPr>
        <w:t xml:space="preserve"> </w:t>
      </w:r>
      <w:r w:rsidRPr="00E73B7F">
        <w:rPr>
          <w:rFonts w:ascii="Arial" w:hAnsi="Arial" w:cs="Arial"/>
          <w:color w:val="000000" w:themeColor="text1"/>
          <w:sz w:val="20"/>
          <w:szCs w:val="20"/>
          <w:vertAlign w:val="superscript"/>
        </w:rPr>
        <w:t>f/f</w:t>
      </w:r>
      <w:r w:rsidRPr="00E73B7F">
        <w:rPr>
          <w:rFonts w:ascii="Arial" w:hAnsi="Arial" w:cs="Arial"/>
          <w:color w:val="000000" w:themeColor="text1"/>
          <w:sz w:val="20"/>
          <w:szCs w:val="20"/>
        </w:rPr>
        <w:t xml:space="preserve"> (</w:t>
      </w:r>
      <w:r w:rsidRPr="00E73B7F">
        <w:rPr>
          <w:rFonts w:ascii="Arial" w:hAnsi="Arial" w:cs="Arial"/>
          <w:i/>
          <w:iCs/>
          <w:color w:val="000000" w:themeColor="text1"/>
          <w:sz w:val="20"/>
          <w:szCs w:val="20"/>
        </w:rPr>
        <w:t>Tlr4</w:t>
      </w:r>
      <w:r w:rsidRPr="00E73B7F">
        <w:rPr>
          <w:rFonts w:ascii="Arial" w:hAnsi="Arial" w:cs="Arial"/>
          <w:color w:val="000000" w:themeColor="text1"/>
          <w:sz w:val="20"/>
          <w:szCs w:val="20"/>
          <w:vertAlign w:val="superscript"/>
        </w:rPr>
        <w:t>LWT</w:t>
      </w:r>
      <w:r w:rsidRPr="00E73B7F">
        <w:rPr>
          <w:rFonts w:ascii="Arial" w:hAnsi="Arial" w:cs="Arial"/>
          <w:color w:val="000000" w:themeColor="text1"/>
          <w:sz w:val="20"/>
          <w:szCs w:val="20"/>
        </w:rPr>
        <w:t>) was used to induce cholangiocarcinoma via hydrodynamic injection of AKT+YAP. Alb-</w:t>
      </w:r>
      <w:proofErr w:type="spellStart"/>
      <w:r w:rsidRPr="00E73B7F">
        <w:rPr>
          <w:rFonts w:ascii="Arial" w:hAnsi="Arial" w:cs="Arial"/>
          <w:color w:val="000000" w:themeColor="text1"/>
          <w:sz w:val="20"/>
          <w:szCs w:val="20"/>
        </w:rPr>
        <w:t>Cre</w:t>
      </w:r>
      <w:proofErr w:type="spellEnd"/>
      <w:proofErr w:type="gramStart"/>
      <w:r w:rsidRPr="00E73B7F">
        <w:rPr>
          <w:rFonts w:ascii="Arial" w:hAnsi="Arial" w:cs="Arial"/>
          <w:color w:val="000000" w:themeColor="text1"/>
          <w:sz w:val="20"/>
          <w:szCs w:val="20"/>
        </w:rPr>
        <w:t>+;</w:t>
      </w:r>
      <w:r w:rsidRPr="00E73B7F">
        <w:rPr>
          <w:rFonts w:ascii="Arial" w:hAnsi="Arial" w:cs="Arial"/>
          <w:i/>
          <w:iCs/>
          <w:color w:val="000000" w:themeColor="text1"/>
          <w:sz w:val="20"/>
          <w:szCs w:val="20"/>
        </w:rPr>
        <w:t>Tlr</w:t>
      </w:r>
      <w:proofErr w:type="gramEnd"/>
      <w:r w:rsidRPr="00E73B7F">
        <w:rPr>
          <w:rFonts w:ascii="Arial" w:hAnsi="Arial" w:cs="Arial"/>
          <w:i/>
          <w:iCs/>
          <w:color w:val="000000" w:themeColor="text1"/>
          <w:sz w:val="20"/>
          <w:szCs w:val="20"/>
        </w:rPr>
        <w:t>4</w:t>
      </w:r>
      <w:r w:rsidRPr="00E73B7F">
        <w:rPr>
          <w:rFonts w:ascii="Arial" w:hAnsi="Arial" w:cs="Arial"/>
          <w:color w:val="000000" w:themeColor="text1"/>
          <w:sz w:val="20"/>
          <w:szCs w:val="20"/>
          <w:vertAlign w:val="superscript"/>
        </w:rPr>
        <w:t>f/f</w:t>
      </w:r>
      <w:r w:rsidRPr="00E73B7F">
        <w:rPr>
          <w:rFonts w:ascii="Arial" w:hAnsi="Arial" w:cs="Arial"/>
          <w:color w:val="000000" w:themeColor="text1"/>
          <w:sz w:val="20"/>
          <w:szCs w:val="20"/>
        </w:rPr>
        <w:t xml:space="preserve"> (</w:t>
      </w:r>
      <w:r w:rsidRPr="00E73B7F">
        <w:rPr>
          <w:rFonts w:ascii="Arial" w:hAnsi="Arial" w:cs="Arial"/>
          <w:i/>
          <w:iCs/>
          <w:color w:val="000000" w:themeColor="text1"/>
          <w:sz w:val="20"/>
          <w:szCs w:val="20"/>
        </w:rPr>
        <w:t>Tlr4</w:t>
      </w:r>
      <w:r w:rsidRPr="00E73B7F">
        <w:rPr>
          <w:rFonts w:ascii="Arial" w:hAnsi="Arial" w:cs="Arial"/>
          <w:color w:val="000000" w:themeColor="text1"/>
          <w:sz w:val="20"/>
          <w:szCs w:val="20"/>
          <w:vertAlign w:val="superscript"/>
        </w:rPr>
        <w:t>LKO</w:t>
      </w:r>
      <w:r w:rsidRPr="00E73B7F">
        <w:rPr>
          <w:rFonts w:ascii="Arial" w:hAnsi="Arial" w:cs="Arial"/>
          <w:color w:val="000000" w:themeColor="text1"/>
          <w:sz w:val="20"/>
          <w:szCs w:val="20"/>
        </w:rPr>
        <w:t>) mice were used to induce cholangiocarcinoma via hydrodynamic injection of AKT+YAP, or AKT+YAP+CXCL1. Mice were sacrificed after 2 cycles DSS treatment. Liver weight in each group was detected (</w:t>
      </w:r>
      <w:r w:rsidRPr="00E73B7F">
        <w:rPr>
          <w:rFonts w:ascii="Arial" w:hAnsi="Arial" w:cs="Arial"/>
          <w:b/>
          <w:bCs/>
          <w:color w:val="000000" w:themeColor="text1"/>
          <w:sz w:val="20"/>
          <w:szCs w:val="20"/>
        </w:rPr>
        <w:t>J</w:t>
      </w:r>
      <w:r w:rsidRPr="00E73B7F">
        <w:rPr>
          <w:rFonts w:ascii="Arial" w:hAnsi="Arial" w:cs="Arial"/>
          <w:color w:val="000000" w:themeColor="text1"/>
          <w:sz w:val="20"/>
          <w:szCs w:val="20"/>
        </w:rPr>
        <w:t>). CXCL1 mRNA expression levels in liver tissues from each group were determined (</w:t>
      </w:r>
      <w:r w:rsidRPr="00E73B7F">
        <w:rPr>
          <w:rFonts w:ascii="Arial" w:hAnsi="Arial" w:cs="Arial"/>
          <w:b/>
          <w:bCs/>
          <w:color w:val="000000" w:themeColor="text1"/>
          <w:sz w:val="20"/>
          <w:szCs w:val="20"/>
        </w:rPr>
        <w:t>K</w:t>
      </w:r>
      <w:r w:rsidRPr="00E73B7F">
        <w:rPr>
          <w:rFonts w:ascii="Arial" w:hAnsi="Arial" w:cs="Arial"/>
          <w:color w:val="000000" w:themeColor="text1"/>
          <w:sz w:val="20"/>
          <w:szCs w:val="20"/>
        </w:rPr>
        <w:t xml:space="preserve">). n=5 for </w:t>
      </w:r>
      <w:r w:rsidRPr="00E73B7F">
        <w:rPr>
          <w:rFonts w:ascii="Arial" w:hAnsi="Arial" w:cs="Arial"/>
          <w:i/>
          <w:iCs/>
          <w:color w:val="000000" w:themeColor="text1"/>
          <w:sz w:val="20"/>
          <w:szCs w:val="20"/>
        </w:rPr>
        <w:t>Tlr4</w:t>
      </w:r>
      <w:r w:rsidRPr="00E73B7F">
        <w:rPr>
          <w:rFonts w:ascii="Arial" w:hAnsi="Arial" w:cs="Arial"/>
          <w:color w:val="000000" w:themeColor="text1"/>
          <w:sz w:val="20"/>
          <w:szCs w:val="20"/>
          <w:vertAlign w:val="superscript"/>
        </w:rPr>
        <w:t>LWT</w:t>
      </w:r>
      <w:r w:rsidRPr="00E73B7F">
        <w:rPr>
          <w:rFonts w:ascii="Arial" w:hAnsi="Arial" w:cs="Arial"/>
          <w:color w:val="000000" w:themeColor="text1"/>
          <w:sz w:val="20"/>
          <w:szCs w:val="20"/>
        </w:rPr>
        <w:t xml:space="preserve">, 4 for </w:t>
      </w:r>
      <w:r w:rsidRPr="00E73B7F">
        <w:rPr>
          <w:rFonts w:ascii="Arial" w:hAnsi="Arial" w:cs="Arial"/>
          <w:i/>
          <w:iCs/>
          <w:color w:val="000000" w:themeColor="text1"/>
          <w:sz w:val="20"/>
          <w:szCs w:val="20"/>
        </w:rPr>
        <w:t>Tlr4</w:t>
      </w:r>
      <w:r w:rsidRPr="00E73B7F">
        <w:rPr>
          <w:rFonts w:ascii="Arial" w:hAnsi="Arial" w:cs="Arial"/>
          <w:color w:val="000000" w:themeColor="text1"/>
          <w:sz w:val="20"/>
          <w:szCs w:val="20"/>
          <w:vertAlign w:val="superscript"/>
        </w:rPr>
        <w:t>LKO</w:t>
      </w:r>
      <w:r w:rsidRPr="00E73B7F">
        <w:rPr>
          <w:rFonts w:ascii="Arial" w:hAnsi="Arial" w:cs="Arial"/>
          <w:color w:val="000000" w:themeColor="text1"/>
          <w:sz w:val="20"/>
          <w:szCs w:val="20"/>
        </w:rPr>
        <w:t xml:space="preserve"> and </w:t>
      </w:r>
      <w:r w:rsidRPr="00E73B7F">
        <w:rPr>
          <w:rFonts w:ascii="Arial" w:hAnsi="Arial" w:cs="Arial"/>
          <w:i/>
          <w:iCs/>
          <w:color w:val="000000" w:themeColor="text1"/>
          <w:sz w:val="20"/>
          <w:szCs w:val="20"/>
        </w:rPr>
        <w:t>Tlr4</w:t>
      </w:r>
      <w:r w:rsidRPr="00E73B7F">
        <w:rPr>
          <w:rFonts w:ascii="Arial" w:hAnsi="Arial" w:cs="Arial"/>
          <w:color w:val="000000" w:themeColor="text1"/>
          <w:sz w:val="20"/>
          <w:szCs w:val="20"/>
          <w:vertAlign w:val="superscript"/>
        </w:rPr>
        <w:t>LKO</w:t>
      </w:r>
      <w:r w:rsidRPr="00E73B7F">
        <w:rPr>
          <w:rFonts w:ascii="Arial" w:hAnsi="Arial" w:cs="Arial"/>
          <w:color w:val="000000" w:themeColor="text1"/>
          <w:sz w:val="20"/>
          <w:szCs w:val="20"/>
        </w:rPr>
        <w:t>+CXCL1. Data represent mean ± SEM. **p&lt;0.01, two-way ANOVA.</w:t>
      </w:r>
    </w:p>
    <w:p w14:paraId="13941827" w14:textId="2F76F169" w:rsidR="003535EB" w:rsidRPr="00E73B7F" w:rsidRDefault="003535EB" w:rsidP="003535EB">
      <w:pPr>
        <w:spacing w:line="360" w:lineRule="auto"/>
        <w:jc w:val="both"/>
        <w:rPr>
          <w:rFonts w:ascii="Arial" w:hAnsi="Arial" w:cs="Arial"/>
          <w:color w:val="000000" w:themeColor="text1"/>
          <w:sz w:val="20"/>
          <w:szCs w:val="20"/>
        </w:rPr>
      </w:pPr>
    </w:p>
    <w:p w14:paraId="01182097" w14:textId="70190182" w:rsidR="00E73B7F" w:rsidRPr="00E73B7F" w:rsidRDefault="00E73B7F" w:rsidP="003535EB">
      <w:pPr>
        <w:spacing w:line="360" w:lineRule="auto"/>
        <w:jc w:val="both"/>
        <w:rPr>
          <w:rFonts w:ascii="Arial" w:hAnsi="Arial" w:cs="Arial"/>
          <w:color w:val="000000" w:themeColor="text1"/>
          <w:sz w:val="20"/>
          <w:szCs w:val="20"/>
        </w:rPr>
      </w:pPr>
      <w:r w:rsidRPr="00E73B7F">
        <w:rPr>
          <w:rFonts w:ascii="Arial" w:hAnsi="Arial" w:cs="Arial"/>
          <w:noProof/>
          <w:color w:val="000000" w:themeColor="text1"/>
          <w:sz w:val="20"/>
          <w:szCs w:val="20"/>
        </w:rPr>
        <w:lastRenderedPageBreak/>
        <w:drawing>
          <wp:inline distT="0" distB="0" distL="0" distR="0" wp14:anchorId="40D2D43C" wp14:editId="0113CFD6">
            <wp:extent cx="5943600" cy="72536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7253605"/>
                    </a:xfrm>
                    <a:prstGeom prst="rect">
                      <a:avLst/>
                    </a:prstGeom>
                  </pic:spPr>
                </pic:pic>
              </a:graphicData>
            </a:graphic>
          </wp:inline>
        </w:drawing>
      </w:r>
    </w:p>
    <w:p w14:paraId="0A5BBDFC" w14:textId="77777777" w:rsidR="00E73B7F" w:rsidRPr="00E73B7F" w:rsidRDefault="00E73B7F" w:rsidP="003535EB">
      <w:pPr>
        <w:spacing w:line="360" w:lineRule="auto"/>
        <w:jc w:val="both"/>
        <w:rPr>
          <w:rFonts w:ascii="Arial" w:hAnsi="Arial" w:cs="Arial"/>
          <w:color w:val="000000" w:themeColor="text1"/>
          <w:sz w:val="20"/>
          <w:szCs w:val="20"/>
        </w:rPr>
      </w:pPr>
    </w:p>
    <w:p w14:paraId="336F5900" w14:textId="77777777" w:rsidR="003535EB" w:rsidRPr="00E73B7F" w:rsidRDefault="003535EB" w:rsidP="003535EB">
      <w:pPr>
        <w:spacing w:line="360" w:lineRule="auto"/>
        <w:jc w:val="both"/>
        <w:rPr>
          <w:rFonts w:ascii="Arial" w:hAnsi="Arial" w:cs="Arial"/>
          <w:color w:val="000000" w:themeColor="text1"/>
          <w:sz w:val="20"/>
          <w:szCs w:val="20"/>
        </w:rPr>
      </w:pPr>
      <w:r w:rsidRPr="00E73B7F">
        <w:rPr>
          <w:rFonts w:ascii="Arial" w:hAnsi="Arial" w:cs="Arial"/>
          <w:b/>
          <w:bCs/>
          <w:color w:val="000000" w:themeColor="text1"/>
          <w:sz w:val="20"/>
          <w:szCs w:val="20"/>
        </w:rPr>
        <w:t>Figure S8.</w:t>
      </w:r>
      <w:r w:rsidRPr="00E73B7F">
        <w:rPr>
          <w:rFonts w:ascii="Arial" w:hAnsi="Arial" w:cs="Arial"/>
          <w:color w:val="000000" w:themeColor="text1"/>
          <w:sz w:val="20"/>
          <w:szCs w:val="20"/>
        </w:rPr>
        <w:t xml:space="preserve"> </w:t>
      </w:r>
      <w:r w:rsidRPr="00E73B7F">
        <w:rPr>
          <w:rFonts w:ascii="Arial" w:hAnsi="Arial" w:cs="Arial"/>
          <w:b/>
          <w:color w:val="000000" w:themeColor="text1"/>
          <w:sz w:val="20"/>
          <w:szCs w:val="20"/>
        </w:rPr>
        <w:t xml:space="preserve">TLR4 signature genes expression is associated with the outcome of cholangiocarcinoma patients. </w:t>
      </w:r>
    </w:p>
    <w:p w14:paraId="51B61DC1" w14:textId="77777777" w:rsidR="003535EB" w:rsidRPr="00E73B7F" w:rsidRDefault="003535EB" w:rsidP="003535EB">
      <w:pPr>
        <w:spacing w:line="360" w:lineRule="auto"/>
        <w:jc w:val="both"/>
        <w:rPr>
          <w:rFonts w:ascii="Arial" w:hAnsi="Arial" w:cs="Arial"/>
          <w:color w:val="000000" w:themeColor="text1"/>
          <w:sz w:val="20"/>
          <w:szCs w:val="20"/>
        </w:rPr>
      </w:pPr>
      <w:r w:rsidRPr="00E73B7F">
        <w:rPr>
          <w:rFonts w:ascii="Arial" w:hAnsi="Arial" w:cs="Arial"/>
          <w:color w:val="000000" w:themeColor="text1"/>
          <w:sz w:val="20"/>
          <w:szCs w:val="20"/>
        </w:rPr>
        <w:lastRenderedPageBreak/>
        <w:t>(</w:t>
      </w:r>
      <w:r w:rsidRPr="00E73B7F">
        <w:rPr>
          <w:rFonts w:ascii="Arial" w:hAnsi="Arial" w:cs="Arial"/>
          <w:b/>
          <w:bCs/>
          <w:color w:val="000000" w:themeColor="text1"/>
          <w:sz w:val="20"/>
          <w:szCs w:val="20"/>
        </w:rPr>
        <w:t>A</w:t>
      </w:r>
      <w:r w:rsidRPr="00E73B7F">
        <w:rPr>
          <w:rFonts w:ascii="Arial" w:hAnsi="Arial" w:cs="Arial"/>
          <w:color w:val="000000" w:themeColor="text1"/>
          <w:sz w:val="20"/>
          <w:szCs w:val="20"/>
        </w:rPr>
        <w:t>) Immunochemistry of LPS in human cirrhosis sample. Human cirrhosis sample was collected and fixed for IHC of LPS. The representative IHC of LPS in cirrhosis sample.</w:t>
      </w:r>
    </w:p>
    <w:p w14:paraId="52A05D43" w14:textId="77777777" w:rsidR="003535EB" w:rsidRPr="00E73B7F" w:rsidRDefault="003535EB" w:rsidP="003535EB">
      <w:pPr>
        <w:spacing w:line="360" w:lineRule="auto"/>
        <w:jc w:val="both"/>
        <w:rPr>
          <w:rFonts w:ascii="Arial" w:hAnsi="Arial" w:cs="Arial"/>
          <w:color w:val="000000" w:themeColor="text1"/>
          <w:sz w:val="20"/>
          <w:szCs w:val="20"/>
        </w:rPr>
      </w:pPr>
      <w:r w:rsidRPr="00E73B7F">
        <w:rPr>
          <w:rFonts w:ascii="Arial" w:hAnsi="Arial" w:cs="Arial"/>
          <w:color w:val="000000" w:themeColor="text1"/>
          <w:sz w:val="20"/>
          <w:szCs w:val="20"/>
        </w:rPr>
        <w:t>(</w:t>
      </w:r>
      <w:r w:rsidRPr="00E73B7F">
        <w:rPr>
          <w:rFonts w:ascii="Arial" w:hAnsi="Arial" w:cs="Arial"/>
          <w:b/>
          <w:bCs/>
          <w:color w:val="000000" w:themeColor="text1"/>
          <w:sz w:val="20"/>
          <w:szCs w:val="20"/>
        </w:rPr>
        <w:t>B</w:t>
      </w:r>
      <w:r w:rsidRPr="00E73B7F">
        <w:rPr>
          <w:rFonts w:ascii="Arial" w:hAnsi="Arial" w:cs="Arial"/>
          <w:color w:val="000000" w:themeColor="text1"/>
          <w:sz w:val="20"/>
          <w:szCs w:val="20"/>
        </w:rPr>
        <w:t>) 114 intrahepatic cholangiocarcinoma (</w:t>
      </w:r>
      <w:proofErr w:type="spellStart"/>
      <w:r w:rsidRPr="00E73B7F">
        <w:rPr>
          <w:rFonts w:ascii="Arial" w:hAnsi="Arial" w:cs="Arial"/>
          <w:color w:val="000000" w:themeColor="text1"/>
          <w:sz w:val="20"/>
          <w:szCs w:val="20"/>
        </w:rPr>
        <w:t>iCCA</w:t>
      </w:r>
      <w:proofErr w:type="spellEnd"/>
      <w:r w:rsidRPr="00E73B7F">
        <w:rPr>
          <w:rFonts w:ascii="Arial" w:hAnsi="Arial" w:cs="Arial"/>
          <w:color w:val="000000" w:themeColor="text1"/>
          <w:sz w:val="20"/>
          <w:szCs w:val="20"/>
        </w:rPr>
        <w:t xml:space="preserve">) cases in Japan cohort, 85 </w:t>
      </w:r>
      <w:proofErr w:type="spellStart"/>
      <w:r w:rsidRPr="00E73B7F">
        <w:rPr>
          <w:rFonts w:ascii="Arial" w:hAnsi="Arial" w:cs="Arial"/>
          <w:color w:val="000000" w:themeColor="text1"/>
          <w:sz w:val="20"/>
          <w:szCs w:val="20"/>
        </w:rPr>
        <w:t>iCCA</w:t>
      </w:r>
      <w:proofErr w:type="spellEnd"/>
      <w:r w:rsidRPr="00E73B7F">
        <w:rPr>
          <w:rFonts w:ascii="Arial" w:hAnsi="Arial" w:cs="Arial"/>
          <w:color w:val="000000" w:themeColor="text1"/>
          <w:sz w:val="20"/>
          <w:szCs w:val="20"/>
        </w:rPr>
        <w:t xml:space="preserve"> cases in Thai cohort were divided into two groups (low-risk and high-risk) according to the expression of </w:t>
      </w:r>
      <w:r w:rsidRPr="00E73B7F">
        <w:rPr>
          <w:rFonts w:ascii="Arial" w:hAnsi="Arial" w:cs="Arial"/>
          <w:i/>
          <w:iCs/>
          <w:color w:val="000000" w:themeColor="text1"/>
          <w:sz w:val="20"/>
          <w:szCs w:val="20"/>
        </w:rPr>
        <w:t xml:space="preserve">Tlr4 </w:t>
      </w:r>
      <w:r w:rsidRPr="00E73B7F">
        <w:rPr>
          <w:rFonts w:ascii="Arial" w:hAnsi="Arial" w:cs="Arial"/>
          <w:color w:val="000000" w:themeColor="text1"/>
          <w:sz w:val="20"/>
          <w:szCs w:val="20"/>
        </w:rPr>
        <w:t>activation-associated genes. Log-rank (Mantel-Cox) test was performed to detect overall survival of the two groups. Log-rank p value and permutation p value are provided.</w:t>
      </w:r>
    </w:p>
    <w:p w14:paraId="6D26BF9C" w14:textId="77777777" w:rsidR="003535EB" w:rsidRPr="00E73B7F" w:rsidRDefault="003535EB" w:rsidP="003535EB">
      <w:pPr>
        <w:spacing w:line="360" w:lineRule="auto"/>
        <w:jc w:val="both"/>
        <w:rPr>
          <w:rFonts w:ascii="Arial" w:hAnsi="Arial" w:cs="Arial"/>
          <w:color w:val="000000" w:themeColor="text1"/>
          <w:sz w:val="20"/>
          <w:szCs w:val="20"/>
        </w:rPr>
      </w:pPr>
      <w:r w:rsidRPr="00E73B7F">
        <w:rPr>
          <w:rFonts w:ascii="Arial" w:hAnsi="Arial" w:cs="Arial"/>
          <w:color w:val="000000" w:themeColor="text1"/>
          <w:sz w:val="20"/>
          <w:szCs w:val="20"/>
        </w:rPr>
        <w:t>(</w:t>
      </w:r>
      <w:r w:rsidRPr="00E73B7F">
        <w:rPr>
          <w:rFonts w:ascii="Arial" w:hAnsi="Arial" w:cs="Arial"/>
          <w:b/>
          <w:bCs/>
          <w:color w:val="000000" w:themeColor="text1"/>
          <w:sz w:val="20"/>
          <w:szCs w:val="20"/>
        </w:rPr>
        <w:t>C, D, E, F, G and H</w:t>
      </w:r>
      <w:r w:rsidRPr="00E73B7F">
        <w:rPr>
          <w:rFonts w:ascii="Arial" w:hAnsi="Arial" w:cs="Arial"/>
          <w:color w:val="000000" w:themeColor="text1"/>
          <w:sz w:val="20"/>
          <w:szCs w:val="20"/>
        </w:rPr>
        <w:t xml:space="preserve">) CIBERSORT application was applied to estimate the abundance of different immune cells based on TLR4 gene expression level. The abundance of different immune cell in each </w:t>
      </w:r>
      <w:proofErr w:type="spellStart"/>
      <w:r w:rsidRPr="00E73B7F">
        <w:rPr>
          <w:rFonts w:ascii="Arial" w:hAnsi="Arial" w:cs="Arial"/>
          <w:color w:val="000000" w:themeColor="text1"/>
          <w:sz w:val="20"/>
          <w:szCs w:val="20"/>
        </w:rPr>
        <w:t>iCCA</w:t>
      </w:r>
      <w:proofErr w:type="spellEnd"/>
      <w:r w:rsidRPr="00E73B7F">
        <w:rPr>
          <w:rFonts w:ascii="Arial" w:hAnsi="Arial" w:cs="Arial"/>
          <w:color w:val="000000" w:themeColor="text1"/>
          <w:sz w:val="20"/>
          <w:szCs w:val="20"/>
        </w:rPr>
        <w:t xml:space="preserve"> patient is shown in Japan cohort (</w:t>
      </w:r>
      <w:r w:rsidRPr="00E73B7F">
        <w:rPr>
          <w:rFonts w:ascii="Arial" w:hAnsi="Arial" w:cs="Arial"/>
          <w:b/>
          <w:bCs/>
          <w:color w:val="000000" w:themeColor="text1"/>
          <w:sz w:val="20"/>
          <w:szCs w:val="20"/>
        </w:rPr>
        <w:t>C</w:t>
      </w:r>
      <w:r w:rsidRPr="00E73B7F">
        <w:rPr>
          <w:rFonts w:ascii="Arial" w:hAnsi="Arial" w:cs="Arial"/>
          <w:color w:val="000000" w:themeColor="text1"/>
          <w:sz w:val="20"/>
          <w:szCs w:val="20"/>
        </w:rPr>
        <w:t>) and Thai cohort (</w:t>
      </w:r>
      <w:r w:rsidRPr="00E73B7F">
        <w:rPr>
          <w:rFonts w:ascii="Arial" w:hAnsi="Arial" w:cs="Arial"/>
          <w:b/>
          <w:bCs/>
          <w:color w:val="000000" w:themeColor="text1"/>
          <w:sz w:val="20"/>
          <w:szCs w:val="20"/>
        </w:rPr>
        <w:t>D</w:t>
      </w:r>
      <w:r w:rsidRPr="00E73B7F">
        <w:rPr>
          <w:rFonts w:ascii="Arial" w:hAnsi="Arial" w:cs="Arial"/>
          <w:color w:val="000000" w:themeColor="text1"/>
          <w:sz w:val="20"/>
          <w:szCs w:val="20"/>
        </w:rPr>
        <w:t xml:space="preserve">). The abundance of different immune cell in low-risk and high-risk </w:t>
      </w:r>
      <w:proofErr w:type="spellStart"/>
      <w:r w:rsidRPr="00E73B7F">
        <w:rPr>
          <w:rFonts w:ascii="Arial" w:hAnsi="Arial" w:cs="Arial"/>
          <w:color w:val="000000" w:themeColor="text1"/>
          <w:sz w:val="20"/>
          <w:szCs w:val="20"/>
        </w:rPr>
        <w:t>iCCA</w:t>
      </w:r>
      <w:proofErr w:type="spellEnd"/>
      <w:r w:rsidRPr="00E73B7F">
        <w:rPr>
          <w:rFonts w:ascii="Arial" w:hAnsi="Arial" w:cs="Arial"/>
          <w:color w:val="000000" w:themeColor="text1"/>
          <w:sz w:val="20"/>
          <w:szCs w:val="20"/>
        </w:rPr>
        <w:t xml:space="preserve"> patient is shown in Japan cohort (</w:t>
      </w:r>
      <w:r w:rsidRPr="00E73B7F">
        <w:rPr>
          <w:rFonts w:ascii="Arial" w:hAnsi="Arial" w:cs="Arial"/>
          <w:b/>
          <w:bCs/>
          <w:color w:val="000000" w:themeColor="text1"/>
          <w:sz w:val="20"/>
          <w:szCs w:val="20"/>
        </w:rPr>
        <w:t>E</w:t>
      </w:r>
      <w:r w:rsidRPr="00E73B7F">
        <w:rPr>
          <w:rFonts w:ascii="Arial" w:hAnsi="Arial" w:cs="Arial"/>
          <w:color w:val="000000" w:themeColor="text1"/>
          <w:sz w:val="20"/>
          <w:szCs w:val="20"/>
        </w:rPr>
        <w:t>) and Thai cohort (</w:t>
      </w:r>
      <w:r w:rsidRPr="00E73B7F">
        <w:rPr>
          <w:rFonts w:ascii="Arial" w:hAnsi="Arial" w:cs="Arial"/>
          <w:b/>
          <w:bCs/>
          <w:color w:val="000000" w:themeColor="text1"/>
          <w:sz w:val="20"/>
          <w:szCs w:val="20"/>
        </w:rPr>
        <w:t>F</w:t>
      </w:r>
      <w:r w:rsidRPr="00E73B7F">
        <w:rPr>
          <w:rFonts w:ascii="Arial" w:hAnsi="Arial" w:cs="Arial"/>
          <w:color w:val="000000" w:themeColor="text1"/>
          <w:sz w:val="20"/>
          <w:szCs w:val="20"/>
        </w:rPr>
        <w:t>). The overall abundance of immune cells in low-risk and high-risk groups was analyzed in Japan cohort (</w:t>
      </w:r>
      <w:r w:rsidRPr="00E73B7F">
        <w:rPr>
          <w:rFonts w:ascii="Arial" w:hAnsi="Arial" w:cs="Arial"/>
          <w:b/>
          <w:bCs/>
          <w:color w:val="000000" w:themeColor="text1"/>
          <w:sz w:val="20"/>
          <w:szCs w:val="20"/>
        </w:rPr>
        <w:t>G</w:t>
      </w:r>
      <w:r w:rsidRPr="00E73B7F">
        <w:rPr>
          <w:rFonts w:ascii="Arial" w:hAnsi="Arial" w:cs="Arial"/>
          <w:color w:val="000000" w:themeColor="text1"/>
          <w:sz w:val="20"/>
          <w:szCs w:val="20"/>
        </w:rPr>
        <w:t>) and Thai cohort (</w:t>
      </w:r>
      <w:r w:rsidRPr="00E73B7F">
        <w:rPr>
          <w:rFonts w:ascii="Arial" w:hAnsi="Arial" w:cs="Arial"/>
          <w:b/>
          <w:bCs/>
          <w:color w:val="000000" w:themeColor="text1"/>
          <w:sz w:val="20"/>
          <w:szCs w:val="20"/>
        </w:rPr>
        <w:t>H</w:t>
      </w:r>
      <w:r w:rsidRPr="00E73B7F">
        <w:rPr>
          <w:rFonts w:ascii="Arial" w:hAnsi="Arial" w:cs="Arial"/>
          <w:color w:val="000000" w:themeColor="text1"/>
          <w:sz w:val="20"/>
          <w:szCs w:val="20"/>
        </w:rPr>
        <w:t>).</w:t>
      </w:r>
    </w:p>
    <w:p w14:paraId="0291AF93" w14:textId="77777777" w:rsidR="003535EB" w:rsidRPr="00E73B7F" w:rsidRDefault="003535EB" w:rsidP="003535EB">
      <w:pPr>
        <w:spacing w:line="360" w:lineRule="auto"/>
        <w:jc w:val="both"/>
        <w:rPr>
          <w:rFonts w:ascii="Arial" w:hAnsi="Arial" w:cs="Arial"/>
          <w:color w:val="000000" w:themeColor="text1"/>
          <w:sz w:val="20"/>
          <w:szCs w:val="20"/>
        </w:rPr>
      </w:pPr>
    </w:p>
    <w:p w14:paraId="2A093D19" w14:textId="7B4D8F65" w:rsidR="003535EB" w:rsidRPr="00E73B7F" w:rsidRDefault="001E450C" w:rsidP="003535EB">
      <w:pPr>
        <w:spacing w:line="360" w:lineRule="auto"/>
        <w:jc w:val="both"/>
        <w:rPr>
          <w:rFonts w:ascii="Arial" w:hAnsi="Arial" w:cs="Arial"/>
          <w:color w:val="000000" w:themeColor="text1"/>
          <w:sz w:val="20"/>
          <w:szCs w:val="20"/>
        </w:rPr>
      </w:pPr>
      <w:r>
        <w:rPr>
          <w:rFonts w:ascii="Arial" w:hAnsi="Arial" w:cs="Arial"/>
          <w:noProof/>
          <w:color w:val="000000" w:themeColor="text1"/>
          <w:sz w:val="20"/>
          <w:szCs w:val="20"/>
        </w:rPr>
        <w:lastRenderedPageBreak/>
        <w:drawing>
          <wp:inline distT="0" distB="0" distL="0" distR="0" wp14:anchorId="698321CE" wp14:editId="7F893517">
            <wp:extent cx="5943600" cy="70993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7099300"/>
                    </a:xfrm>
                    <a:prstGeom prst="rect">
                      <a:avLst/>
                    </a:prstGeom>
                  </pic:spPr>
                </pic:pic>
              </a:graphicData>
            </a:graphic>
          </wp:inline>
        </w:drawing>
      </w:r>
    </w:p>
    <w:p w14:paraId="3F799F62" w14:textId="77777777" w:rsidR="003535EB" w:rsidRPr="00E73B7F" w:rsidRDefault="003535EB" w:rsidP="003535EB">
      <w:pPr>
        <w:spacing w:line="360" w:lineRule="auto"/>
        <w:jc w:val="both"/>
        <w:rPr>
          <w:rFonts w:ascii="Arial" w:hAnsi="Arial" w:cs="Arial"/>
          <w:color w:val="000000" w:themeColor="text1"/>
          <w:sz w:val="20"/>
          <w:szCs w:val="20"/>
        </w:rPr>
      </w:pPr>
      <w:r w:rsidRPr="00E73B7F">
        <w:rPr>
          <w:rFonts w:ascii="Arial" w:hAnsi="Arial" w:cs="Arial"/>
          <w:b/>
          <w:bCs/>
          <w:color w:val="000000" w:themeColor="text1"/>
          <w:sz w:val="20"/>
          <w:szCs w:val="20"/>
        </w:rPr>
        <w:t>Figure S9.</w:t>
      </w:r>
      <w:r w:rsidRPr="00E73B7F">
        <w:rPr>
          <w:rFonts w:ascii="Arial" w:hAnsi="Arial" w:cs="Arial"/>
          <w:color w:val="000000" w:themeColor="text1"/>
          <w:sz w:val="20"/>
          <w:szCs w:val="20"/>
        </w:rPr>
        <w:t xml:space="preserve"> </w:t>
      </w:r>
      <w:r w:rsidRPr="00E73B7F">
        <w:rPr>
          <w:rFonts w:ascii="Arial" w:hAnsi="Arial" w:cs="Arial"/>
          <w:b/>
          <w:color w:val="000000" w:themeColor="text1"/>
          <w:sz w:val="20"/>
          <w:szCs w:val="20"/>
        </w:rPr>
        <w:t>The gut microbiome from patients with cirrhosis affects myeloid cells in the liver.</w:t>
      </w:r>
    </w:p>
    <w:p w14:paraId="37E43F07" w14:textId="351D03A3" w:rsidR="003535EB" w:rsidRPr="00E73B7F" w:rsidRDefault="003535EB" w:rsidP="003535EB">
      <w:pPr>
        <w:spacing w:line="360" w:lineRule="auto"/>
        <w:jc w:val="both"/>
        <w:rPr>
          <w:rFonts w:ascii="Arial" w:hAnsi="Arial" w:cs="Arial"/>
          <w:color w:val="000000" w:themeColor="text1"/>
          <w:sz w:val="20"/>
          <w:szCs w:val="20"/>
        </w:rPr>
      </w:pPr>
      <w:r w:rsidRPr="00E73B7F">
        <w:rPr>
          <w:rFonts w:ascii="Arial" w:hAnsi="Arial" w:cs="Arial"/>
          <w:color w:val="000000" w:themeColor="text1"/>
          <w:sz w:val="20"/>
          <w:szCs w:val="20"/>
        </w:rPr>
        <w:t>(</w:t>
      </w:r>
      <w:r w:rsidRPr="00E73B7F">
        <w:rPr>
          <w:rFonts w:ascii="Arial" w:hAnsi="Arial" w:cs="Arial"/>
          <w:b/>
          <w:color w:val="000000" w:themeColor="text1"/>
          <w:sz w:val="20"/>
          <w:szCs w:val="20"/>
        </w:rPr>
        <w:t>A</w:t>
      </w:r>
      <w:r w:rsidRPr="00E73B7F">
        <w:rPr>
          <w:rFonts w:ascii="Arial" w:hAnsi="Arial" w:cs="Arial"/>
          <w:color w:val="000000" w:themeColor="text1"/>
          <w:sz w:val="20"/>
          <w:szCs w:val="20"/>
        </w:rPr>
        <w:t xml:space="preserve">) The stools from 2 cirrhosis patients and 1 healthy donor were collected for 16s rRNA sequencing. Bar plots of the </w:t>
      </w:r>
      <w:r w:rsidR="001E450C">
        <w:rPr>
          <w:rFonts w:ascii="Arial" w:hAnsi="Arial" w:cs="Arial"/>
          <w:color w:val="000000" w:themeColor="text1"/>
          <w:sz w:val="20"/>
          <w:szCs w:val="20"/>
        </w:rPr>
        <w:t>order</w:t>
      </w:r>
      <w:r w:rsidRPr="00E73B7F">
        <w:rPr>
          <w:rFonts w:ascii="Arial" w:hAnsi="Arial" w:cs="Arial"/>
          <w:color w:val="000000" w:themeColor="text1"/>
          <w:sz w:val="20"/>
          <w:szCs w:val="20"/>
        </w:rPr>
        <w:t xml:space="preserve"> levels in cirrhosis patients and healthy donor are shown. Relative abundance is plotted for each sample.  </w:t>
      </w:r>
    </w:p>
    <w:p w14:paraId="4A52D3DF" w14:textId="77777777" w:rsidR="003535EB" w:rsidRPr="00E73B7F" w:rsidRDefault="003535EB" w:rsidP="003535EB">
      <w:pPr>
        <w:spacing w:line="360" w:lineRule="auto"/>
        <w:jc w:val="both"/>
        <w:rPr>
          <w:rFonts w:ascii="Arial" w:hAnsi="Arial" w:cs="Arial"/>
          <w:color w:val="000000" w:themeColor="text1"/>
          <w:sz w:val="20"/>
          <w:szCs w:val="20"/>
        </w:rPr>
      </w:pPr>
      <w:r w:rsidRPr="00E73B7F">
        <w:rPr>
          <w:rFonts w:ascii="Arial" w:hAnsi="Arial" w:cs="Arial"/>
          <w:color w:val="000000" w:themeColor="text1"/>
          <w:sz w:val="20"/>
          <w:szCs w:val="20"/>
        </w:rPr>
        <w:lastRenderedPageBreak/>
        <w:t>(</w:t>
      </w:r>
      <w:r w:rsidRPr="00E73B7F">
        <w:rPr>
          <w:rFonts w:ascii="Arial" w:hAnsi="Arial" w:cs="Arial"/>
          <w:b/>
          <w:bCs/>
          <w:color w:val="000000" w:themeColor="text1"/>
          <w:sz w:val="20"/>
          <w:szCs w:val="20"/>
        </w:rPr>
        <w:t>B</w:t>
      </w:r>
      <w:r w:rsidRPr="00E73B7F">
        <w:rPr>
          <w:rFonts w:ascii="Arial" w:hAnsi="Arial" w:cs="Arial"/>
          <w:color w:val="000000" w:themeColor="text1"/>
          <w:sz w:val="20"/>
          <w:szCs w:val="20"/>
        </w:rPr>
        <w:t>) Fecal microbiota transplant (FMT) from cirrhosis patients or healthy control was performed on germ free (GF) mice through oral gavage at week 0 and weeks 2. At week 4, the mice were sacrificed for further analysis</w:t>
      </w:r>
    </w:p>
    <w:p w14:paraId="6696F42A" w14:textId="77777777" w:rsidR="003535EB" w:rsidRPr="00E73B7F" w:rsidRDefault="003535EB" w:rsidP="003535EB">
      <w:pPr>
        <w:spacing w:line="360" w:lineRule="auto"/>
        <w:jc w:val="both"/>
        <w:rPr>
          <w:rFonts w:ascii="Arial" w:hAnsi="Arial" w:cs="Arial"/>
          <w:color w:val="000000" w:themeColor="text1"/>
          <w:sz w:val="20"/>
          <w:szCs w:val="20"/>
        </w:rPr>
      </w:pPr>
      <w:r w:rsidRPr="00E73B7F">
        <w:rPr>
          <w:rFonts w:ascii="Arial" w:hAnsi="Arial" w:cs="Arial"/>
          <w:color w:val="000000" w:themeColor="text1"/>
          <w:sz w:val="20"/>
          <w:szCs w:val="20"/>
        </w:rPr>
        <w:t>(</w:t>
      </w:r>
      <w:r w:rsidRPr="00E73B7F">
        <w:rPr>
          <w:rFonts w:ascii="Arial" w:hAnsi="Arial" w:cs="Arial"/>
          <w:b/>
          <w:bCs/>
          <w:color w:val="000000" w:themeColor="text1"/>
          <w:sz w:val="20"/>
          <w:szCs w:val="20"/>
        </w:rPr>
        <w:t xml:space="preserve">C </w:t>
      </w:r>
      <w:r w:rsidRPr="00E73B7F">
        <w:rPr>
          <w:rFonts w:ascii="Arial" w:hAnsi="Arial" w:cs="Arial"/>
          <w:color w:val="000000" w:themeColor="text1"/>
          <w:sz w:val="20"/>
          <w:szCs w:val="20"/>
        </w:rPr>
        <w:t>and</w:t>
      </w:r>
      <w:r w:rsidRPr="00E73B7F">
        <w:rPr>
          <w:rFonts w:ascii="Arial" w:hAnsi="Arial" w:cs="Arial"/>
          <w:b/>
          <w:bCs/>
          <w:color w:val="000000" w:themeColor="text1"/>
          <w:sz w:val="20"/>
          <w:szCs w:val="20"/>
        </w:rPr>
        <w:t xml:space="preserve"> D</w:t>
      </w:r>
      <w:r w:rsidRPr="00E73B7F">
        <w:rPr>
          <w:rFonts w:ascii="Arial" w:hAnsi="Arial" w:cs="Arial"/>
          <w:color w:val="000000" w:themeColor="text1"/>
          <w:sz w:val="20"/>
          <w:szCs w:val="20"/>
        </w:rPr>
        <w:t>) IHC of MPO in liver tissues of mice from experiment (</w:t>
      </w:r>
      <w:r w:rsidRPr="00E73B7F">
        <w:rPr>
          <w:rFonts w:ascii="Arial" w:hAnsi="Arial" w:cs="Arial"/>
          <w:b/>
          <w:bCs/>
          <w:color w:val="000000" w:themeColor="text1"/>
          <w:sz w:val="20"/>
          <w:szCs w:val="20"/>
        </w:rPr>
        <w:t>B</w:t>
      </w:r>
      <w:r w:rsidRPr="00E73B7F">
        <w:rPr>
          <w:rFonts w:ascii="Arial" w:hAnsi="Arial" w:cs="Arial"/>
          <w:color w:val="000000" w:themeColor="text1"/>
          <w:sz w:val="20"/>
          <w:szCs w:val="20"/>
        </w:rPr>
        <w:t>) was performed. The MPO+ cells in each slide were counted (</w:t>
      </w:r>
      <w:r w:rsidRPr="00E73B7F">
        <w:rPr>
          <w:rFonts w:ascii="Arial" w:hAnsi="Arial" w:cs="Arial"/>
          <w:b/>
          <w:bCs/>
          <w:color w:val="000000" w:themeColor="text1"/>
          <w:sz w:val="20"/>
          <w:szCs w:val="20"/>
        </w:rPr>
        <w:t>D</w:t>
      </w:r>
      <w:r w:rsidRPr="00E73B7F">
        <w:rPr>
          <w:rFonts w:ascii="Arial" w:hAnsi="Arial" w:cs="Arial"/>
          <w:color w:val="000000" w:themeColor="text1"/>
          <w:sz w:val="20"/>
          <w:szCs w:val="20"/>
        </w:rPr>
        <w:t xml:space="preserve">). n=5 for healthy control, 6 for cirrhosis patients. *p&lt;0.05, Student’s </w:t>
      </w:r>
      <w:r w:rsidRPr="00E73B7F">
        <w:rPr>
          <w:rFonts w:ascii="Arial" w:hAnsi="Arial" w:cs="Arial"/>
          <w:i/>
          <w:color w:val="000000" w:themeColor="text1"/>
          <w:sz w:val="20"/>
          <w:szCs w:val="20"/>
        </w:rPr>
        <w:t>t</w:t>
      </w:r>
      <w:r w:rsidRPr="00E73B7F">
        <w:rPr>
          <w:rFonts w:ascii="Arial" w:hAnsi="Arial" w:cs="Arial"/>
          <w:color w:val="000000" w:themeColor="text1"/>
          <w:sz w:val="20"/>
          <w:szCs w:val="20"/>
        </w:rPr>
        <w:t xml:space="preserve"> test.</w:t>
      </w:r>
    </w:p>
    <w:p w14:paraId="4821ED83" w14:textId="774132C8" w:rsidR="003535EB" w:rsidRDefault="003535EB" w:rsidP="003535EB">
      <w:pPr>
        <w:spacing w:line="360" w:lineRule="auto"/>
        <w:jc w:val="both"/>
        <w:rPr>
          <w:rFonts w:ascii="Arial" w:hAnsi="Arial" w:cs="Arial"/>
          <w:color w:val="000000" w:themeColor="text1"/>
          <w:sz w:val="20"/>
          <w:szCs w:val="20"/>
        </w:rPr>
      </w:pPr>
      <w:r w:rsidRPr="00E73B7F">
        <w:rPr>
          <w:rFonts w:ascii="Arial" w:hAnsi="Arial" w:cs="Arial"/>
          <w:color w:val="000000" w:themeColor="text1"/>
          <w:sz w:val="20"/>
          <w:szCs w:val="20"/>
        </w:rPr>
        <w:t>(</w:t>
      </w:r>
      <w:r w:rsidRPr="00E73B7F">
        <w:rPr>
          <w:rFonts w:ascii="Arial" w:hAnsi="Arial" w:cs="Arial"/>
          <w:b/>
          <w:bCs/>
          <w:color w:val="000000" w:themeColor="text1"/>
          <w:sz w:val="20"/>
          <w:szCs w:val="20"/>
        </w:rPr>
        <w:t xml:space="preserve">E </w:t>
      </w:r>
      <w:r w:rsidRPr="00E73B7F">
        <w:rPr>
          <w:rFonts w:ascii="Arial" w:hAnsi="Arial" w:cs="Arial"/>
          <w:color w:val="000000" w:themeColor="text1"/>
          <w:sz w:val="20"/>
          <w:szCs w:val="20"/>
        </w:rPr>
        <w:t>and</w:t>
      </w:r>
      <w:r w:rsidRPr="00E73B7F">
        <w:rPr>
          <w:rFonts w:ascii="Arial" w:hAnsi="Arial" w:cs="Arial"/>
          <w:b/>
          <w:bCs/>
          <w:color w:val="000000" w:themeColor="text1"/>
          <w:sz w:val="20"/>
          <w:szCs w:val="20"/>
        </w:rPr>
        <w:t xml:space="preserve"> F</w:t>
      </w:r>
      <w:r w:rsidRPr="00E73B7F">
        <w:rPr>
          <w:rFonts w:ascii="Arial" w:hAnsi="Arial" w:cs="Arial"/>
          <w:color w:val="000000" w:themeColor="text1"/>
          <w:sz w:val="20"/>
          <w:szCs w:val="20"/>
        </w:rPr>
        <w:t>) The mRNA expression levels of Ly6G (</w:t>
      </w:r>
      <w:r w:rsidRPr="00E73B7F">
        <w:rPr>
          <w:rFonts w:ascii="Arial" w:hAnsi="Arial" w:cs="Arial"/>
          <w:b/>
          <w:bCs/>
          <w:color w:val="000000" w:themeColor="text1"/>
          <w:sz w:val="20"/>
          <w:szCs w:val="20"/>
        </w:rPr>
        <w:t>E</w:t>
      </w:r>
      <w:r w:rsidRPr="00E73B7F">
        <w:rPr>
          <w:rFonts w:ascii="Arial" w:hAnsi="Arial" w:cs="Arial"/>
          <w:color w:val="000000" w:themeColor="text1"/>
          <w:sz w:val="20"/>
          <w:szCs w:val="20"/>
        </w:rPr>
        <w:t>) and CXCL1 (</w:t>
      </w:r>
      <w:r w:rsidRPr="00E73B7F">
        <w:rPr>
          <w:rFonts w:ascii="Arial" w:hAnsi="Arial" w:cs="Arial"/>
          <w:b/>
          <w:bCs/>
          <w:color w:val="000000" w:themeColor="text1"/>
          <w:sz w:val="20"/>
          <w:szCs w:val="20"/>
        </w:rPr>
        <w:t>F</w:t>
      </w:r>
      <w:r w:rsidRPr="00E73B7F">
        <w:rPr>
          <w:rFonts w:ascii="Arial" w:hAnsi="Arial" w:cs="Arial"/>
          <w:color w:val="000000" w:themeColor="text1"/>
          <w:sz w:val="20"/>
          <w:szCs w:val="20"/>
        </w:rPr>
        <w:t xml:space="preserve">) were detected in liver. n=5 for healthy control, 13 for cirrhosis patients. Data represent mean ± SEM. **p&lt;0.01, ns, no significant. Student’s </w:t>
      </w:r>
      <w:r w:rsidRPr="00E73B7F">
        <w:rPr>
          <w:rFonts w:ascii="Arial" w:hAnsi="Arial" w:cs="Arial"/>
          <w:i/>
          <w:color w:val="000000" w:themeColor="text1"/>
          <w:sz w:val="20"/>
          <w:szCs w:val="20"/>
        </w:rPr>
        <w:t>t</w:t>
      </w:r>
      <w:r w:rsidRPr="00E73B7F">
        <w:rPr>
          <w:rFonts w:ascii="Arial" w:hAnsi="Arial" w:cs="Arial"/>
          <w:color w:val="000000" w:themeColor="text1"/>
          <w:sz w:val="20"/>
          <w:szCs w:val="20"/>
        </w:rPr>
        <w:t xml:space="preserve"> test.</w:t>
      </w:r>
    </w:p>
    <w:p w14:paraId="1B4617FF" w14:textId="6B13567E" w:rsidR="00E73B7F" w:rsidRDefault="00E73B7F" w:rsidP="003535EB">
      <w:pPr>
        <w:spacing w:line="360" w:lineRule="auto"/>
        <w:jc w:val="both"/>
        <w:rPr>
          <w:rFonts w:ascii="Arial" w:hAnsi="Arial" w:cs="Arial"/>
          <w:color w:val="000000" w:themeColor="text1"/>
          <w:sz w:val="20"/>
          <w:szCs w:val="20"/>
        </w:rPr>
      </w:pPr>
    </w:p>
    <w:p w14:paraId="5FEA1D34" w14:textId="336F306E" w:rsidR="00E73B7F" w:rsidRDefault="00E73B7F" w:rsidP="003535EB">
      <w:pPr>
        <w:spacing w:line="360" w:lineRule="auto"/>
        <w:jc w:val="both"/>
        <w:rPr>
          <w:rFonts w:ascii="Arial" w:hAnsi="Arial" w:cs="Arial"/>
          <w:color w:val="000000" w:themeColor="text1"/>
          <w:sz w:val="20"/>
          <w:szCs w:val="20"/>
        </w:rPr>
      </w:pPr>
    </w:p>
    <w:p w14:paraId="4BA1ABF3" w14:textId="144E67C4" w:rsidR="00E73B7F" w:rsidRDefault="00E73B7F" w:rsidP="003535EB">
      <w:pPr>
        <w:spacing w:line="360" w:lineRule="auto"/>
        <w:jc w:val="both"/>
        <w:rPr>
          <w:rFonts w:ascii="Arial" w:hAnsi="Arial" w:cs="Arial"/>
          <w:color w:val="000000" w:themeColor="text1"/>
          <w:sz w:val="20"/>
          <w:szCs w:val="20"/>
        </w:rPr>
      </w:pPr>
    </w:p>
    <w:p w14:paraId="1EEF7F8E" w14:textId="64FD2AA6" w:rsidR="00E73B7F" w:rsidRDefault="00E73B7F" w:rsidP="003535EB">
      <w:pPr>
        <w:spacing w:line="360" w:lineRule="auto"/>
        <w:jc w:val="both"/>
        <w:rPr>
          <w:rFonts w:ascii="Arial" w:hAnsi="Arial" w:cs="Arial"/>
          <w:color w:val="000000" w:themeColor="text1"/>
          <w:sz w:val="20"/>
          <w:szCs w:val="20"/>
        </w:rPr>
      </w:pPr>
    </w:p>
    <w:p w14:paraId="5F5A07C2" w14:textId="1BE87512" w:rsidR="00E73B7F" w:rsidRDefault="00E73B7F" w:rsidP="003535EB">
      <w:pPr>
        <w:spacing w:line="360" w:lineRule="auto"/>
        <w:jc w:val="both"/>
        <w:rPr>
          <w:rFonts w:ascii="Arial" w:hAnsi="Arial" w:cs="Arial"/>
          <w:color w:val="000000" w:themeColor="text1"/>
          <w:sz w:val="20"/>
          <w:szCs w:val="20"/>
        </w:rPr>
      </w:pPr>
    </w:p>
    <w:p w14:paraId="3FDFF3FA" w14:textId="0D9F9FC1" w:rsidR="00E73B7F" w:rsidRDefault="00E73B7F" w:rsidP="003535EB">
      <w:pPr>
        <w:spacing w:line="360" w:lineRule="auto"/>
        <w:jc w:val="both"/>
        <w:rPr>
          <w:rFonts w:ascii="Arial" w:hAnsi="Arial" w:cs="Arial"/>
          <w:color w:val="000000" w:themeColor="text1"/>
          <w:sz w:val="20"/>
          <w:szCs w:val="20"/>
        </w:rPr>
      </w:pPr>
    </w:p>
    <w:p w14:paraId="3FC07219" w14:textId="54E611C2" w:rsidR="00E73B7F" w:rsidRDefault="00E73B7F" w:rsidP="003535EB">
      <w:pPr>
        <w:spacing w:line="360" w:lineRule="auto"/>
        <w:jc w:val="both"/>
        <w:rPr>
          <w:rFonts w:ascii="Arial" w:hAnsi="Arial" w:cs="Arial"/>
          <w:color w:val="000000" w:themeColor="text1"/>
          <w:sz w:val="20"/>
          <w:szCs w:val="20"/>
        </w:rPr>
      </w:pPr>
    </w:p>
    <w:p w14:paraId="19440FCD" w14:textId="631EFA85" w:rsidR="00E73B7F" w:rsidRDefault="00E73B7F" w:rsidP="003535EB">
      <w:pPr>
        <w:spacing w:line="360" w:lineRule="auto"/>
        <w:jc w:val="both"/>
        <w:rPr>
          <w:rFonts w:ascii="Arial" w:hAnsi="Arial" w:cs="Arial"/>
          <w:color w:val="000000" w:themeColor="text1"/>
          <w:sz w:val="20"/>
          <w:szCs w:val="20"/>
        </w:rPr>
      </w:pPr>
    </w:p>
    <w:p w14:paraId="47F1B8F7" w14:textId="77777777" w:rsidR="00E73B7F" w:rsidRPr="00E73B7F" w:rsidRDefault="00E73B7F" w:rsidP="003535EB">
      <w:pPr>
        <w:spacing w:line="360" w:lineRule="auto"/>
        <w:jc w:val="both"/>
        <w:rPr>
          <w:rFonts w:ascii="Arial" w:hAnsi="Arial" w:cs="Arial"/>
          <w:color w:val="000000" w:themeColor="text1"/>
          <w:sz w:val="20"/>
          <w:szCs w:val="20"/>
        </w:rPr>
      </w:pPr>
    </w:p>
    <w:p w14:paraId="58A196E6" w14:textId="5177ADA6" w:rsidR="003535EB" w:rsidRPr="00E73B7F" w:rsidRDefault="003535EB" w:rsidP="003535EB">
      <w:pPr>
        <w:spacing w:line="360" w:lineRule="auto"/>
        <w:jc w:val="both"/>
        <w:rPr>
          <w:rFonts w:ascii="Arial" w:hAnsi="Arial" w:cs="Arial"/>
          <w:color w:val="000000" w:themeColor="text1"/>
          <w:sz w:val="20"/>
          <w:szCs w:val="20"/>
        </w:rPr>
      </w:pPr>
    </w:p>
    <w:p w14:paraId="774DABC1" w14:textId="0D6EB911" w:rsidR="00E73B7F" w:rsidRPr="00E73B7F" w:rsidRDefault="00E73B7F" w:rsidP="003535EB">
      <w:pPr>
        <w:spacing w:line="360" w:lineRule="auto"/>
        <w:jc w:val="both"/>
        <w:rPr>
          <w:rFonts w:ascii="Arial" w:hAnsi="Arial" w:cs="Arial"/>
          <w:color w:val="000000" w:themeColor="text1"/>
          <w:sz w:val="20"/>
          <w:szCs w:val="20"/>
        </w:rPr>
      </w:pPr>
      <w:r w:rsidRPr="00E73B7F">
        <w:rPr>
          <w:rFonts w:ascii="Arial" w:hAnsi="Arial" w:cs="Arial"/>
          <w:noProof/>
          <w:color w:val="000000" w:themeColor="text1"/>
          <w:sz w:val="20"/>
          <w:szCs w:val="20"/>
        </w:rPr>
        <w:lastRenderedPageBreak/>
        <w:drawing>
          <wp:inline distT="0" distB="0" distL="0" distR="0" wp14:anchorId="6BBE6763" wp14:editId="2132549F">
            <wp:extent cx="5943600" cy="4961255"/>
            <wp:effectExtent l="0" t="0" r="0" b="444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4961255"/>
                    </a:xfrm>
                    <a:prstGeom prst="rect">
                      <a:avLst/>
                    </a:prstGeom>
                  </pic:spPr>
                </pic:pic>
              </a:graphicData>
            </a:graphic>
          </wp:inline>
        </w:drawing>
      </w:r>
    </w:p>
    <w:p w14:paraId="4A26ED5D" w14:textId="77777777" w:rsidR="003535EB" w:rsidRPr="00E73B7F" w:rsidRDefault="003535EB" w:rsidP="003535EB">
      <w:pPr>
        <w:spacing w:line="360" w:lineRule="auto"/>
        <w:jc w:val="both"/>
        <w:rPr>
          <w:rFonts w:ascii="Arial" w:hAnsi="Arial" w:cs="Arial"/>
          <w:b/>
          <w:color w:val="000000" w:themeColor="text1"/>
          <w:sz w:val="20"/>
          <w:szCs w:val="20"/>
        </w:rPr>
      </w:pPr>
      <w:r w:rsidRPr="00E73B7F">
        <w:rPr>
          <w:rFonts w:ascii="Arial" w:hAnsi="Arial" w:cs="Arial"/>
          <w:b/>
          <w:bCs/>
          <w:color w:val="000000" w:themeColor="text1"/>
          <w:sz w:val="20"/>
          <w:szCs w:val="20"/>
        </w:rPr>
        <w:t>Figure S10.</w:t>
      </w:r>
      <w:r w:rsidRPr="00E73B7F">
        <w:rPr>
          <w:rFonts w:ascii="Arial" w:hAnsi="Arial" w:cs="Arial"/>
          <w:color w:val="000000" w:themeColor="text1"/>
          <w:sz w:val="20"/>
          <w:szCs w:val="20"/>
        </w:rPr>
        <w:t xml:space="preserve"> </w:t>
      </w:r>
      <w:r w:rsidRPr="00E73B7F">
        <w:rPr>
          <w:rFonts w:ascii="Arial" w:hAnsi="Arial" w:cs="Arial"/>
          <w:b/>
          <w:color w:val="000000" w:themeColor="text1"/>
          <w:sz w:val="20"/>
          <w:szCs w:val="20"/>
        </w:rPr>
        <w:t>Graphical abstract.</w:t>
      </w:r>
    </w:p>
    <w:p w14:paraId="526CF3A2" w14:textId="77777777" w:rsidR="003535EB" w:rsidRPr="00E73B7F" w:rsidRDefault="003535EB" w:rsidP="003535EB">
      <w:pPr>
        <w:spacing w:line="360" w:lineRule="auto"/>
        <w:jc w:val="both"/>
        <w:rPr>
          <w:rFonts w:ascii="Arial" w:hAnsi="Arial" w:cs="Arial"/>
          <w:bCs/>
          <w:color w:val="000000" w:themeColor="text1"/>
          <w:sz w:val="20"/>
          <w:szCs w:val="20"/>
        </w:rPr>
      </w:pPr>
      <w:r w:rsidRPr="00E73B7F">
        <w:rPr>
          <w:rFonts w:ascii="Arial" w:hAnsi="Arial" w:cs="Arial"/>
          <w:bCs/>
          <w:color w:val="000000" w:themeColor="text1"/>
          <w:sz w:val="20"/>
          <w:szCs w:val="20"/>
        </w:rPr>
        <w:t>In leaky gut caused by PSC or colitis, microbiota or products of microbiota, such as LPS, enter portal vein due to increased gut permeability. The increased portal LPS stimulates hepatocytes to secrete CXCL1 via TLR4. CXCL1 recruits CXCR2</w:t>
      </w:r>
      <w:r w:rsidRPr="00E73B7F">
        <w:rPr>
          <w:rFonts w:ascii="Arial" w:hAnsi="Arial" w:cs="Arial"/>
          <w:bCs/>
          <w:color w:val="000000" w:themeColor="text1"/>
          <w:sz w:val="20"/>
          <w:szCs w:val="20"/>
          <w:vertAlign w:val="superscript"/>
        </w:rPr>
        <w:t>+</w:t>
      </w:r>
      <w:r w:rsidRPr="00E73B7F">
        <w:rPr>
          <w:rFonts w:ascii="Arial" w:hAnsi="Arial" w:cs="Arial"/>
          <w:bCs/>
          <w:color w:val="000000" w:themeColor="text1"/>
          <w:sz w:val="20"/>
          <w:szCs w:val="20"/>
        </w:rPr>
        <w:t xml:space="preserve"> PMN-MDSC in the liver, which promotes cholangiocarcinoma via inhibiting NK cell function. </w:t>
      </w:r>
    </w:p>
    <w:p w14:paraId="2C18D94B" w14:textId="22E51DD2" w:rsidR="003535EB" w:rsidRPr="00E73B7F" w:rsidRDefault="003535EB">
      <w:pPr>
        <w:rPr>
          <w:rFonts w:ascii="Arial" w:hAnsi="Arial" w:cs="Arial"/>
          <w:color w:val="000000" w:themeColor="text1"/>
          <w:sz w:val="20"/>
          <w:szCs w:val="20"/>
        </w:rPr>
      </w:pPr>
    </w:p>
    <w:sectPr w:rsidR="003535EB" w:rsidRPr="00E73B7F" w:rsidSect="00CB54D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3ED5"/>
    <w:rsid w:val="00084199"/>
    <w:rsid w:val="000E3C38"/>
    <w:rsid w:val="000E47F2"/>
    <w:rsid w:val="000E7FDC"/>
    <w:rsid w:val="000F608E"/>
    <w:rsid w:val="00142F5E"/>
    <w:rsid w:val="001E450C"/>
    <w:rsid w:val="002F6C21"/>
    <w:rsid w:val="00331E49"/>
    <w:rsid w:val="00343ED5"/>
    <w:rsid w:val="003535EB"/>
    <w:rsid w:val="00376990"/>
    <w:rsid w:val="00420E0C"/>
    <w:rsid w:val="00607855"/>
    <w:rsid w:val="0062685D"/>
    <w:rsid w:val="00791DC5"/>
    <w:rsid w:val="007C1673"/>
    <w:rsid w:val="008F7183"/>
    <w:rsid w:val="00934E6E"/>
    <w:rsid w:val="009B546E"/>
    <w:rsid w:val="009F5913"/>
    <w:rsid w:val="00A42164"/>
    <w:rsid w:val="00BC7470"/>
    <w:rsid w:val="00C23C66"/>
    <w:rsid w:val="00C55293"/>
    <w:rsid w:val="00C76AE6"/>
    <w:rsid w:val="00C821FC"/>
    <w:rsid w:val="00CB54D7"/>
    <w:rsid w:val="00D34D41"/>
    <w:rsid w:val="00D37974"/>
    <w:rsid w:val="00D47982"/>
    <w:rsid w:val="00D76E89"/>
    <w:rsid w:val="00D917A2"/>
    <w:rsid w:val="00DA6CC7"/>
    <w:rsid w:val="00E26409"/>
    <w:rsid w:val="00E73B7F"/>
    <w:rsid w:val="00F5165E"/>
    <w:rsid w:val="00FA21D6"/>
    <w:rsid w:val="00FD51A1"/>
    <w:rsid w:val="00FE0A21"/>
    <w:rsid w:val="00FF435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4:docId w14:val="7FB17209"/>
  <w15:chartTrackingRefBased/>
  <w15:docId w15:val="{29EDA4A1-382F-7542-BD3A-61ADA97B99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535EB"/>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535EB"/>
    <w:rPr>
      <w:rFonts w:eastAsiaTheme="minorEastAsia"/>
      <w:sz w:val="18"/>
      <w:szCs w:val="18"/>
    </w:rPr>
  </w:style>
  <w:style w:type="character" w:customStyle="1" w:styleId="BalloonTextChar">
    <w:name w:val="Balloon Text Char"/>
    <w:basedOn w:val="DefaultParagraphFont"/>
    <w:link w:val="BalloonText"/>
    <w:uiPriority w:val="99"/>
    <w:semiHidden/>
    <w:rsid w:val="003535EB"/>
    <w:rPr>
      <w:rFonts w:ascii="Times New Roman" w:hAnsi="Times New Roman" w:cs="Times New Roman"/>
      <w:sz w:val="18"/>
      <w:szCs w:val="18"/>
    </w:rPr>
  </w:style>
  <w:style w:type="character" w:styleId="CommentReference">
    <w:name w:val="annotation reference"/>
    <w:basedOn w:val="DefaultParagraphFont"/>
    <w:uiPriority w:val="99"/>
    <w:semiHidden/>
    <w:unhideWhenUsed/>
    <w:rsid w:val="003535EB"/>
    <w:rPr>
      <w:sz w:val="16"/>
      <w:szCs w:val="16"/>
    </w:rPr>
  </w:style>
  <w:style w:type="paragraph" w:styleId="CommentText">
    <w:name w:val="annotation text"/>
    <w:basedOn w:val="Normal"/>
    <w:link w:val="CommentTextChar"/>
    <w:uiPriority w:val="99"/>
    <w:semiHidden/>
    <w:unhideWhenUsed/>
    <w:rsid w:val="003535EB"/>
    <w:rPr>
      <w:rFonts w:asciiTheme="minorHAnsi" w:eastAsiaTheme="minorHAnsi" w:hAnsiTheme="minorHAnsi" w:cstheme="minorBidi"/>
      <w:sz w:val="20"/>
      <w:szCs w:val="20"/>
      <w:lang w:eastAsia="en-US"/>
    </w:rPr>
  </w:style>
  <w:style w:type="character" w:customStyle="1" w:styleId="CommentTextChar">
    <w:name w:val="Comment Text Char"/>
    <w:basedOn w:val="DefaultParagraphFont"/>
    <w:link w:val="CommentText"/>
    <w:uiPriority w:val="99"/>
    <w:semiHidden/>
    <w:rsid w:val="003535EB"/>
    <w:rPr>
      <w:rFonts w:eastAsiaTheme="minorHAnsi"/>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389084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png"/><Relationship Id="rId15" Type="http://schemas.openxmlformats.org/officeDocument/2006/relationships/theme" Target="theme/theme1.xml"/><Relationship Id="rId10" Type="http://schemas.openxmlformats.org/officeDocument/2006/relationships/image" Target="media/image7.jpeg"/><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TotalTime>
  <Pages>20</Pages>
  <Words>2836</Words>
  <Characters>16171</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QZ</dc:creator>
  <cp:keywords/>
  <dc:description/>
  <cp:lastModifiedBy>QZ</cp:lastModifiedBy>
  <cp:revision>9</cp:revision>
  <dcterms:created xsi:type="dcterms:W3CDTF">2020-10-10T01:28:00Z</dcterms:created>
  <dcterms:modified xsi:type="dcterms:W3CDTF">2020-11-24T20:52:00Z</dcterms:modified>
</cp:coreProperties>
</file>