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4E323E" w14:textId="69C30ED7" w:rsidR="00A1230E" w:rsidRPr="00D60A99" w:rsidRDefault="00A1230E" w:rsidP="00A1230E">
      <w:pPr>
        <w:rPr>
          <w:rFonts w:ascii="Times New Roman" w:hAnsi="Times New Roman" w:cs="Times New Roman"/>
          <w:b/>
          <w:bCs/>
          <w:color w:val="000000" w:themeColor="text1"/>
          <w:sz w:val="22"/>
          <w:szCs w:val="22"/>
        </w:rPr>
      </w:pPr>
      <w:r w:rsidRPr="00D60A99">
        <w:rPr>
          <w:rFonts w:ascii="Times New Roman" w:hAnsi="Times New Roman" w:cs="Times New Roman"/>
          <w:b/>
          <w:bCs/>
          <w:color w:val="000000" w:themeColor="text1"/>
          <w:sz w:val="22"/>
          <w:szCs w:val="22"/>
        </w:rPr>
        <w:t>Online Supplementary Appendix for:</w:t>
      </w:r>
    </w:p>
    <w:p w14:paraId="7B1D2FA9" w14:textId="77777777" w:rsidR="00F553DC" w:rsidRPr="00D60A99" w:rsidRDefault="00F553DC" w:rsidP="00A1230E">
      <w:pPr>
        <w:rPr>
          <w:rFonts w:ascii="Times New Roman" w:hAnsi="Times New Roman" w:cs="Times New Roman"/>
          <w:b/>
          <w:bCs/>
          <w:color w:val="000000" w:themeColor="text1"/>
          <w:sz w:val="22"/>
          <w:szCs w:val="22"/>
        </w:rPr>
      </w:pPr>
    </w:p>
    <w:p w14:paraId="49EA5914" w14:textId="77777777" w:rsidR="00A1230E" w:rsidRPr="00D60A99" w:rsidRDefault="00A1230E" w:rsidP="00A1230E">
      <w:pPr>
        <w:rPr>
          <w:rFonts w:ascii="Times New Roman" w:hAnsi="Times New Roman" w:cs="Times New Roman"/>
          <w:b/>
          <w:bCs/>
          <w:color w:val="000000" w:themeColor="text1"/>
          <w:sz w:val="22"/>
          <w:szCs w:val="22"/>
        </w:rPr>
      </w:pPr>
    </w:p>
    <w:p w14:paraId="284BED57" w14:textId="77777777" w:rsidR="00F30A87" w:rsidRPr="00D60A99" w:rsidRDefault="00F30A87" w:rsidP="007933E4">
      <w:pPr>
        <w:spacing w:line="480" w:lineRule="auto"/>
        <w:rPr>
          <w:rFonts w:ascii="Times New Roman" w:hAnsi="Times New Roman" w:cs="Times New Roman"/>
          <w:b/>
          <w:bCs/>
          <w:color w:val="000000" w:themeColor="text1"/>
          <w:sz w:val="22"/>
          <w:szCs w:val="22"/>
        </w:rPr>
      </w:pPr>
      <w:r w:rsidRPr="00D60A99">
        <w:rPr>
          <w:rFonts w:ascii="Times New Roman" w:hAnsi="Times New Roman" w:cs="Times New Roman"/>
          <w:b/>
          <w:bCs/>
          <w:color w:val="000000" w:themeColor="text1"/>
          <w:sz w:val="22"/>
          <w:szCs w:val="22"/>
        </w:rPr>
        <w:t>Longitudinal single-cell dynamics of chromatin accessibility and mitochondrial mutations in chronic lymphocytic leukemia mirror disease history</w:t>
      </w:r>
    </w:p>
    <w:p w14:paraId="30761E25" w14:textId="47748E51" w:rsidR="00C21999" w:rsidRPr="00D60A99" w:rsidRDefault="00C21999">
      <w:pPr>
        <w:rPr>
          <w:rFonts w:ascii="Times New Roman" w:hAnsi="Times New Roman" w:cs="Times New Roman"/>
          <w:color w:val="000000" w:themeColor="text1"/>
        </w:rPr>
      </w:pPr>
      <w:r w:rsidRPr="00D60A99">
        <w:rPr>
          <w:rFonts w:ascii="Times New Roman" w:hAnsi="Times New Roman" w:cs="Times New Roman"/>
          <w:color w:val="000000" w:themeColor="text1"/>
        </w:rPr>
        <w:br w:type="page"/>
      </w:r>
    </w:p>
    <w:p w14:paraId="5D84A5C5" w14:textId="00A8B93C" w:rsidR="0003317B" w:rsidRPr="00D60A99" w:rsidRDefault="00AD2F3F">
      <w:pPr>
        <w:rPr>
          <w:rFonts w:ascii="Times New Roman" w:hAnsi="Times New Roman" w:cs="Times New Roman"/>
          <w:b/>
          <w:bCs/>
          <w:color w:val="000000" w:themeColor="text1"/>
        </w:rPr>
      </w:pPr>
      <w:r w:rsidRPr="00D60A99">
        <w:rPr>
          <w:rFonts w:ascii="Times New Roman" w:hAnsi="Times New Roman" w:cs="Times New Roman"/>
          <w:b/>
          <w:bCs/>
          <w:color w:val="000000" w:themeColor="text1"/>
        </w:rPr>
        <w:lastRenderedPageBreak/>
        <w:t>Supplementa</w:t>
      </w:r>
      <w:r w:rsidR="00BD7580" w:rsidRPr="00D60A99">
        <w:rPr>
          <w:rFonts w:ascii="Times New Roman" w:hAnsi="Times New Roman" w:cs="Times New Roman"/>
          <w:b/>
          <w:bCs/>
          <w:color w:val="000000" w:themeColor="text1"/>
        </w:rPr>
        <w:t>ry</w:t>
      </w:r>
      <w:r w:rsidRPr="00D60A99">
        <w:rPr>
          <w:rFonts w:ascii="Times New Roman" w:hAnsi="Times New Roman" w:cs="Times New Roman"/>
          <w:b/>
          <w:bCs/>
          <w:color w:val="000000" w:themeColor="text1"/>
        </w:rPr>
        <w:t xml:space="preserve"> methods</w:t>
      </w:r>
    </w:p>
    <w:p w14:paraId="77E387E6" w14:textId="77777777" w:rsidR="00B415ED" w:rsidRPr="00D60A99" w:rsidRDefault="00B415ED">
      <w:pPr>
        <w:rPr>
          <w:rFonts w:ascii="Times New Roman" w:hAnsi="Times New Roman" w:cs="Times New Roman"/>
          <w:color w:val="000000" w:themeColor="text1"/>
        </w:rPr>
      </w:pPr>
    </w:p>
    <w:p w14:paraId="40855585" w14:textId="1822CF45" w:rsidR="00B415ED" w:rsidRPr="00D60A99" w:rsidRDefault="00B415ED" w:rsidP="00B415ED">
      <w:pPr>
        <w:pStyle w:val="Paragraph"/>
        <w:spacing w:line="480" w:lineRule="auto"/>
        <w:ind w:firstLine="0"/>
        <w:jc w:val="both"/>
        <w:rPr>
          <w:i/>
          <w:iCs/>
          <w:color w:val="000000" w:themeColor="text1"/>
        </w:rPr>
      </w:pPr>
      <w:r w:rsidRPr="00D60A99">
        <w:rPr>
          <w:i/>
          <w:iCs/>
          <w:color w:val="000000" w:themeColor="text1"/>
        </w:rPr>
        <w:t>Whole</w:t>
      </w:r>
      <w:r w:rsidR="0095092E" w:rsidRPr="00D60A99">
        <w:rPr>
          <w:i/>
          <w:iCs/>
          <w:color w:val="000000" w:themeColor="text1"/>
        </w:rPr>
        <w:t>-</w:t>
      </w:r>
      <w:r w:rsidRPr="00D60A99">
        <w:rPr>
          <w:i/>
          <w:iCs/>
          <w:color w:val="000000" w:themeColor="text1"/>
        </w:rPr>
        <w:t>exome sequencing and somatic copy number identification</w:t>
      </w:r>
    </w:p>
    <w:p w14:paraId="562EB718" w14:textId="58B5DA59" w:rsidR="00B415ED" w:rsidRPr="00D60A99" w:rsidRDefault="00B415ED" w:rsidP="00B415ED">
      <w:pPr>
        <w:pStyle w:val="Paragraph"/>
        <w:spacing w:line="480" w:lineRule="auto"/>
        <w:ind w:firstLine="0"/>
        <w:jc w:val="both"/>
        <w:rPr>
          <w:color w:val="000000" w:themeColor="text1"/>
        </w:rPr>
      </w:pPr>
      <w:r w:rsidRPr="00D60A99">
        <w:rPr>
          <w:color w:val="000000" w:themeColor="text1"/>
        </w:rPr>
        <w:t xml:space="preserve">Sequencing </w:t>
      </w:r>
      <w:r w:rsidR="00C82567" w:rsidRPr="00D60A99">
        <w:rPr>
          <w:color w:val="000000" w:themeColor="text1"/>
        </w:rPr>
        <w:t xml:space="preserve">of CLL and RT samples </w:t>
      </w:r>
      <w:r w:rsidRPr="00D60A99">
        <w:rPr>
          <w:color w:val="000000" w:themeColor="text1"/>
        </w:rPr>
        <w:t>was performed at the Broad Institute</w:t>
      </w:r>
      <w:r w:rsidR="001C4B52">
        <w:rPr>
          <w:color w:val="000000" w:themeColor="text1"/>
        </w:rPr>
        <w:t xml:space="preserve"> of MIT and Harvard</w:t>
      </w:r>
      <w:r w:rsidR="009F0995" w:rsidRPr="00D60A99">
        <w:rPr>
          <w:color w:val="000000" w:themeColor="text1"/>
        </w:rPr>
        <w:t>.</w:t>
      </w:r>
      <w:r w:rsidRPr="00D60A99">
        <w:rPr>
          <w:color w:val="000000" w:themeColor="text1"/>
        </w:rPr>
        <w:t xml:space="preserve"> </w:t>
      </w:r>
      <w:r w:rsidR="009F0995" w:rsidRPr="00D60A99">
        <w:rPr>
          <w:color w:val="000000" w:themeColor="text1"/>
        </w:rPr>
        <w:t>C</w:t>
      </w:r>
      <w:r w:rsidRPr="00D60A99">
        <w:rPr>
          <w:color w:val="000000" w:themeColor="text1"/>
        </w:rPr>
        <w:t>opy number changes</w:t>
      </w:r>
      <w:r w:rsidR="009F0995" w:rsidRPr="00D60A99">
        <w:rPr>
          <w:color w:val="000000" w:themeColor="text1"/>
        </w:rPr>
        <w:t xml:space="preserve">, somatic nuclear mutations and clonal dynamics </w:t>
      </w:r>
      <w:r w:rsidRPr="00D60A99">
        <w:rPr>
          <w:color w:val="000000" w:themeColor="text1"/>
        </w:rPr>
        <w:t>were identified as previously described</w:t>
      </w:r>
      <w:r w:rsidR="00DD5110" w:rsidRPr="00D60A99">
        <w:rPr>
          <w:color w:val="000000" w:themeColor="text1"/>
        </w:rPr>
        <w:t xml:space="preserve"> </w:t>
      </w:r>
      <w:r w:rsidRPr="00D60A99">
        <w:rPr>
          <w:color w:val="000000" w:themeColor="text1"/>
        </w:rPr>
        <w:fldChar w:fldCharType="begin"/>
      </w:r>
      <w:r w:rsidR="00240494" w:rsidRPr="00D60A99">
        <w:rPr>
          <w:color w:val="000000" w:themeColor="text1"/>
        </w:rPr>
        <w:instrText xml:space="preserve"> ADDIN ZOTERO_ITEM CSL_CITATION {"citationID":"aFdOlODs","properties":{"formattedCitation":"(1)","plainCitation":"(1)","noteIndex":0},"citationItems":[{"id":553,"uris":["http://zotero.org/users/local/xncSu5kE/items/QRPFKBM3"],"uri":["http://zotero.org/users/local/xncSu5kE/items/QRPFKBM3"],"itemData":{"id":553,"type":"article-journal","abstract":"How the genomic features of a patient's cancer relate to individual disease kinetics remains poorly understood. Here we used the indolent growth dynamics of chronic lymphocytic leukaemia (CLL) to analyse the growth rates and corresponding genomic patterns of leukaemia cells from 107 patients with CLL, spanning decades-long disease courses. We found that CLL commonly demonstrates not only exponential expansion but also logistic growth, which is sigmoidal and reaches a certain steady-state level. Each growth pattern was associated with marked differences in genetic composition, the pace of disease progression and the extent of clonal evolution. In a subset of patients, whose serial samples underwent next-generation sequencing, we found that dynamic changes in the disease course of CLL were shaped by the genetic events that were already present in the early slow-growing stages. Finally, by analysing the growth rates of subclones compared with their parental clones, we quantified the growth advantage conferred by putative CLL drivers in vivo.","container-title":"Nature","DOI":"10.1038/s41586-019-1252-x","ISSN":"1476-4687","issue":"7762","journalAbbreviation":"Nature","language":"eng","note":"PMID: 31142838\nPMCID: PMC6630176","page":"474-479","source":"PubMed","title":"Growth dynamics in naturally progressing chronic lymphocytic leukaemia","volume":"570","author":[{"family":"Gruber","given":"Michaela"},{"family":"Bozic","given":"Ivana"},{"family":"Leshchiner","given":"Ignaty"},{"family":"Livitz","given":"Dimitri"},{"family":"Stevenson","given":"Kristen"},{"family":"Rassenti","given":"Laura"},{"family":"Rosebrock","given":"Daniel"},{"family":"Taylor-Weiner","given":"Amaro"},{"family":"Olive","given":"Oriol"},{"family":"Goyetche","given":"Reaha"},{"family":"Fernandes","given":"Stacey M."},{"family":"Sun","given":"Jing"},{"family":"Stewart","given":"Chip"},{"family":"Wong","given":"Alicia"},{"family":"Cibulskis","given":"Carrie"},{"family":"Zhang","given":"Wandi"},{"family":"Reiter","given":"Johannes G."},{"family":"Gerold","given":"Jeffrey M."},{"family":"Gribben","given":"John G."},{"family":"Rai","given":"Kanti R."},{"family":"Keating","given":"Michael J."},{"family":"Brown","given":"Jennifer R."},{"family":"Neuberg","given":"Donna"},{"family":"Kipps","given":"Thomas J."},{"family":"Nowak","given":"Martin A."},{"family":"Getz","given":"Gad"},{"family":"Wu","given":"Catherine J."}],"issued":{"date-parts":[["2019"]]}}}],"schema":"https://github.com/citation-style-language/schema/raw/master/csl-citation.json"} </w:instrText>
      </w:r>
      <w:r w:rsidRPr="00D60A99">
        <w:rPr>
          <w:color w:val="000000" w:themeColor="text1"/>
        </w:rPr>
        <w:fldChar w:fldCharType="separate"/>
      </w:r>
      <w:r w:rsidR="00240494" w:rsidRPr="00D60A99">
        <w:rPr>
          <w:color w:val="000000" w:themeColor="text1"/>
        </w:rPr>
        <w:t>(1)</w:t>
      </w:r>
      <w:r w:rsidRPr="00D60A99">
        <w:rPr>
          <w:color w:val="000000" w:themeColor="text1"/>
        </w:rPr>
        <w:fldChar w:fldCharType="end"/>
      </w:r>
      <w:r w:rsidRPr="00D60A99">
        <w:rPr>
          <w:color w:val="000000" w:themeColor="text1"/>
        </w:rPr>
        <w:t xml:space="preserve">. </w:t>
      </w:r>
      <w:r w:rsidR="00EF6DCD" w:rsidRPr="00D60A99">
        <w:rPr>
          <w:color w:val="000000" w:themeColor="text1"/>
        </w:rPr>
        <w:t xml:space="preserve">Whole exome sequencing data </w:t>
      </w:r>
      <w:r w:rsidR="00DF51BC" w:rsidRPr="00D60A99">
        <w:rPr>
          <w:color w:val="000000" w:themeColor="text1"/>
        </w:rPr>
        <w:t>of CLL1 had previously been analyzed</w:t>
      </w:r>
      <w:r w:rsidR="002B7B5F" w:rsidRPr="00D60A99">
        <w:rPr>
          <w:color w:val="000000" w:themeColor="text1"/>
        </w:rPr>
        <w:t xml:space="preserve"> </w:t>
      </w:r>
      <w:r w:rsidR="00C874EC" w:rsidRPr="00D60A99">
        <w:rPr>
          <w:color w:val="000000" w:themeColor="text1"/>
        </w:rPr>
        <w:fldChar w:fldCharType="begin"/>
      </w:r>
      <w:r w:rsidR="00240494" w:rsidRPr="00D60A99">
        <w:rPr>
          <w:color w:val="000000" w:themeColor="text1"/>
        </w:rPr>
        <w:instrText xml:space="preserve"> ADDIN ZOTERO_ITEM CSL_CITATION {"citationID":"mX2r7wE1","properties":{"formattedCitation":"(1)","plainCitation":"(1)","noteIndex":0},"citationItems":[{"id":553,"uris":["http://zotero.org/users/local/xncSu5kE/items/QRPFKBM3"],"uri":["http://zotero.org/users/local/xncSu5kE/items/QRPFKBM3"],"itemData":{"id":553,"type":"article-journal","abstract":"How the genomic features of a patient's cancer relate to individual disease kinetics remains poorly understood. Here we used the indolent growth dynamics of chronic lymphocytic leukaemia (CLL) to analyse the growth rates and corresponding genomic patterns of leukaemia cells from 107 patients with CLL, spanning decades-long disease courses. We found that CLL commonly demonstrates not only exponential expansion but also logistic growth, which is sigmoidal and reaches a certain steady-state level. Each growth pattern was associated with marked differences in genetic composition, the pace of disease progression and the extent of clonal evolution. In a subset of patients, whose serial samples underwent next-generation sequencing, we found that dynamic changes in the disease course of CLL were shaped by the genetic events that were already present in the early slow-growing stages. Finally, by analysing the growth rates of subclones compared with their parental clones, we quantified the growth advantage conferred by putative CLL drivers in vivo.","container-title":"Nature","DOI":"10.1038/s41586-019-1252-x","ISSN":"1476-4687","issue":"7762","journalAbbreviation":"Nature","language":"eng","note":"PMID: 31142838\nPMCID: PMC6630176","page":"474-479","source":"PubMed","title":"Growth dynamics in naturally progressing chronic lymphocytic leukaemia","volume":"570","author":[{"family":"Gruber","given":"Michaela"},{"family":"Bozic","given":"Ivana"},{"family":"Leshchiner","given":"Ignaty"},{"family":"Livitz","given":"Dimitri"},{"family":"Stevenson","given":"Kristen"},{"family":"Rassenti","given":"Laura"},{"family":"Rosebrock","given":"Daniel"},{"family":"Taylor-Weiner","given":"Amaro"},{"family":"Olive","given":"Oriol"},{"family":"Goyetche","given":"Reaha"},{"family":"Fernandes","given":"Stacey M."},{"family":"Sun","given":"Jing"},{"family":"Stewart","given":"Chip"},{"family":"Wong","given":"Alicia"},{"family":"Cibulskis","given":"Carrie"},{"family":"Zhang","given":"Wandi"},{"family":"Reiter","given":"Johannes G."},{"family":"Gerold","given":"Jeffrey M."},{"family":"Gribben","given":"John G."},{"family":"Rai","given":"Kanti R."},{"family":"Keating","given":"Michael J."},{"family":"Brown","given":"Jennifer R."},{"family":"Neuberg","given":"Donna"},{"family":"Kipps","given":"Thomas J."},{"family":"Nowak","given":"Martin A."},{"family":"Getz","given":"Gad"},{"family":"Wu","given":"Catherine J."}],"issued":{"date-parts":[["2019"]]}}}],"schema":"https://github.com/citation-style-language/schema/raw/master/csl-citation.json"} </w:instrText>
      </w:r>
      <w:r w:rsidR="00C874EC" w:rsidRPr="00D60A99">
        <w:rPr>
          <w:color w:val="000000" w:themeColor="text1"/>
        </w:rPr>
        <w:fldChar w:fldCharType="separate"/>
      </w:r>
      <w:r w:rsidR="00240494" w:rsidRPr="00D60A99">
        <w:rPr>
          <w:color w:val="000000" w:themeColor="text1"/>
        </w:rPr>
        <w:t>(1)</w:t>
      </w:r>
      <w:r w:rsidR="00C874EC" w:rsidRPr="00D60A99">
        <w:rPr>
          <w:color w:val="000000" w:themeColor="text1"/>
        </w:rPr>
        <w:fldChar w:fldCharType="end"/>
      </w:r>
      <w:r w:rsidR="002B7B5F" w:rsidRPr="00D60A99">
        <w:rPr>
          <w:color w:val="000000" w:themeColor="text1"/>
        </w:rPr>
        <w:t>.</w:t>
      </w:r>
    </w:p>
    <w:p w14:paraId="5932F426" w14:textId="77777777" w:rsidR="00B415ED" w:rsidRPr="00D60A99" w:rsidRDefault="00B415ED" w:rsidP="00B415ED">
      <w:pPr>
        <w:pStyle w:val="Paragraph"/>
        <w:spacing w:line="480" w:lineRule="auto"/>
        <w:ind w:firstLine="0"/>
        <w:jc w:val="both"/>
        <w:rPr>
          <w:i/>
          <w:iCs/>
          <w:color w:val="000000" w:themeColor="text1"/>
        </w:rPr>
      </w:pPr>
    </w:p>
    <w:p w14:paraId="12CD4D3E" w14:textId="77777777" w:rsidR="00B415ED" w:rsidRPr="00D60A99" w:rsidRDefault="00B415ED" w:rsidP="00B415ED">
      <w:pPr>
        <w:pStyle w:val="Paragraph"/>
        <w:spacing w:line="480" w:lineRule="auto"/>
        <w:ind w:firstLine="0"/>
        <w:jc w:val="both"/>
        <w:rPr>
          <w:i/>
          <w:iCs/>
          <w:color w:val="000000" w:themeColor="text1"/>
        </w:rPr>
      </w:pPr>
      <w:r w:rsidRPr="00D60A99">
        <w:rPr>
          <w:i/>
          <w:iCs/>
          <w:color w:val="000000" w:themeColor="text1"/>
        </w:rPr>
        <w:t>Reanalysis of public bulk ATAC-seq data</w:t>
      </w:r>
    </w:p>
    <w:p w14:paraId="69190B87" w14:textId="1F7E605A" w:rsidR="00B415ED" w:rsidRPr="00D60A99" w:rsidRDefault="00B415ED" w:rsidP="00B415ED">
      <w:pPr>
        <w:pStyle w:val="Paragraph"/>
        <w:spacing w:line="480" w:lineRule="auto"/>
        <w:ind w:firstLine="0"/>
        <w:jc w:val="both"/>
        <w:rPr>
          <w:color w:val="000000" w:themeColor="text1"/>
        </w:rPr>
      </w:pPr>
      <w:r w:rsidRPr="00D60A99">
        <w:rPr>
          <w:color w:val="000000" w:themeColor="text1"/>
        </w:rPr>
        <w:t xml:space="preserve">Analysis was performed as previously described </w:t>
      </w:r>
      <w:r w:rsidRPr="00D60A99">
        <w:rPr>
          <w:color w:val="000000" w:themeColor="text1"/>
        </w:rPr>
        <w:fldChar w:fldCharType="begin"/>
      </w:r>
      <w:r w:rsidR="00240494" w:rsidRPr="00D60A99">
        <w:rPr>
          <w:color w:val="000000" w:themeColor="text1"/>
        </w:rPr>
        <w:instrText xml:space="preserve"> ADDIN ZOTERO_ITEM CSL_CITATION {"citationID":"Qg86DLeJ","properties":{"formattedCitation":"(2)","plainCitation":"(2)","noteIndex":0},"citationItems":[{"id":499,"uris":["http://zotero.org/users/local/xncSu5kE/items/DAYR7WXT"],"uri":["http://zotero.org/users/local/xncSu5kE/items/DAYR7WXT"],"itemData":{"id":499,"type":"article-journal","abstract":"Key Points. Tracking of somatic mtDNA mutations in the peripheral blood enables the longitudinal assessment of clonal dynamics.This approach could enable clonal","container-title":"Blood Advances","DOI":"10.1182/bloodadvances.2019001196","ISSN":"2473-9529","issue":"24","journalAbbreviation":"Blood Adv","language":"en","note":"publisher: American Society of Hematology","page":"4161-4165","source":"ashpublications.org","title":"Longitudinal assessment of clonal mosaicism in human hematopoiesis via mitochondrial mutation tracking","volume":"3","author":[{"family":"Lareau","given":"Caleb A."},{"family":"Ludwig","given":"Leif S."},{"family":"Sankaran","given":"Vijay G."}],"issued":{"date-parts":[["2019",12,23]]}}}],"schema":"https://github.com/citation-style-language/schema/raw/master/csl-citation.json"} </w:instrText>
      </w:r>
      <w:r w:rsidRPr="00D60A99">
        <w:rPr>
          <w:color w:val="000000" w:themeColor="text1"/>
        </w:rPr>
        <w:fldChar w:fldCharType="separate"/>
      </w:r>
      <w:r w:rsidR="00240494" w:rsidRPr="00D60A99">
        <w:rPr>
          <w:color w:val="000000" w:themeColor="text1"/>
        </w:rPr>
        <w:t>(2)</w:t>
      </w:r>
      <w:r w:rsidRPr="00D60A99">
        <w:rPr>
          <w:color w:val="000000" w:themeColor="text1"/>
        </w:rPr>
        <w:fldChar w:fldCharType="end"/>
      </w:r>
      <w:r w:rsidRPr="00D60A99">
        <w:rPr>
          <w:color w:val="000000" w:themeColor="text1"/>
        </w:rPr>
        <w:t xml:space="preserve">. In short, raw sequencing data was downloaded from Gene Expression Omnibus </w:t>
      </w:r>
      <w:r w:rsidR="00901EC1">
        <w:rPr>
          <w:color w:val="000000" w:themeColor="text1"/>
        </w:rPr>
        <w:t xml:space="preserve">(GEO) </w:t>
      </w:r>
      <w:r w:rsidRPr="00D60A99">
        <w:rPr>
          <w:color w:val="000000" w:themeColor="text1"/>
        </w:rPr>
        <w:t>accession number GSE111015. Alignment to the GRCh38 reference genome was performed using bowtie2</w:t>
      </w:r>
      <w:r w:rsidR="004821A2" w:rsidRPr="00D60A99">
        <w:rPr>
          <w:color w:val="000000" w:themeColor="text1"/>
        </w:rPr>
        <w:t xml:space="preserve"> </w:t>
      </w:r>
      <w:r w:rsidR="00B660B1" w:rsidRPr="00D60A99">
        <w:rPr>
          <w:color w:val="000000" w:themeColor="text1"/>
        </w:rPr>
        <w:fldChar w:fldCharType="begin"/>
      </w:r>
      <w:r w:rsidR="00B660B1" w:rsidRPr="00D60A99">
        <w:rPr>
          <w:color w:val="000000" w:themeColor="text1"/>
        </w:rPr>
        <w:instrText xml:space="preserve"> ADDIN ZOTERO_ITEM CSL_CITATION {"citationID":"89Tmdj6G","properties":{"formattedCitation":"(3)","plainCitation":"(3)","noteIndex":0},"citationItems":[{"id":502,"uris":["http://zotero.org/users/local/xncSu5kE/items/2MNVAMY4"],"uri":["http://zotero.org/users/local/xncSu5kE/items/2MNVAMY4"],"itemData":{"id":502,"type":"article-journal","abstract":"As the rate of sequencing increases, greater throughput is demanded from read aligners. The full-text minute index is often used to make alignment very fast and memory-efficient, but the approach is ill-suited to finding longer, gapped alignments. Bowtie 2 combines the strengths of the full-text minute index with the flexibility and speed of hardware-accelerated dynamic programming algorithms to achieve a combination of high speed, sensitivity and accuracy.","container-title":"Nature Methods","DOI":"10.1038/nmeth.1923","ISSN":"1548-7105","issue":"4","journalAbbreviation":"Nat Methods","language":"eng","note":"PMID: 22388286\nPMCID: PMC3322381","page":"357-359","source":"PubMed","title":"Fast gapped-read alignment with Bowtie 2","volume":"9","author":[{"family":"Langmead","given":"Ben"},{"family":"Salzberg","given":"Steven L."}],"issued":{"date-parts":[["2012",3,4]]}}}],"schema":"https://github.com/citation-style-language/schema/raw/master/csl-citation.json"} </w:instrText>
      </w:r>
      <w:r w:rsidR="00B660B1" w:rsidRPr="00D60A99">
        <w:rPr>
          <w:color w:val="000000" w:themeColor="text1"/>
        </w:rPr>
        <w:fldChar w:fldCharType="separate"/>
      </w:r>
      <w:r w:rsidR="00B660B1" w:rsidRPr="00D60A99">
        <w:rPr>
          <w:noProof/>
          <w:color w:val="000000" w:themeColor="text1"/>
        </w:rPr>
        <w:t>(3)</w:t>
      </w:r>
      <w:r w:rsidR="00B660B1" w:rsidRPr="00D60A99">
        <w:rPr>
          <w:color w:val="000000" w:themeColor="text1"/>
        </w:rPr>
        <w:fldChar w:fldCharType="end"/>
      </w:r>
      <w:r w:rsidRPr="00D60A99">
        <w:rPr>
          <w:color w:val="000000" w:themeColor="text1"/>
        </w:rPr>
        <w:t xml:space="preserve">. Extraction of reads mapping to the mitochondrial genome was done using </w:t>
      </w:r>
      <w:proofErr w:type="spellStart"/>
      <w:r w:rsidRPr="00D60A99">
        <w:rPr>
          <w:color w:val="000000" w:themeColor="text1"/>
        </w:rPr>
        <w:t>Samtools</w:t>
      </w:r>
      <w:proofErr w:type="spellEnd"/>
      <w:r w:rsidR="00362418" w:rsidRPr="00D60A99">
        <w:rPr>
          <w:color w:val="000000" w:themeColor="text1"/>
        </w:rPr>
        <w:t xml:space="preserve"> </w:t>
      </w:r>
      <w:r w:rsidR="009B2A76" w:rsidRPr="00D60A99">
        <w:rPr>
          <w:color w:val="000000" w:themeColor="text1"/>
        </w:rPr>
        <w:fldChar w:fldCharType="begin"/>
      </w:r>
      <w:r w:rsidR="009B2A76" w:rsidRPr="00D60A99">
        <w:rPr>
          <w:color w:val="000000" w:themeColor="text1"/>
        </w:rPr>
        <w:instrText xml:space="preserve"> ADDIN ZOTERO_ITEM CSL_CITATION {"citationID":"W9mJi7Gi","properties":{"formattedCitation":"(4)","plainCitation":"(4)","noteIndex":0},"citationItems":[{"id":507,"uris":["http://zotero.org/users/local/xncSu5kE/items/QNJLCP32"],"uri":["http://zotero.org/users/local/xncSu5kE/items/QNJLCP32"],"itemData":{"id":507,"type":"article-journal","abstract":"SUMMARY: The Sequence Alignment/Map (SAM) format is a generic alignment format for storing read alignments against reference sequences, supporting short and long reads (up to 128 Mbp) produced by different sequencing platforms. It is flexible in style, compact in size, efficient in random access and is the format in which alignments from the 1000 Genomes Project are released. SAMtools implements various utilities for post-processing alignments in the SAM format, such as indexing, variant caller and alignment viewer, and thus provides universal tools for processing read alignments.\nAVAILABILITY: http://samtools.sourceforge.net.","container-title":"Bioinformatics (Oxford, England)","DOI":"10.1093/bioinformatics/btp352","ISSN":"1367-4811","issue":"16","journalAbbreviation":"Bioinformatics","language":"eng","note":"PMID: 19505943\nPMCID: PMC2723002","page":"2078-2079","source":"PubMed","title":"The Sequence Alignment/Map format and SAMtools","volume":"25","author":[{"family":"Li","given":"Heng"},{"family":"Handsaker","given":"Bob"},{"family":"Wysoker","given":"Alec"},{"family":"Fennell","given":"Tim"},{"family":"Ruan","given":"Jue"},{"family":"Homer","given":"Nils"},{"family":"Marth","given":"Gabor"},{"family":"Abecasis","given":"Goncalo"},{"family":"Durbin","given":"Richard"},{"literal":"1000 Genome Project Data Processing Subgroup"}],"issued":{"date-parts":[["2009",8,15]]}}}],"schema":"https://github.com/citation-style-language/schema/raw/master/csl-citation.json"} </w:instrText>
      </w:r>
      <w:r w:rsidR="009B2A76" w:rsidRPr="00D60A99">
        <w:rPr>
          <w:color w:val="000000" w:themeColor="text1"/>
        </w:rPr>
        <w:fldChar w:fldCharType="separate"/>
      </w:r>
      <w:r w:rsidR="009B2A76" w:rsidRPr="00D60A99">
        <w:rPr>
          <w:noProof/>
          <w:color w:val="000000" w:themeColor="text1"/>
        </w:rPr>
        <w:t>(4)</w:t>
      </w:r>
      <w:r w:rsidR="009B2A76" w:rsidRPr="00D60A99">
        <w:rPr>
          <w:color w:val="000000" w:themeColor="text1"/>
        </w:rPr>
        <w:fldChar w:fldCharType="end"/>
      </w:r>
      <w:r w:rsidRPr="00D60A99">
        <w:rPr>
          <w:color w:val="000000" w:themeColor="text1"/>
        </w:rPr>
        <w:t xml:space="preserve">. </w:t>
      </w:r>
      <w:proofErr w:type="spellStart"/>
      <w:r w:rsidRPr="00D60A99">
        <w:rPr>
          <w:color w:val="000000" w:themeColor="text1"/>
        </w:rPr>
        <w:t>Heteroplasmy</w:t>
      </w:r>
      <w:proofErr w:type="spellEnd"/>
      <w:r w:rsidRPr="00D60A99">
        <w:rPr>
          <w:color w:val="000000" w:themeColor="text1"/>
        </w:rPr>
        <w:t xml:space="preserve"> was calculated using </w:t>
      </w:r>
      <w:proofErr w:type="spellStart"/>
      <w:r w:rsidRPr="00D60A99">
        <w:rPr>
          <w:color w:val="000000" w:themeColor="text1"/>
        </w:rPr>
        <w:t>mgatk</w:t>
      </w:r>
      <w:proofErr w:type="spellEnd"/>
      <w:r w:rsidRPr="00D60A99">
        <w:rPr>
          <w:color w:val="000000" w:themeColor="text1"/>
        </w:rPr>
        <w:t xml:space="preserve"> </w:t>
      </w:r>
      <w:r w:rsidRPr="00D60A99">
        <w:rPr>
          <w:color w:val="000000" w:themeColor="text1"/>
        </w:rPr>
        <w:fldChar w:fldCharType="begin"/>
      </w:r>
      <w:r w:rsidR="009B2A76" w:rsidRPr="00D60A99">
        <w:rPr>
          <w:color w:val="000000" w:themeColor="text1"/>
        </w:rPr>
        <w:instrText xml:space="preserve"> ADDIN ZOTERO_ITEM CSL_CITATION {"citationID":"LYBLPZiQ","properties":{"formattedCitation":"(5)","plainCitation":"(5)","noteIndex":0},"citationItems":[{"id":31,"uris":["http://zotero.org/users/local/xncSu5kE/items/JW66TSDX"],"uri":["http://zotero.org/users/local/xncSu5kE/items/JW66TSDX"],"itemData":{"id":31,"type":"article-journal","abstract":"Lineage tracing provides key insights into the fate of individual cells in complex organisms. Although effective genetic labeling approaches are available in model systems, in humans, most approaches require detection of nuclear somatic mutations, which have high error rates, limited scale, and do not capture cell state information. Here, we show that somatic mutations in mtDNA can be tracked by single-cell RNA or assay for transposase accessible chromatin (ATAC) sequencing. We leverage somatic mtDNA mutations as natural genetic barcodes and demonstrate their utility as highly accurate clonal markers to infer cellular relationships. We track native human cells both in vitro and in vivo and relate clonal dynamics to gene expression and chromatin accessibility. Our approach should allow clonal tracking at a 1,000-fold greater scale than with nuclear genome sequencing, with simultaneous information on cell state, opening the way to chart cellular dynamics in human health and disease.","container-title":"Cell","DOI":"10.1016/j.cell.2019.01.022","ISSN":"1097-4172","issue":"6","journalAbbreviation":"Cell","language":"eng","note":"PMID: 30827679\nPMCID: PMC6408267","page":"1325-1339.e22","source":"PubMed","title":"Lineage Tracing in Humans Enabled by Mitochondrial Mutations and Single-Cell Genomics","volume":"176","author":[{"family":"Ludwig","given":"Leif S."},{"family":"Lareau","given":"Caleb A."},{"family":"Ulirsch","given":"Jacob C."},{"family":"Christian","given":"Elena"},{"family":"Muus","given":"Christoph"},{"family":"Li","given":"Lauren H."},{"family":"Pelka","given":"Karin"},{"family":"Ge","given":"Will"},{"family":"Oren","given":"Yaara"},{"family":"Brack","given":"Alison"},{"family":"Law","given":"Travis"},{"family":"Rodman","given":"Christopher"},{"family":"Chen","given":"Jonathan H."},{"family":"Boland","given":"Genevieve M."},{"family":"Hacohen","given":"Nir"},{"family":"Rozenblatt-Rosen","given":"Orit"},{"family":"Aryee","given":"Martin J."},{"family":"Buenrostro","given":"Jason D."},{"family":"Regev","given":"Aviv"},{"family":"Sankaran","given":"Vijay G."}],"issued":{"date-parts":[["2019"]],"season":"07"}}}],"schema":"https://github.com/citation-style-language/schema/raw/master/csl-citation.json"} </w:instrText>
      </w:r>
      <w:r w:rsidRPr="00D60A99">
        <w:rPr>
          <w:color w:val="000000" w:themeColor="text1"/>
        </w:rPr>
        <w:fldChar w:fldCharType="separate"/>
      </w:r>
      <w:r w:rsidR="009B2A76" w:rsidRPr="00D60A99">
        <w:rPr>
          <w:color w:val="000000" w:themeColor="text1"/>
        </w:rPr>
        <w:t>(5)</w:t>
      </w:r>
      <w:r w:rsidRPr="00D60A99">
        <w:rPr>
          <w:color w:val="000000" w:themeColor="text1"/>
        </w:rPr>
        <w:fldChar w:fldCharType="end"/>
      </w:r>
      <w:r w:rsidRPr="00D60A99">
        <w:rPr>
          <w:color w:val="000000" w:themeColor="text1"/>
        </w:rPr>
        <w:t xml:space="preserve"> and custom scripts. Quality filters were coverage of variant &gt;10x and coverage of position &gt;200x. </w:t>
      </w:r>
    </w:p>
    <w:p w14:paraId="63D9CA37" w14:textId="77777777" w:rsidR="00044DF3" w:rsidRPr="00D60A99" w:rsidRDefault="00044DF3" w:rsidP="00044DF3">
      <w:pPr>
        <w:pStyle w:val="Paragraph"/>
        <w:ind w:firstLine="0"/>
        <w:rPr>
          <w:b/>
          <w:color w:val="000000" w:themeColor="text1"/>
        </w:rPr>
      </w:pPr>
    </w:p>
    <w:p w14:paraId="352F82A9" w14:textId="77777777" w:rsidR="00044DF3" w:rsidRPr="00D60A99" w:rsidRDefault="00044DF3" w:rsidP="00044DF3">
      <w:pPr>
        <w:pStyle w:val="Paragraph"/>
        <w:spacing w:line="480" w:lineRule="auto"/>
        <w:ind w:firstLine="0"/>
        <w:jc w:val="both"/>
        <w:rPr>
          <w:i/>
          <w:iCs/>
          <w:color w:val="000000" w:themeColor="text1"/>
        </w:rPr>
      </w:pPr>
      <w:r w:rsidRPr="00D60A99">
        <w:rPr>
          <w:i/>
          <w:iCs/>
          <w:color w:val="000000" w:themeColor="text1"/>
        </w:rPr>
        <w:t xml:space="preserve">Reanalysis of public </w:t>
      </w:r>
      <w:proofErr w:type="spellStart"/>
      <w:r w:rsidRPr="00D60A99">
        <w:rPr>
          <w:i/>
          <w:iCs/>
          <w:color w:val="000000" w:themeColor="text1"/>
        </w:rPr>
        <w:t>mtscATAC</w:t>
      </w:r>
      <w:proofErr w:type="spellEnd"/>
      <w:r w:rsidRPr="00D60A99">
        <w:rPr>
          <w:i/>
          <w:iCs/>
          <w:color w:val="000000" w:themeColor="text1"/>
        </w:rPr>
        <w:t>-seq data</w:t>
      </w:r>
    </w:p>
    <w:p w14:paraId="7AB46FB2" w14:textId="77777777" w:rsidR="00044DF3" w:rsidRPr="00D60A99" w:rsidRDefault="00044DF3" w:rsidP="00044DF3">
      <w:pPr>
        <w:pStyle w:val="Paragraph"/>
        <w:spacing w:line="480" w:lineRule="auto"/>
        <w:ind w:firstLine="0"/>
        <w:jc w:val="both"/>
        <w:rPr>
          <w:color w:val="000000" w:themeColor="text1"/>
        </w:rPr>
      </w:pPr>
      <w:r w:rsidRPr="00D60A99">
        <w:rPr>
          <w:color w:val="000000" w:themeColor="text1"/>
        </w:rPr>
        <w:t xml:space="preserve">Re-analysis of </w:t>
      </w:r>
      <w:proofErr w:type="spellStart"/>
      <w:r w:rsidRPr="00D60A99">
        <w:rPr>
          <w:color w:val="000000" w:themeColor="text1"/>
        </w:rPr>
        <w:t>mtscATAC</w:t>
      </w:r>
      <w:proofErr w:type="spellEnd"/>
      <w:r w:rsidRPr="00D60A99">
        <w:rPr>
          <w:color w:val="000000" w:themeColor="text1"/>
        </w:rPr>
        <w:t xml:space="preserve">-seq profiles of CLL A and B was based on preprocessed output files from </w:t>
      </w:r>
      <w:proofErr w:type="spellStart"/>
      <w:r w:rsidRPr="00D60A99">
        <w:rPr>
          <w:color w:val="000000" w:themeColor="text1"/>
        </w:rPr>
        <w:t>cellranger</w:t>
      </w:r>
      <w:proofErr w:type="spellEnd"/>
      <w:r w:rsidRPr="00D60A99">
        <w:rPr>
          <w:color w:val="000000" w:themeColor="text1"/>
        </w:rPr>
        <w:t xml:space="preserve"> and </w:t>
      </w:r>
      <w:proofErr w:type="spellStart"/>
      <w:r w:rsidRPr="00D60A99">
        <w:rPr>
          <w:color w:val="000000" w:themeColor="text1"/>
        </w:rPr>
        <w:t>mgatk</w:t>
      </w:r>
      <w:proofErr w:type="spellEnd"/>
      <w:r w:rsidRPr="00D60A99">
        <w:rPr>
          <w:color w:val="000000" w:themeColor="text1"/>
        </w:rPr>
        <w:t xml:space="preserve"> which were kindly provided by Caleb Lareau. Mitochondrial DNA mutations were called from combined </w:t>
      </w:r>
      <w:proofErr w:type="spellStart"/>
      <w:r w:rsidRPr="00D60A99">
        <w:rPr>
          <w:color w:val="000000" w:themeColor="text1"/>
        </w:rPr>
        <w:t>mtscATAC</w:t>
      </w:r>
      <w:proofErr w:type="spellEnd"/>
      <w:r w:rsidRPr="00D60A99">
        <w:rPr>
          <w:color w:val="000000" w:themeColor="text1"/>
        </w:rPr>
        <w:t>-seq profiles of CD19</w:t>
      </w:r>
      <w:r w:rsidRPr="00D60A99">
        <w:rPr>
          <w:color w:val="000000" w:themeColor="text1"/>
          <w:vertAlign w:val="superscript"/>
        </w:rPr>
        <w:t>+</w:t>
      </w:r>
      <w:r w:rsidRPr="00D60A99">
        <w:rPr>
          <w:color w:val="000000" w:themeColor="text1"/>
        </w:rPr>
        <w:t xml:space="preserve"> and CD19</w:t>
      </w:r>
      <w:r w:rsidRPr="00D60A99">
        <w:rPr>
          <w:color w:val="000000" w:themeColor="text1"/>
          <w:vertAlign w:val="superscript"/>
        </w:rPr>
        <w:t>-</w:t>
      </w:r>
      <w:r w:rsidRPr="00D60A99">
        <w:rPr>
          <w:color w:val="000000" w:themeColor="text1"/>
        </w:rPr>
        <w:t xml:space="preserve"> FACS sorted cells for each patient using the function </w:t>
      </w:r>
      <w:proofErr w:type="spellStart"/>
      <w:r w:rsidRPr="00D60A99">
        <w:rPr>
          <w:color w:val="000000" w:themeColor="text1"/>
        </w:rPr>
        <w:t>call_mutations_</w:t>
      </w:r>
      <w:proofErr w:type="gramStart"/>
      <w:r w:rsidRPr="00D60A99">
        <w:rPr>
          <w:color w:val="000000" w:themeColor="text1"/>
        </w:rPr>
        <w:t>mgatk</w:t>
      </w:r>
      <w:proofErr w:type="spellEnd"/>
      <w:r w:rsidRPr="00D60A99">
        <w:rPr>
          <w:color w:val="000000" w:themeColor="text1"/>
        </w:rPr>
        <w:t>(</w:t>
      </w:r>
      <w:proofErr w:type="gramEnd"/>
      <w:r w:rsidRPr="00D60A99">
        <w:rPr>
          <w:color w:val="000000" w:themeColor="text1"/>
        </w:rPr>
        <w:t xml:space="preserve">) published along with the original manuscript (https://github.com/caleblareau/mtscATACpaper_reproducibility) as well as custom scripts. </w:t>
      </w:r>
    </w:p>
    <w:p w14:paraId="1C59FEE6" w14:textId="39F42580" w:rsidR="00712150" w:rsidRPr="00D60A99" w:rsidRDefault="009768FB" w:rsidP="00B415ED">
      <w:pPr>
        <w:pStyle w:val="Paragraph"/>
        <w:spacing w:line="480" w:lineRule="auto"/>
        <w:ind w:firstLine="0"/>
        <w:jc w:val="both"/>
        <w:rPr>
          <w:i/>
          <w:iCs/>
          <w:color w:val="000000" w:themeColor="text1"/>
        </w:rPr>
      </w:pPr>
      <w:r w:rsidRPr="00D60A99">
        <w:rPr>
          <w:i/>
          <w:iCs/>
          <w:color w:val="000000" w:themeColor="text1"/>
        </w:rPr>
        <w:lastRenderedPageBreak/>
        <w:t>Identification of CD5</w:t>
      </w:r>
      <w:r w:rsidRPr="00D60A99">
        <w:rPr>
          <w:i/>
          <w:iCs/>
          <w:color w:val="000000" w:themeColor="text1"/>
          <w:vertAlign w:val="superscript"/>
        </w:rPr>
        <w:t>-</w:t>
      </w:r>
      <w:r w:rsidRPr="00D60A99">
        <w:rPr>
          <w:i/>
          <w:iCs/>
          <w:color w:val="000000" w:themeColor="text1"/>
        </w:rPr>
        <w:t xml:space="preserve"> B cells</w:t>
      </w:r>
    </w:p>
    <w:p w14:paraId="0A8A1862" w14:textId="1394984C" w:rsidR="00A72CF2" w:rsidRPr="00D60A99" w:rsidRDefault="00583725" w:rsidP="00B415ED">
      <w:pPr>
        <w:pStyle w:val="Paragraph"/>
        <w:spacing w:line="480" w:lineRule="auto"/>
        <w:ind w:firstLine="0"/>
        <w:jc w:val="both"/>
        <w:rPr>
          <w:color w:val="000000" w:themeColor="text1"/>
        </w:rPr>
      </w:pPr>
      <w:r w:rsidRPr="00D60A99">
        <w:rPr>
          <w:color w:val="000000" w:themeColor="text1"/>
        </w:rPr>
        <w:t>Physiologic CD5</w:t>
      </w:r>
      <w:r w:rsidRPr="00D60A99">
        <w:rPr>
          <w:color w:val="000000" w:themeColor="text1"/>
          <w:vertAlign w:val="superscript"/>
        </w:rPr>
        <w:t>-</w:t>
      </w:r>
      <w:r w:rsidRPr="00D60A99">
        <w:rPr>
          <w:color w:val="000000" w:themeColor="text1"/>
        </w:rPr>
        <w:t xml:space="preserve"> B cells were identified based on </w:t>
      </w:r>
      <w:r w:rsidR="00CD1BFF" w:rsidRPr="00D60A99">
        <w:rPr>
          <w:color w:val="000000" w:themeColor="text1"/>
        </w:rPr>
        <w:t>imputed gene activity scores</w:t>
      </w:r>
      <w:r w:rsidR="00890EC5" w:rsidRPr="00D60A99">
        <w:rPr>
          <w:color w:val="000000" w:themeColor="text1"/>
        </w:rPr>
        <w:t xml:space="preserve"> of CD5 and </w:t>
      </w:r>
      <w:r w:rsidRPr="00D60A99">
        <w:rPr>
          <w:color w:val="000000" w:themeColor="text1"/>
        </w:rPr>
        <w:t>clustering of single cell chromatin accessibility data</w:t>
      </w:r>
      <w:r w:rsidR="00CE68FE" w:rsidRPr="00D60A99">
        <w:rPr>
          <w:color w:val="000000" w:themeColor="text1"/>
        </w:rPr>
        <w:t xml:space="preserve"> using </w:t>
      </w:r>
      <w:proofErr w:type="spellStart"/>
      <w:r w:rsidR="00CE68FE" w:rsidRPr="00D60A99">
        <w:rPr>
          <w:color w:val="000000" w:themeColor="text1"/>
        </w:rPr>
        <w:t>ArchR</w:t>
      </w:r>
      <w:proofErr w:type="spellEnd"/>
      <w:r w:rsidR="00CE68FE" w:rsidRPr="00D60A99">
        <w:rPr>
          <w:color w:val="000000" w:themeColor="text1"/>
        </w:rPr>
        <w:t>::</w:t>
      </w:r>
      <w:proofErr w:type="spellStart"/>
      <w:r w:rsidR="00CE68FE" w:rsidRPr="00D60A99">
        <w:rPr>
          <w:color w:val="000000" w:themeColor="text1"/>
        </w:rPr>
        <w:t>addClusters</w:t>
      </w:r>
      <w:proofErr w:type="spellEnd"/>
      <w:r w:rsidR="00CE68FE" w:rsidRPr="00D60A99">
        <w:rPr>
          <w:color w:val="000000" w:themeColor="text1"/>
        </w:rPr>
        <w:t xml:space="preserve">() with </w:t>
      </w:r>
      <w:proofErr w:type="spellStart"/>
      <w:r w:rsidR="00CE68FE" w:rsidRPr="00D60A99">
        <w:rPr>
          <w:i/>
          <w:iCs/>
          <w:color w:val="000000" w:themeColor="text1"/>
        </w:rPr>
        <w:t>reducedDims</w:t>
      </w:r>
      <w:proofErr w:type="spellEnd"/>
      <w:r w:rsidR="00CE68FE" w:rsidRPr="00D60A99">
        <w:rPr>
          <w:color w:val="000000" w:themeColor="text1"/>
        </w:rPr>
        <w:t xml:space="preserve"> = '</w:t>
      </w:r>
      <w:proofErr w:type="spellStart"/>
      <w:r w:rsidR="00CE68FE" w:rsidRPr="00D60A99">
        <w:rPr>
          <w:color w:val="000000" w:themeColor="text1"/>
        </w:rPr>
        <w:t>IterativeLSI</w:t>
      </w:r>
      <w:proofErr w:type="spellEnd"/>
      <w:r w:rsidR="00CE68FE" w:rsidRPr="00D60A99">
        <w:rPr>
          <w:color w:val="000000" w:themeColor="text1"/>
        </w:rPr>
        <w:t xml:space="preserve">', </w:t>
      </w:r>
      <w:r w:rsidR="00CE68FE" w:rsidRPr="00D60A99">
        <w:rPr>
          <w:i/>
          <w:iCs/>
          <w:color w:val="000000" w:themeColor="text1"/>
        </w:rPr>
        <w:t>method</w:t>
      </w:r>
      <w:r w:rsidR="00CE68FE" w:rsidRPr="00D60A99">
        <w:rPr>
          <w:color w:val="000000" w:themeColor="text1"/>
        </w:rPr>
        <w:t xml:space="preserve"> = 'Seurat', </w:t>
      </w:r>
      <w:r w:rsidR="00CE68FE" w:rsidRPr="00D60A99">
        <w:rPr>
          <w:i/>
          <w:iCs/>
          <w:color w:val="000000" w:themeColor="text1"/>
        </w:rPr>
        <w:t>name</w:t>
      </w:r>
      <w:r w:rsidR="00CE68FE" w:rsidRPr="00D60A99">
        <w:rPr>
          <w:color w:val="000000" w:themeColor="text1"/>
        </w:rPr>
        <w:t xml:space="preserve"> = 'Clusters', </w:t>
      </w:r>
      <w:r w:rsidR="00CE68FE" w:rsidRPr="00D60A99">
        <w:rPr>
          <w:i/>
          <w:iCs/>
          <w:color w:val="000000" w:themeColor="text1"/>
        </w:rPr>
        <w:t>resolution</w:t>
      </w:r>
      <w:r w:rsidR="00CE68FE" w:rsidRPr="00D60A99">
        <w:rPr>
          <w:color w:val="000000" w:themeColor="text1"/>
        </w:rPr>
        <w:t xml:space="preserve"> = 1</w:t>
      </w:r>
      <w:r w:rsidR="00EE414D" w:rsidRPr="00D60A99">
        <w:rPr>
          <w:color w:val="000000" w:themeColor="text1"/>
        </w:rPr>
        <w:t xml:space="preserve"> </w:t>
      </w:r>
      <w:r w:rsidR="00B240F5" w:rsidRPr="00D60A99">
        <w:rPr>
          <w:color w:val="000000" w:themeColor="text1"/>
        </w:rPr>
        <w:fldChar w:fldCharType="begin"/>
      </w:r>
      <w:r w:rsidR="00B240F5" w:rsidRPr="00D60A99">
        <w:rPr>
          <w:color w:val="000000" w:themeColor="text1"/>
        </w:rPr>
        <w:instrText xml:space="preserve"> ADDIN ZOTERO_ITEM CSL_CITATION {"citationID":"kU4K2jEa","properties":{"formattedCitation":"(6)","plainCitation":"(6)","noteIndex":0},"citationItems":[{"id":839,"uris":["http://zotero.org/users/local/xncSu5kE/items/DAKBZ29W"],"uri":["http://zotero.org/users/local/xncSu5kE/items/DAKBZ29W"],"itemData":{"id":839,"type":"article-journal","abstract":"The advent of single-cell chromatin accessibility profiling has accelerated the ability to map gene regulatory landscapes but has outpaced the development of scalable software to rapidly extract biological meaning from these data. Here we present a software suite for single-cell analysis of regulatory chromatin in R (ArchR; https://www.archrproject.com/) that enables fast and comprehensive analysis of single-cell chromatin accessibility data. ArchR provides an intuitive, user-focused interface for complex single-cell analyses, including doublet removal, single-cell clustering and cell type identification, unified peak set generation, cellular trajectory identification, DNA element-to-gene linkage, transcription factor footprinting, mRNA expression level prediction from chromatin accessibility and multi-omic integration with single-cell RNA sequencing (scRNA-seq). Enabling the analysis of over 1.2 million single cells within 8 h on a standard Unix laptop, ArchR is a comprehensive software suite for end-to-end analysis of single-cell chromatin accessibility that will accelerate the understanding of gene regulation at the resolution of individual cells.","container-title":"Nature Genetics","DOI":"10.1038/s41588-021-00790-6","ISSN":"1546-1718","issue":"3","language":"en","page":"403-411","source":"www.nature.com","title":"ArchR is a scalable software package for integrative single-cell chromatin accessibility analysis","volume":"53","author":[{"family":"Granja","given":"Jeffrey M."},{"family":"Corces","given":"M. Ryan"},{"family":"Pierce","given":"Sarah E."},{"family":"Bagdatli","given":"S. Tansu"},{"family":"Choudhry","given":"Hani"},{"family":"Chang","given":"Howard Y."},{"family":"Greenleaf","given":"William J."}],"issued":{"date-parts":[["2021",3]]}}}],"schema":"https://github.com/citation-style-language/schema/raw/master/csl-citation.json"} </w:instrText>
      </w:r>
      <w:r w:rsidR="00B240F5" w:rsidRPr="00D60A99">
        <w:rPr>
          <w:color w:val="000000" w:themeColor="text1"/>
        </w:rPr>
        <w:fldChar w:fldCharType="separate"/>
      </w:r>
      <w:r w:rsidR="00B240F5" w:rsidRPr="00D60A99">
        <w:rPr>
          <w:noProof/>
          <w:color w:val="000000" w:themeColor="text1"/>
        </w:rPr>
        <w:t>(6)</w:t>
      </w:r>
      <w:r w:rsidR="00B240F5" w:rsidRPr="00D60A99">
        <w:rPr>
          <w:color w:val="000000" w:themeColor="text1"/>
        </w:rPr>
        <w:fldChar w:fldCharType="end"/>
      </w:r>
      <w:r w:rsidRPr="00D60A99">
        <w:rPr>
          <w:color w:val="000000" w:themeColor="text1"/>
        </w:rPr>
        <w:t xml:space="preserve">. </w:t>
      </w:r>
      <w:r w:rsidR="002130EC" w:rsidRPr="00D60A99">
        <w:rPr>
          <w:color w:val="000000" w:themeColor="text1"/>
        </w:rPr>
        <w:t xml:space="preserve">Estimated purity of CLL cells was calculated as percentage of cells within CLL cluster amongst all CLL/B cells. </w:t>
      </w:r>
      <w:r w:rsidR="002F7D38" w:rsidRPr="00D60A99">
        <w:rPr>
          <w:color w:val="000000" w:themeColor="text1"/>
        </w:rPr>
        <w:t>For comparison with a healthy donor, s</w:t>
      </w:r>
      <w:r w:rsidR="002D04F4" w:rsidRPr="00D60A99">
        <w:rPr>
          <w:color w:val="000000" w:themeColor="text1"/>
        </w:rPr>
        <w:t xml:space="preserve">ingle cell chromatin accessibility data from a healthy donor were downloaded from 10x </w:t>
      </w:r>
      <w:r w:rsidR="00D2446C">
        <w:rPr>
          <w:color w:val="000000" w:themeColor="text1"/>
        </w:rPr>
        <w:t>G</w:t>
      </w:r>
      <w:r w:rsidR="002D04F4" w:rsidRPr="00D60A99">
        <w:rPr>
          <w:color w:val="000000" w:themeColor="text1"/>
        </w:rPr>
        <w:t>enomics (</w:t>
      </w:r>
      <w:r w:rsidR="00222C97" w:rsidRPr="00D60A99">
        <w:rPr>
          <w:color w:val="000000" w:themeColor="text1"/>
        </w:rPr>
        <w:t>atac_pbmc_10k_v1</w:t>
      </w:r>
      <w:r w:rsidR="002D04F4" w:rsidRPr="00D60A99">
        <w:rPr>
          <w:color w:val="000000" w:themeColor="text1"/>
        </w:rPr>
        <w:t>)</w:t>
      </w:r>
      <w:r w:rsidR="002F7D38" w:rsidRPr="00D60A99">
        <w:rPr>
          <w:color w:val="000000" w:themeColor="text1"/>
        </w:rPr>
        <w:t xml:space="preserve"> and processed using </w:t>
      </w:r>
      <w:r w:rsidR="00DC14F4">
        <w:rPr>
          <w:color w:val="000000" w:themeColor="text1"/>
        </w:rPr>
        <w:t>C</w:t>
      </w:r>
      <w:r w:rsidR="00E16CD7" w:rsidRPr="00D60A99">
        <w:rPr>
          <w:color w:val="000000" w:themeColor="text1"/>
        </w:rPr>
        <w:t>ell Ranger ATAC version 1.2.0 with a custom GRCh38 reference genome</w:t>
      </w:r>
      <w:r w:rsidR="00222C97" w:rsidRPr="00D60A99">
        <w:rPr>
          <w:color w:val="000000" w:themeColor="text1"/>
        </w:rPr>
        <w:t>.</w:t>
      </w:r>
    </w:p>
    <w:p w14:paraId="1B52EB19" w14:textId="43DC7190" w:rsidR="00AD2F3F" w:rsidRPr="00D60A99" w:rsidRDefault="00AD2F3F">
      <w:pPr>
        <w:rPr>
          <w:rFonts w:ascii="Times New Roman" w:hAnsi="Times New Roman" w:cs="Times New Roman"/>
          <w:color w:val="000000" w:themeColor="text1"/>
        </w:rPr>
      </w:pPr>
      <w:r w:rsidRPr="00D60A99">
        <w:rPr>
          <w:rFonts w:ascii="Times New Roman" w:hAnsi="Times New Roman" w:cs="Times New Roman"/>
          <w:color w:val="000000" w:themeColor="text1"/>
        </w:rPr>
        <w:br w:type="page"/>
      </w:r>
    </w:p>
    <w:p w14:paraId="68B65C3C" w14:textId="77777777" w:rsidR="00AD2F3F" w:rsidRPr="00D60A99" w:rsidRDefault="00AD2F3F" w:rsidP="00AD2F3F">
      <w:pPr>
        <w:rPr>
          <w:rFonts w:ascii="Times New Roman" w:hAnsi="Times New Roman" w:cs="Times New Roman"/>
          <w:b/>
          <w:bCs/>
          <w:color w:val="000000" w:themeColor="text1"/>
        </w:rPr>
      </w:pPr>
      <w:r w:rsidRPr="00D60A99">
        <w:rPr>
          <w:rFonts w:ascii="Times New Roman" w:hAnsi="Times New Roman" w:cs="Times New Roman"/>
          <w:b/>
          <w:bCs/>
          <w:color w:val="000000" w:themeColor="text1"/>
        </w:rPr>
        <w:lastRenderedPageBreak/>
        <w:t>Supplementary Tables</w:t>
      </w:r>
    </w:p>
    <w:p w14:paraId="36FD5180" w14:textId="77777777" w:rsidR="00AD2F3F" w:rsidRPr="00D60A99" w:rsidRDefault="00AD2F3F" w:rsidP="00AD2F3F">
      <w:pPr>
        <w:rPr>
          <w:rFonts w:ascii="Times New Roman" w:eastAsia="Times New Roman" w:hAnsi="Times New Roman" w:cs="Times New Roman"/>
          <w:b/>
          <w:bCs/>
          <w:color w:val="000000" w:themeColor="text1"/>
        </w:rPr>
      </w:pPr>
    </w:p>
    <w:p w14:paraId="0D922727" w14:textId="6B00548A" w:rsidR="00DA0441" w:rsidRPr="00D60A99" w:rsidRDefault="00BF3CC4" w:rsidP="00DA0441">
      <w:pPr>
        <w:pStyle w:val="Acknowledgement"/>
        <w:rPr>
          <w:color w:val="000000" w:themeColor="text1"/>
          <w:sz w:val="16"/>
          <w:szCs w:val="16"/>
        </w:rPr>
      </w:pPr>
      <w:r w:rsidRPr="00D60A99">
        <w:rPr>
          <w:b/>
          <w:color w:val="000000" w:themeColor="text1"/>
        </w:rPr>
        <w:t xml:space="preserve">Supplementary </w:t>
      </w:r>
      <w:r w:rsidR="00DA0441" w:rsidRPr="00D60A99">
        <w:rPr>
          <w:b/>
          <w:color w:val="000000" w:themeColor="text1"/>
        </w:rPr>
        <w:t>Table 1.</w:t>
      </w:r>
      <w:r w:rsidR="00DA0441" w:rsidRPr="00D60A99">
        <w:rPr>
          <w:color w:val="000000" w:themeColor="text1"/>
        </w:rPr>
        <w:t xml:space="preserve"> Sample characteristics.</w:t>
      </w:r>
      <w:r w:rsidR="00DA0441" w:rsidRPr="00D60A99">
        <w:rPr>
          <w:color w:val="000000" w:themeColor="text1"/>
        </w:rPr>
        <w:br/>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23"/>
        <w:gridCol w:w="652"/>
        <w:gridCol w:w="1875"/>
        <w:gridCol w:w="1260"/>
        <w:gridCol w:w="1350"/>
        <w:gridCol w:w="1170"/>
        <w:gridCol w:w="1350"/>
        <w:gridCol w:w="900"/>
      </w:tblGrid>
      <w:tr w:rsidR="00D60A99" w:rsidRPr="00D60A99" w14:paraId="7CE52518" w14:textId="77777777" w:rsidTr="00567DD3">
        <w:trPr>
          <w:trHeight w:val="260"/>
        </w:trPr>
        <w:tc>
          <w:tcPr>
            <w:tcW w:w="705" w:type="dxa"/>
            <w:shd w:val="clear" w:color="auto" w:fill="BFBFBF" w:themeFill="background1" w:themeFillShade="BF"/>
            <w:noWrap/>
            <w:vAlign w:val="center"/>
            <w:hideMark/>
          </w:tcPr>
          <w:p w14:paraId="3AF4A88F" w14:textId="77777777" w:rsidR="00DA0441" w:rsidRPr="00D60A99" w:rsidRDefault="00DA0441" w:rsidP="00567DD3">
            <w:pPr>
              <w:jc w:val="center"/>
              <w:rPr>
                <w:rFonts w:ascii="Times New Roman" w:eastAsia="Times New Roman" w:hAnsi="Times New Roman" w:cs="Times New Roman"/>
                <w:b/>
                <w:bCs/>
                <w:color w:val="000000" w:themeColor="text1"/>
                <w:sz w:val="16"/>
                <w:szCs w:val="16"/>
              </w:rPr>
            </w:pPr>
            <w:r w:rsidRPr="00D60A99">
              <w:rPr>
                <w:rFonts w:ascii="Times New Roman" w:eastAsia="Times New Roman" w:hAnsi="Times New Roman" w:cs="Times New Roman"/>
                <w:b/>
                <w:bCs/>
                <w:color w:val="000000" w:themeColor="text1"/>
                <w:sz w:val="16"/>
                <w:szCs w:val="16"/>
              </w:rPr>
              <w:t>CLL Patient ID</w:t>
            </w:r>
          </w:p>
        </w:tc>
        <w:tc>
          <w:tcPr>
            <w:tcW w:w="723" w:type="dxa"/>
            <w:shd w:val="clear" w:color="auto" w:fill="BFBFBF" w:themeFill="background1" w:themeFillShade="BF"/>
            <w:noWrap/>
            <w:vAlign w:val="center"/>
            <w:hideMark/>
          </w:tcPr>
          <w:p w14:paraId="56F341ED" w14:textId="77777777" w:rsidR="00DA0441" w:rsidRPr="00D60A99" w:rsidRDefault="00DA0441" w:rsidP="00567DD3">
            <w:pPr>
              <w:jc w:val="center"/>
              <w:rPr>
                <w:rFonts w:ascii="Times New Roman" w:eastAsia="Times New Roman" w:hAnsi="Times New Roman" w:cs="Times New Roman"/>
                <w:b/>
                <w:bCs/>
                <w:color w:val="000000" w:themeColor="text1"/>
                <w:sz w:val="16"/>
                <w:szCs w:val="16"/>
              </w:rPr>
            </w:pPr>
            <w:r w:rsidRPr="00D60A99">
              <w:rPr>
                <w:rFonts w:ascii="Times New Roman" w:eastAsia="Times New Roman" w:hAnsi="Times New Roman" w:cs="Times New Roman"/>
                <w:b/>
                <w:bCs/>
                <w:color w:val="000000" w:themeColor="text1"/>
                <w:sz w:val="16"/>
                <w:szCs w:val="16"/>
              </w:rPr>
              <w:t>Sample</w:t>
            </w:r>
          </w:p>
        </w:tc>
        <w:tc>
          <w:tcPr>
            <w:tcW w:w="652" w:type="dxa"/>
            <w:shd w:val="clear" w:color="auto" w:fill="BFBFBF" w:themeFill="background1" w:themeFillShade="BF"/>
            <w:vAlign w:val="center"/>
          </w:tcPr>
          <w:p w14:paraId="4D3501FB" w14:textId="77777777" w:rsidR="00DA0441" w:rsidRPr="00D60A99" w:rsidRDefault="00DA0441" w:rsidP="00567DD3">
            <w:pPr>
              <w:jc w:val="center"/>
              <w:rPr>
                <w:rFonts w:ascii="Times New Roman" w:eastAsia="Times New Roman" w:hAnsi="Times New Roman" w:cs="Times New Roman"/>
                <w:b/>
                <w:bCs/>
                <w:color w:val="000000" w:themeColor="text1"/>
                <w:sz w:val="16"/>
                <w:szCs w:val="16"/>
              </w:rPr>
            </w:pPr>
            <w:r w:rsidRPr="00D60A99">
              <w:rPr>
                <w:rFonts w:ascii="Times New Roman" w:eastAsia="Times New Roman" w:hAnsi="Times New Roman" w:cs="Times New Roman"/>
                <w:b/>
                <w:bCs/>
                <w:color w:val="000000" w:themeColor="text1"/>
                <w:sz w:val="16"/>
                <w:szCs w:val="16"/>
              </w:rPr>
              <w:t>Tissue</w:t>
            </w:r>
          </w:p>
        </w:tc>
        <w:tc>
          <w:tcPr>
            <w:tcW w:w="1875" w:type="dxa"/>
            <w:shd w:val="clear" w:color="auto" w:fill="BFBFBF" w:themeFill="background1" w:themeFillShade="BF"/>
            <w:noWrap/>
            <w:vAlign w:val="center"/>
            <w:hideMark/>
          </w:tcPr>
          <w:p w14:paraId="0599CEB5" w14:textId="77777777" w:rsidR="00DA0441" w:rsidRPr="00D60A99" w:rsidRDefault="00DA0441" w:rsidP="00567DD3">
            <w:pPr>
              <w:jc w:val="center"/>
              <w:rPr>
                <w:rFonts w:ascii="Times New Roman" w:eastAsia="Times New Roman" w:hAnsi="Times New Roman" w:cs="Times New Roman"/>
                <w:b/>
                <w:bCs/>
                <w:color w:val="000000" w:themeColor="text1"/>
                <w:sz w:val="16"/>
                <w:szCs w:val="16"/>
              </w:rPr>
            </w:pPr>
            <w:r w:rsidRPr="00D60A99">
              <w:rPr>
                <w:rFonts w:ascii="Times New Roman" w:eastAsia="Times New Roman" w:hAnsi="Times New Roman" w:cs="Times New Roman"/>
                <w:b/>
                <w:bCs/>
                <w:color w:val="000000" w:themeColor="text1"/>
                <w:sz w:val="16"/>
                <w:szCs w:val="16"/>
              </w:rPr>
              <w:t>Condition at time of sample</w:t>
            </w:r>
          </w:p>
        </w:tc>
        <w:tc>
          <w:tcPr>
            <w:tcW w:w="1260" w:type="dxa"/>
            <w:shd w:val="clear" w:color="auto" w:fill="BFBFBF" w:themeFill="background1" w:themeFillShade="BF"/>
            <w:noWrap/>
            <w:vAlign w:val="center"/>
            <w:hideMark/>
          </w:tcPr>
          <w:p w14:paraId="789BA508" w14:textId="77777777" w:rsidR="00DA0441" w:rsidRPr="00D60A99" w:rsidRDefault="00DA0441" w:rsidP="00567DD3">
            <w:pPr>
              <w:jc w:val="center"/>
              <w:rPr>
                <w:rFonts w:ascii="Times New Roman" w:eastAsia="Times New Roman" w:hAnsi="Times New Roman" w:cs="Times New Roman"/>
                <w:b/>
                <w:bCs/>
                <w:color w:val="000000" w:themeColor="text1"/>
                <w:sz w:val="16"/>
                <w:szCs w:val="16"/>
              </w:rPr>
            </w:pPr>
            <w:r w:rsidRPr="00D60A99">
              <w:rPr>
                <w:rFonts w:ascii="Times New Roman" w:eastAsia="Times New Roman" w:hAnsi="Times New Roman" w:cs="Times New Roman"/>
                <w:b/>
                <w:bCs/>
                <w:color w:val="000000" w:themeColor="text1"/>
                <w:sz w:val="16"/>
                <w:szCs w:val="16"/>
              </w:rPr>
              <w:t xml:space="preserve"># </w:t>
            </w:r>
            <w:proofErr w:type="spellStart"/>
            <w:r w:rsidRPr="00D60A99">
              <w:rPr>
                <w:rFonts w:ascii="Times New Roman" w:eastAsia="Times New Roman" w:hAnsi="Times New Roman" w:cs="Times New Roman"/>
                <w:b/>
                <w:bCs/>
                <w:color w:val="000000" w:themeColor="text1"/>
                <w:sz w:val="16"/>
                <w:szCs w:val="16"/>
              </w:rPr>
              <w:t>scATAC</w:t>
            </w:r>
            <w:proofErr w:type="spellEnd"/>
            <w:r w:rsidRPr="00D60A99">
              <w:rPr>
                <w:rFonts w:ascii="Times New Roman" w:eastAsia="Times New Roman" w:hAnsi="Times New Roman" w:cs="Times New Roman"/>
                <w:b/>
                <w:bCs/>
                <w:color w:val="000000" w:themeColor="text1"/>
                <w:sz w:val="16"/>
                <w:szCs w:val="16"/>
              </w:rPr>
              <w:t>-seq profiles</w:t>
            </w:r>
          </w:p>
        </w:tc>
        <w:tc>
          <w:tcPr>
            <w:tcW w:w="1350" w:type="dxa"/>
            <w:shd w:val="clear" w:color="auto" w:fill="BFBFBF" w:themeFill="background1" w:themeFillShade="BF"/>
            <w:noWrap/>
            <w:vAlign w:val="center"/>
            <w:hideMark/>
          </w:tcPr>
          <w:p w14:paraId="0617155A" w14:textId="77777777" w:rsidR="00DA0441" w:rsidRPr="00D60A99" w:rsidRDefault="00DA0441" w:rsidP="00567DD3">
            <w:pPr>
              <w:jc w:val="center"/>
              <w:rPr>
                <w:rFonts w:ascii="Times New Roman" w:eastAsia="Times New Roman" w:hAnsi="Times New Roman" w:cs="Times New Roman"/>
                <w:b/>
                <w:bCs/>
                <w:color w:val="000000" w:themeColor="text1"/>
                <w:sz w:val="16"/>
                <w:szCs w:val="16"/>
              </w:rPr>
            </w:pPr>
            <w:r w:rsidRPr="00D60A99">
              <w:rPr>
                <w:rFonts w:ascii="Times New Roman" w:eastAsia="Times New Roman" w:hAnsi="Times New Roman" w:cs="Times New Roman"/>
                <w:b/>
                <w:bCs/>
                <w:color w:val="000000" w:themeColor="text1"/>
                <w:sz w:val="16"/>
                <w:szCs w:val="16"/>
              </w:rPr>
              <w:t xml:space="preserve"># </w:t>
            </w:r>
            <w:proofErr w:type="gramStart"/>
            <w:r w:rsidRPr="00D60A99">
              <w:rPr>
                <w:rFonts w:ascii="Times New Roman" w:eastAsia="Times New Roman" w:hAnsi="Times New Roman" w:cs="Times New Roman"/>
                <w:b/>
                <w:bCs/>
                <w:color w:val="000000" w:themeColor="text1"/>
                <w:sz w:val="16"/>
                <w:szCs w:val="16"/>
              </w:rPr>
              <w:t>cells</w:t>
            </w:r>
            <w:proofErr w:type="gramEnd"/>
            <w:r w:rsidRPr="00D60A99">
              <w:rPr>
                <w:rFonts w:ascii="Times New Roman" w:eastAsia="Times New Roman" w:hAnsi="Times New Roman" w:cs="Times New Roman"/>
                <w:b/>
                <w:bCs/>
                <w:color w:val="000000" w:themeColor="text1"/>
                <w:sz w:val="16"/>
                <w:szCs w:val="16"/>
              </w:rPr>
              <w:t xml:space="preserve"> with</w:t>
            </w:r>
          </w:p>
          <w:p w14:paraId="3E9AD179" w14:textId="77777777" w:rsidR="00DA0441" w:rsidRPr="00D60A99" w:rsidRDefault="00DA0441" w:rsidP="00567DD3">
            <w:pPr>
              <w:jc w:val="center"/>
              <w:rPr>
                <w:rFonts w:ascii="Times New Roman" w:eastAsia="Times New Roman" w:hAnsi="Times New Roman" w:cs="Times New Roman"/>
                <w:b/>
                <w:bCs/>
                <w:color w:val="000000" w:themeColor="text1"/>
                <w:sz w:val="16"/>
                <w:szCs w:val="16"/>
              </w:rPr>
            </w:pPr>
            <w:proofErr w:type="spellStart"/>
            <w:r w:rsidRPr="00D60A99">
              <w:rPr>
                <w:rFonts w:ascii="Times New Roman" w:eastAsia="Times New Roman" w:hAnsi="Times New Roman" w:cs="Times New Roman"/>
                <w:b/>
                <w:bCs/>
                <w:color w:val="000000" w:themeColor="text1"/>
                <w:sz w:val="16"/>
                <w:szCs w:val="16"/>
              </w:rPr>
              <w:t>mtDNA</w:t>
            </w:r>
            <w:proofErr w:type="spellEnd"/>
            <w:r w:rsidRPr="00D60A99">
              <w:rPr>
                <w:rFonts w:ascii="Times New Roman" w:eastAsia="Times New Roman" w:hAnsi="Times New Roman" w:cs="Times New Roman"/>
                <w:b/>
                <w:bCs/>
                <w:color w:val="000000" w:themeColor="text1"/>
                <w:sz w:val="16"/>
                <w:szCs w:val="16"/>
              </w:rPr>
              <w:t xml:space="preserve"> coverage &gt; 20x</w:t>
            </w:r>
          </w:p>
        </w:tc>
        <w:tc>
          <w:tcPr>
            <w:tcW w:w="1170" w:type="dxa"/>
            <w:shd w:val="clear" w:color="auto" w:fill="BFBFBF" w:themeFill="background1" w:themeFillShade="BF"/>
            <w:vAlign w:val="center"/>
          </w:tcPr>
          <w:p w14:paraId="5462D623" w14:textId="77777777" w:rsidR="00DA0441" w:rsidRPr="00D60A99" w:rsidRDefault="00DA0441" w:rsidP="00567DD3">
            <w:pPr>
              <w:jc w:val="center"/>
              <w:rPr>
                <w:rFonts w:ascii="Times New Roman" w:hAnsi="Times New Roman" w:cs="Times New Roman"/>
                <w:b/>
                <w:bCs/>
                <w:color w:val="000000" w:themeColor="text1"/>
                <w:sz w:val="16"/>
                <w:szCs w:val="16"/>
              </w:rPr>
            </w:pPr>
            <w:r w:rsidRPr="00D60A99">
              <w:rPr>
                <w:rFonts w:ascii="Times New Roman" w:hAnsi="Times New Roman" w:cs="Times New Roman"/>
                <w:b/>
                <w:bCs/>
                <w:color w:val="000000" w:themeColor="text1"/>
                <w:sz w:val="16"/>
                <w:szCs w:val="16"/>
              </w:rPr>
              <w:t xml:space="preserve"># </w:t>
            </w:r>
            <w:proofErr w:type="spellStart"/>
            <w:r w:rsidRPr="00D60A99">
              <w:rPr>
                <w:rFonts w:ascii="Times New Roman" w:hAnsi="Times New Roman" w:cs="Times New Roman"/>
                <w:b/>
                <w:bCs/>
                <w:color w:val="000000" w:themeColor="text1"/>
                <w:sz w:val="16"/>
                <w:szCs w:val="16"/>
              </w:rPr>
              <w:t>scRNA</w:t>
            </w:r>
            <w:proofErr w:type="spellEnd"/>
            <w:r w:rsidRPr="00D60A99">
              <w:rPr>
                <w:rFonts w:ascii="Times New Roman" w:hAnsi="Times New Roman" w:cs="Times New Roman"/>
                <w:b/>
                <w:bCs/>
                <w:color w:val="000000" w:themeColor="text1"/>
                <w:sz w:val="16"/>
                <w:szCs w:val="16"/>
              </w:rPr>
              <w:t>-seq profiles</w:t>
            </w:r>
          </w:p>
        </w:tc>
        <w:tc>
          <w:tcPr>
            <w:tcW w:w="1350" w:type="dxa"/>
            <w:shd w:val="clear" w:color="auto" w:fill="BFBFBF" w:themeFill="background1" w:themeFillShade="BF"/>
            <w:vAlign w:val="center"/>
          </w:tcPr>
          <w:p w14:paraId="6EBDEBFB" w14:textId="77777777" w:rsidR="00DA0441" w:rsidRPr="00D60A99" w:rsidRDefault="00DA0441" w:rsidP="00567DD3">
            <w:pPr>
              <w:jc w:val="center"/>
              <w:rPr>
                <w:rFonts w:ascii="Times New Roman" w:eastAsia="Times New Roman" w:hAnsi="Times New Roman" w:cs="Times New Roman"/>
                <w:b/>
                <w:bCs/>
                <w:color w:val="000000" w:themeColor="text1"/>
                <w:sz w:val="16"/>
                <w:szCs w:val="16"/>
              </w:rPr>
            </w:pPr>
            <w:r w:rsidRPr="00D60A99">
              <w:rPr>
                <w:rFonts w:ascii="Times New Roman" w:hAnsi="Times New Roman" w:cs="Times New Roman"/>
                <w:b/>
                <w:bCs/>
                <w:color w:val="000000" w:themeColor="text1"/>
                <w:sz w:val="16"/>
                <w:szCs w:val="16"/>
              </w:rPr>
              <w:t>WBC at time of sampling [10</w:t>
            </w:r>
            <w:r w:rsidRPr="00D60A99">
              <w:rPr>
                <w:rFonts w:ascii="Times New Roman" w:hAnsi="Times New Roman" w:cs="Times New Roman"/>
                <w:b/>
                <w:bCs/>
                <w:color w:val="000000" w:themeColor="text1"/>
                <w:sz w:val="16"/>
                <w:szCs w:val="16"/>
                <w:vertAlign w:val="superscript"/>
              </w:rPr>
              <w:t>9</w:t>
            </w:r>
            <w:r w:rsidRPr="00D60A99">
              <w:rPr>
                <w:rFonts w:ascii="Times New Roman" w:hAnsi="Times New Roman" w:cs="Times New Roman"/>
                <w:b/>
                <w:bCs/>
                <w:color w:val="000000" w:themeColor="text1"/>
                <w:sz w:val="16"/>
                <w:szCs w:val="16"/>
              </w:rPr>
              <w:t>/L]</w:t>
            </w:r>
          </w:p>
        </w:tc>
        <w:tc>
          <w:tcPr>
            <w:tcW w:w="900" w:type="dxa"/>
            <w:shd w:val="clear" w:color="auto" w:fill="BFBFBF" w:themeFill="background1" w:themeFillShade="BF"/>
            <w:vAlign w:val="center"/>
          </w:tcPr>
          <w:p w14:paraId="0712F246" w14:textId="77777777" w:rsidR="00DA0441" w:rsidRPr="00D60A99" w:rsidRDefault="00DA0441" w:rsidP="00567DD3">
            <w:pPr>
              <w:jc w:val="center"/>
              <w:rPr>
                <w:rFonts w:ascii="Times New Roman" w:eastAsia="Times New Roman" w:hAnsi="Times New Roman" w:cs="Times New Roman"/>
                <w:b/>
                <w:bCs/>
                <w:color w:val="000000" w:themeColor="text1"/>
                <w:sz w:val="16"/>
                <w:szCs w:val="16"/>
              </w:rPr>
            </w:pPr>
            <w:r w:rsidRPr="00D60A99">
              <w:rPr>
                <w:rFonts w:ascii="Times New Roman" w:hAnsi="Times New Roman" w:cs="Times New Roman"/>
                <w:b/>
                <w:bCs/>
                <w:color w:val="000000" w:themeColor="text1"/>
                <w:sz w:val="16"/>
                <w:szCs w:val="16"/>
              </w:rPr>
              <w:t>% CD19</w:t>
            </w:r>
            <w:r w:rsidRPr="00D60A99">
              <w:rPr>
                <w:rFonts w:ascii="Times New Roman" w:hAnsi="Times New Roman" w:cs="Times New Roman"/>
                <w:b/>
                <w:bCs/>
                <w:color w:val="000000" w:themeColor="text1"/>
                <w:sz w:val="16"/>
                <w:szCs w:val="16"/>
                <w:vertAlign w:val="superscript"/>
              </w:rPr>
              <w:t>+</w:t>
            </w:r>
            <w:r w:rsidRPr="00D60A99">
              <w:rPr>
                <w:rFonts w:ascii="Times New Roman" w:hAnsi="Times New Roman" w:cs="Times New Roman"/>
                <w:b/>
                <w:bCs/>
                <w:color w:val="000000" w:themeColor="text1"/>
                <w:sz w:val="16"/>
                <w:szCs w:val="16"/>
              </w:rPr>
              <w:t xml:space="preserve"> CD5</w:t>
            </w:r>
            <w:r w:rsidRPr="00D60A99">
              <w:rPr>
                <w:rFonts w:ascii="Times New Roman" w:hAnsi="Times New Roman" w:cs="Times New Roman"/>
                <w:b/>
                <w:bCs/>
                <w:color w:val="000000" w:themeColor="text1"/>
                <w:sz w:val="16"/>
                <w:szCs w:val="16"/>
                <w:vertAlign w:val="superscript"/>
              </w:rPr>
              <w:t>+</w:t>
            </w:r>
          </w:p>
        </w:tc>
      </w:tr>
      <w:tr w:rsidR="00D60A99" w:rsidRPr="00D60A99" w14:paraId="2FF64D6C" w14:textId="77777777" w:rsidTr="00567DD3">
        <w:trPr>
          <w:trHeight w:val="260"/>
        </w:trPr>
        <w:tc>
          <w:tcPr>
            <w:tcW w:w="705" w:type="dxa"/>
            <w:shd w:val="clear" w:color="auto" w:fill="auto"/>
            <w:noWrap/>
            <w:vAlign w:val="center"/>
            <w:hideMark/>
          </w:tcPr>
          <w:p w14:paraId="7DCCF65D"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1</w:t>
            </w:r>
          </w:p>
        </w:tc>
        <w:tc>
          <w:tcPr>
            <w:tcW w:w="723" w:type="dxa"/>
            <w:shd w:val="clear" w:color="auto" w:fill="auto"/>
            <w:noWrap/>
            <w:vAlign w:val="center"/>
            <w:hideMark/>
          </w:tcPr>
          <w:p w14:paraId="3B143650"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1</w:t>
            </w:r>
          </w:p>
        </w:tc>
        <w:tc>
          <w:tcPr>
            <w:tcW w:w="652" w:type="dxa"/>
            <w:vAlign w:val="center"/>
          </w:tcPr>
          <w:p w14:paraId="11745D87"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PB</w:t>
            </w:r>
          </w:p>
        </w:tc>
        <w:tc>
          <w:tcPr>
            <w:tcW w:w="1875" w:type="dxa"/>
            <w:shd w:val="clear" w:color="auto" w:fill="auto"/>
            <w:noWrap/>
            <w:vAlign w:val="center"/>
            <w:hideMark/>
          </w:tcPr>
          <w:p w14:paraId="3834BBF1"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W&amp;W</w:t>
            </w:r>
          </w:p>
        </w:tc>
        <w:tc>
          <w:tcPr>
            <w:tcW w:w="1260" w:type="dxa"/>
            <w:shd w:val="clear" w:color="auto" w:fill="auto"/>
            <w:noWrap/>
            <w:vAlign w:val="center"/>
            <w:hideMark/>
          </w:tcPr>
          <w:p w14:paraId="5A1AD35B"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6,676</w:t>
            </w:r>
          </w:p>
        </w:tc>
        <w:tc>
          <w:tcPr>
            <w:tcW w:w="1350" w:type="dxa"/>
            <w:shd w:val="clear" w:color="auto" w:fill="auto"/>
            <w:noWrap/>
            <w:vAlign w:val="center"/>
            <w:hideMark/>
          </w:tcPr>
          <w:p w14:paraId="522B3CD9"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5,721</w:t>
            </w:r>
          </w:p>
        </w:tc>
        <w:tc>
          <w:tcPr>
            <w:tcW w:w="1170" w:type="dxa"/>
            <w:vAlign w:val="center"/>
          </w:tcPr>
          <w:p w14:paraId="5FCA3529"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7,195</w:t>
            </w:r>
          </w:p>
        </w:tc>
        <w:tc>
          <w:tcPr>
            <w:tcW w:w="1350" w:type="dxa"/>
            <w:vAlign w:val="center"/>
          </w:tcPr>
          <w:p w14:paraId="6B66480C"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30.8</w:t>
            </w:r>
          </w:p>
        </w:tc>
        <w:tc>
          <w:tcPr>
            <w:tcW w:w="900" w:type="dxa"/>
            <w:vAlign w:val="center"/>
          </w:tcPr>
          <w:p w14:paraId="4DE6F29D"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72.30</w:t>
            </w:r>
          </w:p>
        </w:tc>
      </w:tr>
      <w:tr w:rsidR="00D60A99" w:rsidRPr="00D60A99" w14:paraId="1B8C72EC" w14:textId="77777777" w:rsidTr="00567DD3">
        <w:trPr>
          <w:trHeight w:val="260"/>
        </w:trPr>
        <w:tc>
          <w:tcPr>
            <w:tcW w:w="705" w:type="dxa"/>
            <w:shd w:val="clear" w:color="auto" w:fill="auto"/>
            <w:noWrap/>
            <w:vAlign w:val="center"/>
            <w:hideMark/>
          </w:tcPr>
          <w:p w14:paraId="170500A7"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1</w:t>
            </w:r>
          </w:p>
        </w:tc>
        <w:tc>
          <w:tcPr>
            <w:tcW w:w="723" w:type="dxa"/>
            <w:shd w:val="clear" w:color="auto" w:fill="auto"/>
            <w:noWrap/>
            <w:vAlign w:val="center"/>
            <w:hideMark/>
          </w:tcPr>
          <w:p w14:paraId="35F6C708"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2</w:t>
            </w:r>
          </w:p>
        </w:tc>
        <w:tc>
          <w:tcPr>
            <w:tcW w:w="652" w:type="dxa"/>
            <w:vAlign w:val="center"/>
          </w:tcPr>
          <w:p w14:paraId="573E58DE"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PB</w:t>
            </w:r>
          </w:p>
        </w:tc>
        <w:tc>
          <w:tcPr>
            <w:tcW w:w="1875" w:type="dxa"/>
            <w:shd w:val="clear" w:color="auto" w:fill="auto"/>
            <w:noWrap/>
            <w:vAlign w:val="center"/>
            <w:hideMark/>
          </w:tcPr>
          <w:p w14:paraId="0DE42A1F"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W&amp;W</w:t>
            </w:r>
          </w:p>
        </w:tc>
        <w:tc>
          <w:tcPr>
            <w:tcW w:w="1260" w:type="dxa"/>
            <w:shd w:val="clear" w:color="auto" w:fill="auto"/>
            <w:noWrap/>
            <w:vAlign w:val="center"/>
            <w:hideMark/>
          </w:tcPr>
          <w:p w14:paraId="0530A934"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6,014</w:t>
            </w:r>
          </w:p>
        </w:tc>
        <w:tc>
          <w:tcPr>
            <w:tcW w:w="1350" w:type="dxa"/>
            <w:shd w:val="clear" w:color="auto" w:fill="auto"/>
            <w:noWrap/>
            <w:vAlign w:val="center"/>
            <w:hideMark/>
          </w:tcPr>
          <w:p w14:paraId="36D7DD5F"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5,451</w:t>
            </w:r>
          </w:p>
        </w:tc>
        <w:tc>
          <w:tcPr>
            <w:tcW w:w="1170" w:type="dxa"/>
            <w:vAlign w:val="center"/>
          </w:tcPr>
          <w:p w14:paraId="1254692B"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N/A</w:t>
            </w:r>
          </w:p>
        </w:tc>
        <w:tc>
          <w:tcPr>
            <w:tcW w:w="1350" w:type="dxa"/>
            <w:vAlign w:val="center"/>
          </w:tcPr>
          <w:p w14:paraId="4B53606D"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80.3</w:t>
            </w:r>
          </w:p>
        </w:tc>
        <w:tc>
          <w:tcPr>
            <w:tcW w:w="900" w:type="dxa"/>
            <w:vAlign w:val="center"/>
          </w:tcPr>
          <w:p w14:paraId="58A70C37"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N/A</w:t>
            </w:r>
          </w:p>
        </w:tc>
      </w:tr>
      <w:tr w:rsidR="00D60A99" w:rsidRPr="00D60A99" w14:paraId="17A49F82" w14:textId="77777777" w:rsidTr="00567DD3">
        <w:trPr>
          <w:trHeight w:val="260"/>
        </w:trPr>
        <w:tc>
          <w:tcPr>
            <w:tcW w:w="705" w:type="dxa"/>
            <w:shd w:val="clear" w:color="auto" w:fill="auto"/>
            <w:noWrap/>
            <w:vAlign w:val="center"/>
            <w:hideMark/>
          </w:tcPr>
          <w:p w14:paraId="76219283"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1</w:t>
            </w:r>
          </w:p>
        </w:tc>
        <w:tc>
          <w:tcPr>
            <w:tcW w:w="723" w:type="dxa"/>
            <w:shd w:val="clear" w:color="auto" w:fill="auto"/>
            <w:noWrap/>
            <w:vAlign w:val="center"/>
            <w:hideMark/>
          </w:tcPr>
          <w:p w14:paraId="00FE9013"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3</w:t>
            </w:r>
          </w:p>
        </w:tc>
        <w:tc>
          <w:tcPr>
            <w:tcW w:w="652" w:type="dxa"/>
            <w:vAlign w:val="center"/>
          </w:tcPr>
          <w:p w14:paraId="40E9CC58"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PB</w:t>
            </w:r>
          </w:p>
        </w:tc>
        <w:tc>
          <w:tcPr>
            <w:tcW w:w="1875" w:type="dxa"/>
            <w:shd w:val="clear" w:color="auto" w:fill="auto"/>
            <w:noWrap/>
            <w:vAlign w:val="center"/>
            <w:hideMark/>
          </w:tcPr>
          <w:p w14:paraId="64512296"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Pretreatment FCR</w:t>
            </w:r>
          </w:p>
        </w:tc>
        <w:tc>
          <w:tcPr>
            <w:tcW w:w="1260" w:type="dxa"/>
            <w:shd w:val="clear" w:color="auto" w:fill="auto"/>
            <w:noWrap/>
            <w:vAlign w:val="center"/>
            <w:hideMark/>
          </w:tcPr>
          <w:p w14:paraId="17A8B8E6"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4,125</w:t>
            </w:r>
          </w:p>
        </w:tc>
        <w:tc>
          <w:tcPr>
            <w:tcW w:w="1350" w:type="dxa"/>
            <w:shd w:val="clear" w:color="auto" w:fill="auto"/>
            <w:noWrap/>
            <w:vAlign w:val="center"/>
            <w:hideMark/>
          </w:tcPr>
          <w:p w14:paraId="3ECA1251"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3,592</w:t>
            </w:r>
          </w:p>
        </w:tc>
        <w:tc>
          <w:tcPr>
            <w:tcW w:w="1170" w:type="dxa"/>
            <w:vAlign w:val="center"/>
          </w:tcPr>
          <w:p w14:paraId="692D8132"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6,016</w:t>
            </w:r>
          </w:p>
        </w:tc>
        <w:tc>
          <w:tcPr>
            <w:tcW w:w="1350" w:type="dxa"/>
            <w:vAlign w:val="center"/>
          </w:tcPr>
          <w:p w14:paraId="11C237DA"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439</w:t>
            </w:r>
          </w:p>
        </w:tc>
        <w:tc>
          <w:tcPr>
            <w:tcW w:w="900" w:type="dxa"/>
            <w:vAlign w:val="center"/>
          </w:tcPr>
          <w:p w14:paraId="62E5741E"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100.00</w:t>
            </w:r>
          </w:p>
        </w:tc>
      </w:tr>
      <w:tr w:rsidR="00D60A99" w:rsidRPr="00D60A99" w14:paraId="3231711E" w14:textId="77777777" w:rsidTr="00567DD3">
        <w:trPr>
          <w:trHeight w:val="260"/>
        </w:trPr>
        <w:tc>
          <w:tcPr>
            <w:tcW w:w="705" w:type="dxa"/>
            <w:shd w:val="clear" w:color="auto" w:fill="auto"/>
            <w:noWrap/>
            <w:vAlign w:val="center"/>
            <w:hideMark/>
          </w:tcPr>
          <w:p w14:paraId="2187F454"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1</w:t>
            </w:r>
          </w:p>
        </w:tc>
        <w:tc>
          <w:tcPr>
            <w:tcW w:w="723" w:type="dxa"/>
            <w:shd w:val="clear" w:color="auto" w:fill="auto"/>
            <w:noWrap/>
            <w:vAlign w:val="center"/>
            <w:hideMark/>
          </w:tcPr>
          <w:p w14:paraId="77B4F388"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4</w:t>
            </w:r>
          </w:p>
        </w:tc>
        <w:tc>
          <w:tcPr>
            <w:tcW w:w="652" w:type="dxa"/>
            <w:vAlign w:val="center"/>
          </w:tcPr>
          <w:p w14:paraId="73EFB15F"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PB</w:t>
            </w:r>
          </w:p>
        </w:tc>
        <w:tc>
          <w:tcPr>
            <w:tcW w:w="1875" w:type="dxa"/>
            <w:shd w:val="clear" w:color="auto" w:fill="auto"/>
            <w:noWrap/>
            <w:vAlign w:val="center"/>
            <w:hideMark/>
          </w:tcPr>
          <w:p w14:paraId="4D748B36"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Remission</w:t>
            </w:r>
          </w:p>
        </w:tc>
        <w:tc>
          <w:tcPr>
            <w:tcW w:w="1260" w:type="dxa"/>
            <w:shd w:val="clear" w:color="auto" w:fill="auto"/>
            <w:noWrap/>
            <w:vAlign w:val="center"/>
            <w:hideMark/>
          </w:tcPr>
          <w:p w14:paraId="0B0D80A5"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4,111</w:t>
            </w:r>
          </w:p>
        </w:tc>
        <w:tc>
          <w:tcPr>
            <w:tcW w:w="1350" w:type="dxa"/>
            <w:shd w:val="clear" w:color="auto" w:fill="auto"/>
            <w:noWrap/>
            <w:vAlign w:val="center"/>
            <w:hideMark/>
          </w:tcPr>
          <w:p w14:paraId="200CEE3E"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263*</w:t>
            </w:r>
          </w:p>
        </w:tc>
        <w:tc>
          <w:tcPr>
            <w:tcW w:w="1170" w:type="dxa"/>
            <w:vAlign w:val="center"/>
          </w:tcPr>
          <w:p w14:paraId="2B1C921F"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N/A</w:t>
            </w:r>
          </w:p>
        </w:tc>
        <w:tc>
          <w:tcPr>
            <w:tcW w:w="1350" w:type="dxa"/>
            <w:vAlign w:val="center"/>
          </w:tcPr>
          <w:p w14:paraId="021E81B0"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9.6</w:t>
            </w:r>
          </w:p>
        </w:tc>
        <w:tc>
          <w:tcPr>
            <w:tcW w:w="900" w:type="dxa"/>
            <w:vAlign w:val="center"/>
          </w:tcPr>
          <w:p w14:paraId="6761E8EB"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0.00</w:t>
            </w:r>
          </w:p>
        </w:tc>
      </w:tr>
      <w:tr w:rsidR="00D60A99" w:rsidRPr="00D60A99" w14:paraId="363142E5" w14:textId="77777777" w:rsidTr="00567DD3">
        <w:trPr>
          <w:trHeight w:val="260"/>
        </w:trPr>
        <w:tc>
          <w:tcPr>
            <w:tcW w:w="705" w:type="dxa"/>
            <w:shd w:val="clear" w:color="auto" w:fill="auto"/>
            <w:noWrap/>
            <w:vAlign w:val="center"/>
            <w:hideMark/>
          </w:tcPr>
          <w:p w14:paraId="2DCD4C0A"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1</w:t>
            </w:r>
          </w:p>
        </w:tc>
        <w:tc>
          <w:tcPr>
            <w:tcW w:w="723" w:type="dxa"/>
            <w:shd w:val="clear" w:color="auto" w:fill="auto"/>
            <w:noWrap/>
            <w:vAlign w:val="center"/>
            <w:hideMark/>
          </w:tcPr>
          <w:p w14:paraId="37EAE1B1"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5</w:t>
            </w:r>
          </w:p>
        </w:tc>
        <w:tc>
          <w:tcPr>
            <w:tcW w:w="652" w:type="dxa"/>
            <w:vAlign w:val="center"/>
          </w:tcPr>
          <w:p w14:paraId="48E116C5"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PB</w:t>
            </w:r>
          </w:p>
        </w:tc>
        <w:tc>
          <w:tcPr>
            <w:tcW w:w="1875" w:type="dxa"/>
            <w:shd w:val="clear" w:color="auto" w:fill="auto"/>
            <w:noWrap/>
            <w:vAlign w:val="center"/>
            <w:hideMark/>
          </w:tcPr>
          <w:p w14:paraId="7E336ABD"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Relapse post-FCR</w:t>
            </w:r>
          </w:p>
        </w:tc>
        <w:tc>
          <w:tcPr>
            <w:tcW w:w="1260" w:type="dxa"/>
            <w:shd w:val="clear" w:color="auto" w:fill="auto"/>
            <w:noWrap/>
            <w:vAlign w:val="center"/>
            <w:hideMark/>
          </w:tcPr>
          <w:p w14:paraId="1592D970"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1,715</w:t>
            </w:r>
          </w:p>
        </w:tc>
        <w:tc>
          <w:tcPr>
            <w:tcW w:w="1350" w:type="dxa"/>
            <w:shd w:val="clear" w:color="auto" w:fill="auto"/>
            <w:noWrap/>
            <w:vAlign w:val="center"/>
            <w:hideMark/>
          </w:tcPr>
          <w:p w14:paraId="3DAC4C12"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569</w:t>
            </w:r>
          </w:p>
        </w:tc>
        <w:tc>
          <w:tcPr>
            <w:tcW w:w="1170" w:type="dxa"/>
            <w:vAlign w:val="center"/>
          </w:tcPr>
          <w:p w14:paraId="15EF12BA"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8,094</w:t>
            </w:r>
          </w:p>
        </w:tc>
        <w:tc>
          <w:tcPr>
            <w:tcW w:w="1350" w:type="dxa"/>
            <w:vAlign w:val="center"/>
          </w:tcPr>
          <w:p w14:paraId="0FAE284A"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110.5</w:t>
            </w:r>
          </w:p>
        </w:tc>
        <w:tc>
          <w:tcPr>
            <w:tcW w:w="900" w:type="dxa"/>
            <w:vAlign w:val="center"/>
          </w:tcPr>
          <w:p w14:paraId="274C53A2"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42.40</w:t>
            </w:r>
          </w:p>
        </w:tc>
      </w:tr>
      <w:tr w:rsidR="00D60A99" w:rsidRPr="00D60A99" w14:paraId="782F8F50" w14:textId="77777777" w:rsidTr="00567DD3">
        <w:trPr>
          <w:trHeight w:val="260"/>
        </w:trPr>
        <w:tc>
          <w:tcPr>
            <w:tcW w:w="705" w:type="dxa"/>
            <w:shd w:val="clear" w:color="auto" w:fill="auto"/>
            <w:noWrap/>
            <w:vAlign w:val="center"/>
            <w:hideMark/>
          </w:tcPr>
          <w:p w14:paraId="1AE02B41"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2</w:t>
            </w:r>
          </w:p>
        </w:tc>
        <w:tc>
          <w:tcPr>
            <w:tcW w:w="723" w:type="dxa"/>
            <w:shd w:val="clear" w:color="auto" w:fill="auto"/>
            <w:noWrap/>
            <w:vAlign w:val="center"/>
            <w:hideMark/>
          </w:tcPr>
          <w:p w14:paraId="24E80AD9"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1</w:t>
            </w:r>
          </w:p>
        </w:tc>
        <w:tc>
          <w:tcPr>
            <w:tcW w:w="652" w:type="dxa"/>
            <w:vAlign w:val="center"/>
          </w:tcPr>
          <w:p w14:paraId="74F4DD14"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PB</w:t>
            </w:r>
          </w:p>
        </w:tc>
        <w:tc>
          <w:tcPr>
            <w:tcW w:w="1875" w:type="dxa"/>
            <w:shd w:val="clear" w:color="auto" w:fill="auto"/>
            <w:noWrap/>
            <w:vAlign w:val="center"/>
            <w:hideMark/>
          </w:tcPr>
          <w:p w14:paraId="70D23595"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Pretreatment FCR</w:t>
            </w:r>
          </w:p>
        </w:tc>
        <w:tc>
          <w:tcPr>
            <w:tcW w:w="1260" w:type="dxa"/>
            <w:shd w:val="clear" w:color="auto" w:fill="auto"/>
            <w:noWrap/>
            <w:vAlign w:val="center"/>
            <w:hideMark/>
          </w:tcPr>
          <w:p w14:paraId="4B5E95EE"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5,725</w:t>
            </w:r>
          </w:p>
        </w:tc>
        <w:tc>
          <w:tcPr>
            <w:tcW w:w="1350" w:type="dxa"/>
            <w:shd w:val="clear" w:color="auto" w:fill="auto"/>
            <w:noWrap/>
            <w:vAlign w:val="center"/>
            <w:hideMark/>
          </w:tcPr>
          <w:p w14:paraId="06AAAE98"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3,231</w:t>
            </w:r>
          </w:p>
        </w:tc>
        <w:tc>
          <w:tcPr>
            <w:tcW w:w="1170" w:type="dxa"/>
            <w:vAlign w:val="center"/>
          </w:tcPr>
          <w:p w14:paraId="5CF8BC9B"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14,144</w:t>
            </w:r>
          </w:p>
        </w:tc>
        <w:tc>
          <w:tcPr>
            <w:tcW w:w="1350" w:type="dxa"/>
            <w:vAlign w:val="center"/>
          </w:tcPr>
          <w:p w14:paraId="4D6879C6"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142</w:t>
            </w:r>
          </w:p>
        </w:tc>
        <w:tc>
          <w:tcPr>
            <w:tcW w:w="900" w:type="dxa"/>
            <w:vAlign w:val="center"/>
          </w:tcPr>
          <w:p w14:paraId="3C14773F"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100.00</w:t>
            </w:r>
          </w:p>
        </w:tc>
      </w:tr>
      <w:tr w:rsidR="00D60A99" w:rsidRPr="00D60A99" w14:paraId="6AE6FE81" w14:textId="77777777" w:rsidTr="00567DD3">
        <w:trPr>
          <w:trHeight w:val="260"/>
        </w:trPr>
        <w:tc>
          <w:tcPr>
            <w:tcW w:w="705" w:type="dxa"/>
            <w:shd w:val="clear" w:color="auto" w:fill="auto"/>
            <w:noWrap/>
            <w:vAlign w:val="center"/>
            <w:hideMark/>
          </w:tcPr>
          <w:p w14:paraId="5399F1B0"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2</w:t>
            </w:r>
          </w:p>
        </w:tc>
        <w:tc>
          <w:tcPr>
            <w:tcW w:w="723" w:type="dxa"/>
            <w:shd w:val="clear" w:color="auto" w:fill="auto"/>
            <w:noWrap/>
            <w:vAlign w:val="center"/>
            <w:hideMark/>
          </w:tcPr>
          <w:p w14:paraId="53D9D011"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2</w:t>
            </w:r>
          </w:p>
        </w:tc>
        <w:tc>
          <w:tcPr>
            <w:tcW w:w="652" w:type="dxa"/>
            <w:vAlign w:val="center"/>
          </w:tcPr>
          <w:p w14:paraId="661001ED"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PB</w:t>
            </w:r>
          </w:p>
        </w:tc>
        <w:tc>
          <w:tcPr>
            <w:tcW w:w="1875" w:type="dxa"/>
            <w:shd w:val="clear" w:color="auto" w:fill="auto"/>
            <w:noWrap/>
            <w:vAlign w:val="center"/>
            <w:hideMark/>
          </w:tcPr>
          <w:p w14:paraId="0F26D491"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Relapse post-FCR</w:t>
            </w:r>
          </w:p>
        </w:tc>
        <w:tc>
          <w:tcPr>
            <w:tcW w:w="1260" w:type="dxa"/>
            <w:shd w:val="clear" w:color="auto" w:fill="auto"/>
            <w:noWrap/>
            <w:vAlign w:val="center"/>
            <w:hideMark/>
          </w:tcPr>
          <w:p w14:paraId="5FB56EA1"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1,717</w:t>
            </w:r>
          </w:p>
        </w:tc>
        <w:tc>
          <w:tcPr>
            <w:tcW w:w="1350" w:type="dxa"/>
            <w:shd w:val="clear" w:color="auto" w:fill="auto"/>
            <w:noWrap/>
            <w:vAlign w:val="center"/>
            <w:hideMark/>
          </w:tcPr>
          <w:p w14:paraId="4E61F9EB"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1,142</w:t>
            </w:r>
          </w:p>
        </w:tc>
        <w:tc>
          <w:tcPr>
            <w:tcW w:w="1170" w:type="dxa"/>
            <w:vAlign w:val="center"/>
          </w:tcPr>
          <w:p w14:paraId="1FBD87A3"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13,156</w:t>
            </w:r>
          </w:p>
        </w:tc>
        <w:tc>
          <w:tcPr>
            <w:tcW w:w="1350" w:type="dxa"/>
            <w:vAlign w:val="center"/>
          </w:tcPr>
          <w:p w14:paraId="450934D5"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101.7</w:t>
            </w:r>
          </w:p>
        </w:tc>
        <w:tc>
          <w:tcPr>
            <w:tcW w:w="900" w:type="dxa"/>
            <w:vAlign w:val="center"/>
          </w:tcPr>
          <w:p w14:paraId="0D3CA733"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N/A</w:t>
            </w:r>
          </w:p>
        </w:tc>
      </w:tr>
      <w:tr w:rsidR="00D60A99" w:rsidRPr="00D60A99" w14:paraId="7D866878" w14:textId="77777777" w:rsidTr="00567DD3">
        <w:trPr>
          <w:trHeight w:val="260"/>
        </w:trPr>
        <w:tc>
          <w:tcPr>
            <w:tcW w:w="705" w:type="dxa"/>
            <w:shd w:val="clear" w:color="auto" w:fill="auto"/>
            <w:noWrap/>
            <w:vAlign w:val="center"/>
            <w:hideMark/>
          </w:tcPr>
          <w:p w14:paraId="3ABE96CC"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3</w:t>
            </w:r>
          </w:p>
        </w:tc>
        <w:tc>
          <w:tcPr>
            <w:tcW w:w="723" w:type="dxa"/>
            <w:shd w:val="clear" w:color="auto" w:fill="auto"/>
            <w:noWrap/>
            <w:vAlign w:val="center"/>
            <w:hideMark/>
          </w:tcPr>
          <w:p w14:paraId="3CABD45F"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1</w:t>
            </w:r>
          </w:p>
        </w:tc>
        <w:tc>
          <w:tcPr>
            <w:tcW w:w="652" w:type="dxa"/>
            <w:vAlign w:val="center"/>
          </w:tcPr>
          <w:p w14:paraId="26FF0632"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PB</w:t>
            </w:r>
          </w:p>
        </w:tc>
        <w:tc>
          <w:tcPr>
            <w:tcW w:w="1875" w:type="dxa"/>
            <w:shd w:val="clear" w:color="auto" w:fill="auto"/>
            <w:noWrap/>
            <w:vAlign w:val="center"/>
            <w:hideMark/>
          </w:tcPr>
          <w:p w14:paraId="209D8328"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Pretreatment FCR</w:t>
            </w:r>
          </w:p>
        </w:tc>
        <w:tc>
          <w:tcPr>
            <w:tcW w:w="1260" w:type="dxa"/>
            <w:shd w:val="clear" w:color="auto" w:fill="auto"/>
            <w:noWrap/>
            <w:vAlign w:val="center"/>
            <w:hideMark/>
          </w:tcPr>
          <w:p w14:paraId="55BD6AF3"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3,862</w:t>
            </w:r>
          </w:p>
        </w:tc>
        <w:tc>
          <w:tcPr>
            <w:tcW w:w="1350" w:type="dxa"/>
            <w:shd w:val="clear" w:color="auto" w:fill="auto"/>
            <w:noWrap/>
            <w:vAlign w:val="center"/>
            <w:hideMark/>
          </w:tcPr>
          <w:p w14:paraId="5EBCC8D0"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303*</w:t>
            </w:r>
          </w:p>
        </w:tc>
        <w:tc>
          <w:tcPr>
            <w:tcW w:w="1170" w:type="dxa"/>
            <w:vAlign w:val="center"/>
          </w:tcPr>
          <w:p w14:paraId="0B70B9EB"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19,933</w:t>
            </w:r>
          </w:p>
        </w:tc>
        <w:tc>
          <w:tcPr>
            <w:tcW w:w="1350" w:type="dxa"/>
            <w:vAlign w:val="center"/>
          </w:tcPr>
          <w:p w14:paraId="7E99247D"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42.1</w:t>
            </w:r>
          </w:p>
        </w:tc>
        <w:tc>
          <w:tcPr>
            <w:tcW w:w="900" w:type="dxa"/>
            <w:vAlign w:val="center"/>
          </w:tcPr>
          <w:p w14:paraId="5419D17C"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100.00</w:t>
            </w:r>
          </w:p>
        </w:tc>
      </w:tr>
      <w:tr w:rsidR="00D60A99" w:rsidRPr="00D60A99" w14:paraId="165528E2" w14:textId="77777777" w:rsidTr="00567DD3">
        <w:trPr>
          <w:trHeight w:val="260"/>
        </w:trPr>
        <w:tc>
          <w:tcPr>
            <w:tcW w:w="705" w:type="dxa"/>
            <w:shd w:val="clear" w:color="auto" w:fill="auto"/>
            <w:noWrap/>
            <w:vAlign w:val="center"/>
            <w:hideMark/>
          </w:tcPr>
          <w:p w14:paraId="2862CF69"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3</w:t>
            </w:r>
          </w:p>
        </w:tc>
        <w:tc>
          <w:tcPr>
            <w:tcW w:w="723" w:type="dxa"/>
            <w:shd w:val="clear" w:color="auto" w:fill="auto"/>
            <w:noWrap/>
            <w:vAlign w:val="center"/>
            <w:hideMark/>
          </w:tcPr>
          <w:p w14:paraId="71BBC6E2"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2</w:t>
            </w:r>
          </w:p>
        </w:tc>
        <w:tc>
          <w:tcPr>
            <w:tcW w:w="652" w:type="dxa"/>
            <w:vAlign w:val="center"/>
          </w:tcPr>
          <w:p w14:paraId="4BC9C0D7"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PB</w:t>
            </w:r>
          </w:p>
        </w:tc>
        <w:tc>
          <w:tcPr>
            <w:tcW w:w="1875" w:type="dxa"/>
            <w:shd w:val="clear" w:color="auto" w:fill="auto"/>
            <w:noWrap/>
            <w:vAlign w:val="center"/>
            <w:hideMark/>
          </w:tcPr>
          <w:p w14:paraId="15F7D1F3"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Relapse post-FCR</w:t>
            </w:r>
          </w:p>
        </w:tc>
        <w:tc>
          <w:tcPr>
            <w:tcW w:w="1260" w:type="dxa"/>
            <w:shd w:val="clear" w:color="auto" w:fill="auto"/>
            <w:noWrap/>
            <w:vAlign w:val="center"/>
            <w:hideMark/>
          </w:tcPr>
          <w:p w14:paraId="5F3E0296"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4,567</w:t>
            </w:r>
          </w:p>
        </w:tc>
        <w:tc>
          <w:tcPr>
            <w:tcW w:w="1350" w:type="dxa"/>
            <w:shd w:val="clear" w:color="auto" w:fill="auto"/>
            <w:noWrap/>
            <w:vAlign w:val="center"/>
            <w:hideMark/>
          </w:tcPr>
          <w:p w14:paraId="68F60DE1"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3,566*</w:t>
            </w:r>
          </w:p>
        </w:tc>
        <w:tc>
          <w:tcPr>
            <w:tcW w:w="1170" w:type="dxa"/>
            <w:vAlign w:val="center"/>
          </w:tcPr>
          <w:p w14:paraId="427F6554"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13,551</w:t>
            </w:r>
          </w:p>
        </w:tc>
        <w:tc>
          <w:tcPr>
            <w:tcW w:w="1350" w:type="dxa"/>
            <w:vAlign w:val="center"/>
          </w:tcPr>
          <w:p w14:paraId="2C5F1345"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12.2</w:t>
            </w:r>
          </w:p>
        </w:tc>
        <w:tc>
          <w:tcPr>
            <w:tcW w:w="900" w:type="dxa"/>
            <w:vAlign w:val="center"/>
          </w:tcPr>
          <w:p w14:paraId="56730A0B"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N/A</w:t>
            </w:r>
          </w:p>
        </w:tc>
      </w:tr>
      <w:tr w:rsidR="00D60A99" w:rsidRPr="00D60A99" w14:paraId="4DE34C77" w14:textId="77777777" w:rsidTr="00567DD3">
        <w:trPr>
          <w:trHeight w:val="260"/>
        </w:trPr>
        <w:tc>
          <w:tcPr>
            <w:tcW w:w="705" w:type="dxa"/>
            <w:shd w:val="clear" w:color="auto" w:fill="auto"/>
            <w:noWrap/>
            <w:vAlign w:val="center"/>
            <w:hideMark/>
          </w:tcPr>
          <w:p w14:paraId="5C0E1442"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4</w:t>
            </w:r>
          </w:p>
        </w:tc>
        <w:tc>
          <w:tcPr>
            <w:tcW w:w="723" w:type="dxa"/>
            <w:shd w:val="clear" w:color="auto" w:fill="auto"/>
            <w:noWrap/>
            <w:vAlign w:val="center"/>
            <w:hideMark/>
          </w:tcPr>
          <w:p w14:paraId="232BFD9F"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1</w:t>
            </w:r>
          </w:p>
        </w:tc>
        <w:tc>
          <w:tcPr>
            <w:tcW w:w="652" w:type="dxa"/>
            <w:vAlign w:val="center"/>
          </w:tcPr>
          <w:p w14:paraId="69AD87D6"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PB</w:t>
            </w:r>
          </w:p>
        </w:tc>
        <w:tc>
          <w:tcPr>
            <w:tcW w:w="1875" w:type="dxa"/>
            <w:shd w:val="clear" w:color="auto" w:fill="auto"/>
            <w:noWrap/>
            <w:vAlign w:val="center"/>
            <w:hideMark/>
          </w:tcPr>
          <w:p w14:paraId="41411D18"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Pretreatment FCR</w:t>
            </w:r>
          </w:p>
        </w:tc>
        <w:tc>
          <w:tcPr>
            <w:tcW w:w="1260" w:type="dxa"/>
            <w:shd w:val="clear" w:color="auto" w:fill="auto"/>
            <w:noWrap/>
            <w:vAlign w:val="center"/>
            <w:hideMark/>
          </w:tcPr>
          <w:p w14:paraId="7A060153"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3,447</w:t>
            </w:r>
          </w:p>
        </w:tc>
        <w:tc>
          <w:tcPr>
            <w:tcW w:w="1350" w:type="dxa"/>
            <w:shd w:val="clear" w:color="auto" w:fill="auto"/>
            <w:noWrap/>
            <w:vAlign w:val="center"/>
            <w:hideMark/>
          </w:tcPr>
          <w:p w14:paraId="536DC4AA"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2,710</w:t>
            </w:r>
          </w:p>
        </w:tc>
        <w:tc>
          <w:tcPr>
            <w:tcW w:w="1170" w:type="dxa"/>
            <w:vAlign w:val="center"/>
          </w:tcPr>
          <w:p w14:paraId="351E7CCF"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43,384</w:t>
            </w:r>
          </w:p>
        </w:tc>
        <w:tc>
          <w:tcPr>
            <w:tcW w:w="1350" w:type="dxa"/>
            <w:vAlign w:val="center"/>
          </w:tcPr>
          <w:p w14:paraId="6DA6DCE0"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110.4</w:t>
            </w:r>
          </w:p>
        </w:tc>
        <w:tc>
          <w:tcPr>
            <w:tcW w:w="900" w:type="dxa"/>
            <w:vAlign w:val="center"/>
          </w:tcPr>
          <w:p w14:paraId="357468C0"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100.00</w:t>
            </w:r>
          </w:p>
        </w:tc>
      </w:tr>
      <w:tr w:rsidR="00D60A99" w:rsidRPr="00D60A99" w14:paraId="2E49408C" w14:textId="77777777" w:rsidTr="00567DD3">
        <w:trPr>
          <w:trHeight w:val="260"/>
        </w:trPr>
        <w:tc>
          <w:tcPr>
            <w:tcW w:w="705" w:type="dxa"/>
            <w:shd w:val="clear" w:color="auto" w:fill="auto"/>
            <w:noWrap/>
            <w:vAlign w:val="center"/>
            <w:hideMark/>
          </w:tcPr>
          <w:p w14:paraId="23F94C58"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4</w:t>
            </w:r>
          </w:p>
        </w:tc>
        <w:tc>
          <w:tcPr>
            <w:tcW w:w="723" w:type="dxa"/>
            <w:shd w:val="clear" w:color="auto" w:fill="auto"/>
            <w:noWrap/>
            <w:vAlign w:val="center"/>
            <w:hideMark/>
          </w:tcPr>
          <w:p w14:paraId="2DF2A104"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2</w:t>
            </w:r>
          </w:p>
        </w:tc>
        <w:tc>
          <w:tcPr>
            <w:tcW w:w="652" w:type="dxa"/>
            <w:vAlign w:val="center"/>
          </w:tcPr>
          <w:p w14:paraId="5017D026"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PB</w:t>
            </w:r>
          </w:p>
        </w:tc>
        <w:tc>
          <w:tcPr>
            <w:tcW w:w="1875" w:type="dxa"/>
            <w:shd w:val="clear" w:color="auto" w:fill="auto"/>
            <w:noWrap/>
            <w:vAlign w:val="center"/>
            <w:hideMark/>
          </w:tcPr>
          <w:p w14:paraId="3C991666"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Relapse post-RIC</w:t>
            </w:r>
          </w:p>
        </w:tc>
        <w:tc>
          <w:tcPr>
            <w:tcW w:w="1260" w:type="dxa"/>
            <w:shd w:val="clear" w:color="auto" w:fill="auto"/>
            <w:noWrap/>
            <w:vAlign w:val="center"/>
            <w:hideMark/>
          </w:tcPr>
          <w:p w14:paraId="57FD23AA"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2,810</w:t>
            </w:r>
          </w:p>
        </w:tc>
        <w:tc>
          <w:tcPr>
            <w:tcW w:w="1350" w:type="dxa"/>
            <w:shd w:val="clear" w:color="auto" w:fill="auto"/>
            <w:noWrap/>
            <w:vAlign w:val="center"/>
            <w:hideMark/>
          </w:tcPr>
          <w:p w14:paraId="254E1E15"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2,272</w:t>
            </w:r>
          </w:p>
        </w:tc>
        <w:tc>
          <w:tcPr>
            <w:tcW w:w="1170" w:type="dxa"/>
            <w:vAlign w:val="center"/>
          </w:tcPr>
          <w:p w14:paraId="40E4BFA1"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27,085</w:t>
            </w:r>
          </w:p>
        </w:tc>
        <w:tc>
          <w:tcPr>
            <w:tcW w:w="1350" w:type="dxa"/>
            <w:vAlign w:val="center"/>
          </w:tcPr>
          <w:p w14:paraId="22985F94"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30.62</w:t>
            </w:r>
          </w:p>
        </w:tc>
        <w:tc>
          <w:tcPr>
            <w:tcW w:w="900" w:type="dxa"/>
            <w:vAlign w:val="center"/>
          </w:tcPr>
          <w:p w14:paraId="4A976D4F"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N/A</w:t>
            </w:r>
          </w:p>
        </w:tc>
      </w:tr>
      <w:tr w:rsidR="00D60A99" w:rsidRPr="00D60A99" w14:paraId="59619992" w14:textId="77777777" w:rsidTr="00567DD3">
        <w:trPr>
          <w:trHeight w:val="260"/>
        </w:trPr>
        <w:tc>
          <w:tcPr>
            <w:tcW w:w="705" w:type="dxa"/>
            <w:shd w:val="clear" w:color="auto" w:fill="auto"/>
            <w:noWrap/>
            <w:vAlign w:val="center"/>
            <w:hideMark/>
          </w:tcPr>
          <w:p w14:paraId="4B3E1453"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5</w:t>
            </w:r>
          </w:p>
        </w:tc>
        <w:tc>
          <w:tcPr>
            <w:tcW w:w="723" w:type="dxa"/>
            <w:shd w:val="clear" w:color="auto" w:fill="auto"/>
            <w:noWrap/>
            <w:vAlign w:val="center"/>
            <w:hideMark/>
          </w:tcPr>
          <w:p w14:paraId="279E8959"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1</w:t>
            </w:r>
          </w:p>
        </w:tc>
        <w:tc>
          <w:tcPr>
            <w:tcW w:w="652" w:type="dxa"/>
            <w:vAlign w:val="center"/>
          </w:tcPr>
          <w:p w14:paraId="0807E2F8"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PB</w:t>
            </w:r>
          </w:p>
        </w:tc>
        <w:tc>
          <w:tcPr>
            <w:tcW w:w="1875" w:type="dxa"/>
            <w:shd w:val="clear" w:color="auto" w:fill="auto"/>
            <w:noWrap/>
            <w:vAlign w:val="center"/>
            <w:hideMark/>
          </w:tcPr>
          <w:p w14:paraId="319AEA15"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Pretreatment FCR</w:t>
            </w:r>
          </w:p>
        </w:tc>
        <w:tc>
          <w:tcPr>
            <w:tcW w:w="1260" w:type="dxa"/>
            <w:shd w:val="clear" w:color="auto" w:fill="auto"/>
            <w:noWrap/>
            <w:vAlign w:val="center"/>
            <w:hideMark/>
          </w:tcPr>
          <w:p w14:paraId="1F1304FE"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7,790</w:t>
            </w:r>
          </w:p>
        </w:tc>
        <w:tc>
          <w:tcPr>
            <w:tcW w:w="1350" w:type="dxa"/>
            <w:shd w:val="clear" w:color="auto" w:fill="auto"/>
            <w:noWrap/>
            <w:vAlign w:val="center"/>
            <w:hideMark/>
          </w:tcPr>
          <w:p w14:paraId="37B34430"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4,554</w:t>
            </w:r>
          </w:p>
        </w:tc>
        <w:tc>
          <w:tcPr>
            <w:tcW w:w="1170" w:type="dxa"/>
            <w:vAlign w:val="center"/>
          </w:tcPr>
          <w:p w14:paraId="734BBCF3"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45,560</w:t>
            </w:r>
          </w:p>
        </w:tc>
        <w:tc>
          <w:tcPr>
            <w:tcW w:w="1350" w:type="dxa"/>
            <w:vAlign w:val="center"/>
          </w:tcPr>
          <w:p w14:paraId="3B9CBC79"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57.5</w:t>
            </w:r>
          </w:p>
        </w:tc>
        <w:tc>
          <w:tcPr>
            <w:tcW w:w="900" w:type="dxa"/>
            <w:vAlign w:val="center"/>
          </w:tcPr>
          <w:p w14:paraId="06F75417"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99.00</w:t>
            </w:r>
          </w:p>
        </w:tc>
      </w:tr>
      <w:tr w:rsidR="00D60A99" w:rsidRPr="00D60A99" w14:paraId="233E2339" w14:textId="77777777" w:rsidTr="00567DD3">
        <w:trPr>
          <w:trHeight w:val="260"/>
        </w:trPr>
        <w:tc>
          <w:tcPr>
            <w:tcW w:w="705" w:type="dxa"/>
            <w:shd w:val="clear" w:color="auto" w:fill="auto"/>
            <w:noWrap/>
            <w:vAlign w:val="center"/>
            <w:hideMark/>
          </w:tcPr>
          <w:p w14:paraId="104D5E1E"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5</w:t>
            </w:r>
          </w:p>
        </w:tc>
        <w:tc>
          <w:tcPr>
            <w:tcW w:w="723" w:type="dxa"/>
            <w:shd w:val="clear" w:color="auto" w:fill="auto"/>
            <w:noWrap/>
            <w:vAlign w:val="center"/>
            <w:hideMark/>
          </w:tcPr>
          <w:p w14:paraId="032063D8"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2</w:t>
            </w:r>
          </w:p>
        </w:tc>
        <w:tc>
          <w:tcPr>
            <w:tcW w:w="652" w:type="dxa"/>
            <w:vAlign w:val="center"/>
          </w:tcPr>
          <w:p w14:paraId="0CA2F8C3"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PB</w:t>
            </w:r>
          </w:p>
        </w:tc>
        <w:tc>
          <w:tcPr>
            <w:tcW w:w="1875" w:type="dxa"/>
            <w:shd w:val="clear" w:color="auto" w:fill="auto"/>
            <w:noWrap/>
            <w:vAlign w:val="center"/>
            <w:hideMark/>
          </w:tcPr>
          <w:p w14:paraId="632E1985"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Relapse post-RIC</w:t>
            </w:r>
          </w:p>
        </w:tc>
        <w:tc>
          <w:tcPr>
            <w:tcW w:w="1260" w:type="dxa"/>
            <w:shd w:val="clear" w:color="auto" w:fill="auto"/>
            <w:noWrap/>
            <w:vAlign w:val="center"/>
            <w:hideMark/>
          </w:tcPr>
          <w:p w14:paraId="7A95FB7D"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4,698</w:t>
            </w:r>
          </w:p>
        </w:tc>
        <w:tc>
          <w:tcPr>
            <w:tcW w:w="1350" w:type="dxa"/>
            <w:shd w:val="clear" w:color="auto" w:fill="auto"/>
            <w:noWrap/>
            <w:vAlign w:val="center"/>
            <w:hideMark/>
          </w:tcPr>
          <w:p w14:paraId="66DDE8D0"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3,384</w:t>
            </w:r>
          </w:p>
        </w:tc>
        <w:tc>
          <w:tcPr>
            <w:tcW w:w="1170" w:type="dxa"/>
            <w:vAlign w:val="center"/>
          </w:tcPr>
          <w:p w14:paraId="6A395DE2"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41,099</w:t>
            </w:r>
          </w:p>
        </w:tc>
        <w:tc>
          <w:tcPr>
            <w:tcW w:w="1350" w:type="dxa"/>
            <w:vAlign w:val="center"/>
          </w:tcPr>
          <w:p w14:paraId="35D39DA4"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20.8</w:t>
            </w:r>
          </w:p>
        </w:tc>
        <w:tc>
          <w:tcPr>
            <w:tcW w:w="900" w:type="dxa"/>
            <w:vAlign w:val="center"/>
          </w:tcPr>
          <w:p w14:paraId="12535DB2"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88.50</w:t>
            </w:r>
          </w:p>
        </w:tc>
      </w:tr>
      <w:tr w:rsidR="00D60A99" w:rsidRPr="00D60A99" w14:paraId="6957B67C" w14:textId="77777777" w:rsidTr="00567DD3">
        <w:trPr>
          <w:trHeight w:val="260"/>
        </w:trPr>
        <w:tc>
          <w:tcPr>
            <w:tcW w:w="705" w:type="dxa"/>
            <w:shd w:val="clear" w:color="auto" w:fill="auto"/>
            <w:noWrap/>
            <w:vAlign w:val="center"/>
            <w:hideMark/>
          </w:tcPr>
          <w:p w14:paraId="21DA05F8"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6</w:t>
            </w:r>
          </w:p>
        </w:tc>
        <w:tc>
          <w:tcPr>
            <w:tcW w:w="723" w:type="dxa"/>
            <w:shd w:val="clear" w:color="auto" w:fill="auto"/>
            <w:noWrap/>
            <w:vAlign w:val="center"/>
            <w:hideMark/>
          </w:tcPr>
          <w:p w14:paraId="4423C0C7"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1</w:t>
            </w:r>
          </w:p>
        </w:tc>
        <w:tc>
          <w:tcPr>
            <w:tcW w:w="652" w:type="dxa"/>
            <w:vAlign w:val="center"/>
          </w:tcPr>
          <w:p w14:paraId="2AA76949"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PB</w:t>
            </w:r>
          </w:p>
        </w:tc>
        <w:tc>
          <w:tcPr>
            <w:tcW w:w="1875" w:type="dxa"/>
            <w:shd w:val="clear" w:color="auto" w:fill="auto"/>
            <w:noWrap/>
            <w:vAlign w:val="center"/>
            <w:hideMark/>
          </w:tcPr>
          <w:p w14:paraId="737EEAEF"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Pretreatment FCR</w:t>
            </w:r>
          </w:p>
        </w:tc>
        <w:tc>
          <w:tcPr>
            <w:tcW w:w="1260" w:type="dxa"/>
            <w:shd w:val="clear" w:color="auto" w:fill="auto"/>
            <w:noWrap/>
            <w:vAlign w:val="center"/>
            <w:hideMark/>
          </w:tcPr>
          <w:p w14:paraId="6707D5B9"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5,125</w:t>
            </w:r>
          </w:p>
        </w:tc>
        <w:tc>
          <w:tcPr>
            <w:tcW w:w="1350" w:type="dxa"/>
            <w:shd w:val="clear" w:color="auto" w:fill="auto"/>
            <w:noWrap/>
            <w:vAlign w:val="center"/>
            <w:hideMark/>
          </w:tcPr>
          <w:p w14:paraId="329F00A3"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4,061</w:t>
            </w:r>
          </w:p>
        </w:tc>
        <w:tc>
          <w:tcPr>
            <w:tcW w:w="1170" w:type="dxa"/>
            <w:vAlign w:val="center"/>
          </w:tcPr>
          <w:p w14:paraId="18E82C4F"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9,983</w:t>
            </w:r>
          </w:p>
        </w:tc>
        <w:tc>
          <w:tcPr>
            <w:tcW w:w="1350" w:type="dxa"/>
            <w:vAlign w:val="center"/>
          </w:tcPr>
          <w:p w14:paraId="1DF883EE"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65</w:t>
            </w:r>
          </w:p>
        </w:tc>
        <w:tc>
          <w:tcPr>
            <w:tcW w:w="900" w:type="dxa"/>
            <w:vAlign w:val="center"/>
          </w:tcPr>
          <w:p w14:paraId="61EA01E6"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100.00</w:t>
            </w:r>
          </w:p>
        </w:tc>
      </w:tr>
      <w:tr w:rsidR="00D60A99" w:rsidRPr="00D60A99" w14:paraId="4994A8EF" w14:textId="77777777" w:rsidTr="00567DD3">
        <w:trPr>
          <w:trHeight w:val="260"/>
        </w:trPr>
        <w:tc>
          <w:tcPr>
            <w:tcW w:w="705" w:type="dxa"/>
            <w:shd w:val="clear" w:color="auto" w:fill="auto"/>
            <w:noWrap/>
            <w:vAlign w:val="center"/>
            <w:hideMark/>
          </w:tcPr>
          <w:p w14:paraId="65009C65"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6</w:t>
            </w:r>
          </w:p>
        </w:tc>
        <w:tc>
          <w:tcPr>
            <w:tcW w:w="723" w:type="dxa"/>
            <w:shd w:val="clear" w:color="auto" w:fill="auto"/>
            <w:noWrap/>
            <w:vAlign w:val="center"/>
            <w:hideMark/>
          </w:tcPr>
          <w:p w14:paraId="637CB75D"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2</w:t>
            </w:r>
          </w:p>
        </w:tc>
        <w:tc>
          <w:tcPr>
            <w:tcW w:w="652" w:type="dxa"/>
            <w:vAlign w:val="center"/>
          </w:tcPr>
          <w:p w14:paraId="42936179"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PB</w:t>
            </w:r>
          </w:p>
        </w:tc>
        <w:tc>
          <w:tcPr>
            <w:tcW w:w="1875" w:type="dxa"/>
            <w:shd w:val="clear" w:color="auto" w:fill="auto"/>
            <w:noWrap/>
            <w:vAlign w:val="center"/>
            <w:hideMark/>
          </w:tcPr>
          <w:p w14:paraId="2B0F2E02"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Relapse post-RIC</w:t>
            </w:r>
          </w:p>
        </w:tc>
        <w:tc>
          <w:tcPr>
            <w:tcW w:w="1260" w:type="dxa"/>
            <w:shd w:val="clear" w:color="auto" w:fill="auto"/>
            <w:noWrap/>
            <w:vAlign w:val="center"/>
            <w:hideMark/>
          </w:tcPr>
          <w:p w14:paraId="0064CE69"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6,398</w:t>
            </w:r>
          </w:p>
        </w:tc>
        <w:tc>
          <w:tcPr>
            <w:tcW w:w="1350" w:type="dxa"/>
            <w:shd w:val="clear" w:color="auto" w:fill="auto"/>
            <w:noWrap/>
            <w:vAlign w:val="center"/>
            <w:hideMark/>
          </w:tcPr>
          <w:p w14:paraId="364F30CB"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4,949</w:t>
            </w:r>
          </w:p>
        </w:tc>
        <w:tc>
          <w:tcPr>
            <w:tcW w:w="1170" w:type="dxa"/>
            <w:vAlign w:val="center"/>
          </w:tcPr>
          <w:p w14:paraId="170F9A64"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10,901</w:t>
            </w:r>
          </w:p>
        </w:tc>
        <w:tc>
          <w:tcPr>
            <w:tcW w:w="1350" w:type="dxa"/>
            <w:vAlign w:val="center"/>
          </w:tcPr>
          <w:p w14:paraId="4CA2AA7F"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13.3</w:t>
            </w:r>
          </w:p>
        </w:tc>
        <w:tc>
          <w:tcPr>
            <w:tcW w:w="900" w:type="dxa"/>
            <w:vAlign w:val="center"/>
          </w:tcPr>
          <w:p w14:paraId="17739E82"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83.40</w:t>
            </w:r>
          </w:p>
        </w:tc>
      </w:tr>
      <w:tr w:rsidR="00D60A99" w:rsidRPr="00D60A99" w14:paraId="62C30452" w14:textId="77777777" w:rsidTr="00567DD3">
        <w:trPr>
          <w:trHeight w:val="260"/>
        </w:trPr>
        <w:tc>
          <w:tcPr>
            <w:tcW w:w="705" w:type="dxa"/>
            <w:shd w:val="clear" w:color="auto" w:fill="auto"/>
            <w:noWrap/>
            <w:vAlign w:val="center"/>
            <w:hideMark/>
          </w:tcPr>
          <w:p w14:paraId="6721AC24"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6</w:t>
            </w:r>
          </w:p>
        </w:tc>
        <w:tc>
          <w:tcPr>
            <w:tcW w:w="723" w:type="dxa"/>
            <w:shd w:val="clear" w:color="auto" w:fill="auto"/>
            <w:noWrap/>
            <w:vAlign w:val="center"/>
            <w:hideMark/>
          </w:tcPr>
          <w:p w14:paraId="11D5E0AF"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3</w:t>
            </w:r>
          </w:p>
        </w:tc>
        <w:tc>
          <w:tcPr>
            <w:tcW w:w="652" w:type="dxa"/>
            <w:vAlign w:val="center"/>
          </w:tcPr>
          <w:p w14:paraId="551959DD"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PB</w:t>
            </w:r>
          </w:p>
        </w:tc>
        <w:tc>
          <w:tcPr>
            <w:tcW w:w="1875" w:type="dxa"/>
            <w:shd w:val="clear" w:color="auto" w:fill="auto"/>
            <w:noWrap/>
            <w:vAlign w:val="center"/>
            <w:hideMark/>
          </w:tcPr>
          <w:p w14:paraId="48994748"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Ibrutinib 1 month</w:t>
            </w:r>
          </w:p>
        </w:tc>
        <w:tc>
          <w:tcPr>
            <w:tcW w:w="1260" w:type="dxa"/>
            <w:shd w:val="clear" w:color="auto" w:fill="auto"/>
            <w:noWrap/>
            <w:vAlign w:val="center"/>
            <w:hideMark/>
          </w:tcPr>
          <w:p w14:paraId="3B506063"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8,550</w:t>
            </w:r>
          </w:p>
        </w:tc>
        <w:tc>
          <w:tcPr>
            <w:tcW w:w="1350" w:type="dxa"/>
            <w:shd w:val="clear" w:color="auto" w:fill="auto"/>
            <w:noWrap/>
            <w:vAlign w:val="center"/>
            <w:hideMark/>
          </w:tcPr>
          <w:p w14:paraId="158E7788"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5,206</w:t>
            </w:r>
          </w:p>
        </w:tc>
        <w:tc>
          <w:tcPr>
            <w:tcW w:w="1170" w:type="dxa"/>
            <w:vAlign w:val="center"/>
          </w:tcPr>
          <w:p w14:paraId="158C4D6A"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11,264</w:t>
            </w:r>
          </w:p>
        </w:tc>
        <w:tc>
          <w:tcPr>
            <w:tcW w:w="1350" w:type="dxa"/>
            <w:vAlign w:val="center"/>
          </w:tcPr>
          <w:p w14:paraId="4282870B"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33.6</w:t>
            </w:r>
          </w:p>
        </w:tc>
        <w:tc>
          <w:tcPr>
            <w:tcW w:w="900" w:type="dxa"/>
            <w:vAlign w:val="center"/>
          </w:tcPr>
          <w:p w14:paraId="248378EE"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97.50</w:t>
            </w:r>
          </w:p>
        </w:tc>
      </w:tr>
      <w:tr w:rsidR="00D60A99" w:rsidRPr="00D60A99" w14:paraId="2901AEA9" w14:textId="77777777" w:rsidTr="00567DD3">
        <w:trPr>
          <w:trHeight w:val="260"/>
        </w:trPr>
        <w:tc>
          <w:tcPr>
            <w:tcW w:w="705" w:type="dxa"/>
            <w:shd w:val="clear" w:color="auto" w:fill="auto"/>
            <w:noWrap/>
            <w:vAlign w:val="center"/>
            <w:hideMark/>
          </w:tcPr>
          <w:p w14:paraId="6E89B107"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6</w:t>
            </w:r>
          </w:p>
        </w:tc>
        <w:tc>
          <w:tcPr>
            <w:tcW w:w="723" w:type="dxa"/>
            <w:shd w:val="clear" w:color="auto" w:fill="auto"/>
            <w:noWrap/>
            <w:vAlign w:val="center"/>
            <w:hideMark/>
          </w:tcPr>
          <w:p w14:paraId="33594152"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4</w:t>
            </w:r>
          </w:p>
        </w:tc>
        <w:tc>
          <w:tcPr>
            <w:tcW w:w="652" w:type="dxa"/>
            <w:vAlign w:val="center"/>
          </w:tcPr>
          <w:p w14:paraId="022BB04C"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PB</w:t>
            </w:r>
          </w:p>
        </w:tc>
        <w:tc>
          <w:tcPr>
            <w:tcW w:w="1875" w:type="dxa"/>
            <w:shd w:val="clear" w:color="auto" w:fill="auto"/>
            <w:noWrap/>
            <w:vAlign w:val="center"/>
            <w:hideMark/>
          </w:tcPr>
          <w:p w14:paraId="61170E5A"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Ibrutinib 21 months</w:t>
            </w:r>
          </w:p>
        </w:tc>
        <w:tc>
          <w:tcPr>
            <w:tcW w:w="1260" w:type="dxa"/>
            <w:shd w:val="clear" w:color="auto" w:fill="auto"/>
            <w:noWrap/>
            <w:vAlign w:val="center"/>
            <w:hideMark/>
          </w:tcPr>
          <w:p w14:paraId="4C8E7C1F"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9,633</w:t>
            </w:r>
          </w:p>
        </w:tc>
        <w:tc>
          <w:tcPr>
            <w:tcW w:w="1350" w:type="dxa"/>
            <w:shd w:val="clear" w:color="auto" w:fill="auto"/>
            <w:noWrap/>
            <w:vAlign w:val="center"/>
            <w:hideMark/>
          </w:tcPr>
          <w:p w14:paraId="113C918C"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2,862</w:t>
            </w:r>
          </w:p>
        </w:tc>
        <w:tc>
          <w:tcPr>
            <w:tcW w:w="1170" w:type="dxa"/>
            <w:vAlign w:val="center"/>
          </w:tcPr>
          <w:p w14:paraId="5BA86AFE"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10,626</w:t>
            </w:r>
          </w:p>
        </w:tc>
        <w:tc>
          <w:tcPr>
            <w:tcW w:w="1350" w:type="dxa"/>
            <w:vAlign w:val="center"/>
          </w:tcPr>
          <w:p w14:paraId="671D88E2"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12</w:t>
            </w:r>
          </w:p>
        </w:tc>
        <w:tc>
          <w:tcPr>
            <w:tcW w:w="900" w:type="dxa"/>
            <w:vAlign w:val="center"/>
          </w:tcPr>
          <w:p w14:paraId="7319348B"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100.00</w:t>
            </w:r>
          </w:p>
        </w:tc>
      </w:tr>
      <w:tr w:rsidR="00D60A99" w:rsidRPr="00D60A99" w14:paraId="0EF2EAA7" w14:textId="77777777" w:rsidTr="00567DD3">
        <w:trPr>
          <w:trHeight w:val="260"/>
        </w:trPr>
        <w:tc>
          <w:tcPr>
            <w:tcW w:w="705" w:type="dxa"/>
            <w:shd w:val="clear" w:color="auto" w:fill="auto"/>
            <w:noWrap/>
            <w:vAlign w:val="center"/>
            <w:hideMark/>
          </w:tcPr>
          <w:p w14:paraId="40964E1B"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7</w:t>
            </w:r>
          </w:p>
        </w:tc>
        <w:tc>
          <w:tcPr>
            <w:tcW w:w="723" w:type="dxa"/>
            <w:shd w:val="clear" w:color="auto" w:fill="auto"/>
            <w:noWrap/>
            <w:vAlign w:val="center"/>
            <w:hideMark/>
          </w:tcPr>
          <w:p w14:paraId="613F2AF0"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1</w:t>
            </w:r>
          </w:p>
        </w:tc>
        <w:tc>
          <w:tcPr>
            <w:tcW w:w="652" w:type="dxa"/>
            <w:vAlign w:val="center"/>
          </w:tcPr>
          <w:p w14:paraId="4F5F1DD1"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PB</w:t>
            </w:r>
          </w:p>
        </w:tc>
        <w:tc>
          <w:tcPr>
            <w:tcW w:w="1875" w:type="dxa"/>
            <w:shd w:val="clear" w:color="auto" w:fill="auto"/>
            <w:noWrap/>
            <w:vAlign w:val="center"/>
            <w:hideMark/>
          </w:tcPr>
          <w:p w14:paraId="0F07B298"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Pretreatment Ibrutinib CD19</w:t>
            </w:r>
            <w:r w:rsidRPr="00D60A99">
              <w:rPr>
                <w:rFonts w:ascii="Times New Roman" w:eastAsia="Times New Roman" w:hAnsi="Times New Roman" w:cs="Times New Roman"/>
                <w:color w:val="000000" w:themeColor="text1"/>
                <w:sz w:val="16"/>
                <w:szCs w:val="16"/>
                <w:vertAlign w:val="superscript"/>
              </w:rPr>
              <w:t>-</w:t>
            </w:r>
            <w:r w:rsidRPr="00D60A99">
              <w:rPr>
                <w:rFonts w:ascii="Times New Roman" w:eastAsia="Times New Roman" w:hAnsi="Times New Roman" w:cs="Times New Roman"/>
                <w:color w:val="000000" w:themeColor="text1"/>
                <w:sz w:val="16"/>
                <w:szCs w:val="16"/>
              </w:rPr>
              <w:t xml:space="preserve"> cells</w:t>
            </w:r>
          </w:p>
        </w:tc>
        <w:tc>
          <w:tcPr>
            <w:tcW w:w="1260" w:type="dxa"/>
            <w:shd w:val="clear" w:color="auto" w:fill="auto"/>
            <w:noWrap/>
            <w:vAlign w:val="center"/>
            <w:hideMark/>
          </w:tcPr>
          <w:p w14:paraId="355B38A0"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4,219</w:t>
            </w:r>
          </w:p>
        </w:tc>
        <w:tc>
          <w:tcPr>
            <w:tcW w:w="1350" w:type="dxa"/>
            <w:shd w:val="clear" w:color="auto" w:fill="auto"/>
            <w:noWrap/>
            <w:vAlign w:val="center"/>
            <w:hideMark/>
          </w:tcPr>
          <w:p w14:paraId="07982FF0"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2,855</w:t>
            </w:r>
          </w:p>
        </w:tc>
        <w:tc>
          <w:tcPr>
            <w:tcW w:w="1170" w:type="dxa"/>
            <w:vMerge w:val="restart"/>
            <w:vAlign w:val="center"/>
          </w:tcPr>
          <w:p w14:paraId="7473CD8C"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5,850</w:t>
            </w:r>
          </w:p>
        </w:tc>
        <w:tc>
          <w:tcPr>
            <w:tcW w:w="1350" w:type="dxa"/>
            <w:vAlign w:val="center"/>
          </w:tcPr>
          <w:p w14:paraId="19A15904"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12.1</w:t>
            </w:r>
          </w:p>
        </w:tc>
        <w:tc>
          <w:tcPr>
            <w:tcW w:w="900" w:type="dxa"/>
            <w:vAlign w:val="center"/>
          </w:tcPr>
          <w:p w14:paraId="5DE0AA52"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99.90</w:t>
            </w:r>
          </w:p>
        </w:tc>
      </w:tr>
      <w:tr w:rsidR="00D60A99" w:rsidRPr="00D60A99" w14:paraId="3F43985C" w14:textId="77777777" w:rsidTr="00567DD3">
        <w:trPr>
          <w:trHeight w:val="260"/>
        </w:trPr>
        <w:tc>
          <w:tcPr>
            <w:tcW w:w="705" w:type="dxa"/>
            <w:shd w:val="clear" w:color="auto" w:fill="auto"/>
            <w:noWrap/>
            <w:vAlign w:val="center"/>
            <w:hideMark/>
          </w:tcPr>
          <w:p w14:paraId="1820BA7F"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7</w:t>
            </w:r>
          </w:p>
        </w:tc>
        <w:tc>
          <w:tcPr>
            <w:tcW w:w="723" w:type="dxa"/>
            <w:shd w:val="clear" w:color="auto" w:fill="auto"/>
            <w:noWrap/>
            <w:vAlign w:val="center"/>
            <w:hideMark/>
          </w:tcPr>
          <w:p w14:paraId="3A9F6BF6"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1</w:t>
            </w:r>
          </w:p>
        </w:tc>
        <w:tc>
          <w:tcPr>
            <w:tcW w:w="652" w:type="dxa"/>
            <w:vAlign w:val="center"/>
          </w:tcPr>
          <w:p w14:paraId="10FD7D55"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PB</w:t>
            </w:r>
          </w:p>
        </w:tc>
        <w:tc>
          <w:tcPr>
            <w:tcW w:w="1875" w:type="dxa"/>
            <w:shd w:val="clear" w:color="auto" w:fill="auto"/>
            <w:noWrap/>
            <w:vAlign w:val="center"/>
            <w:hideMark/>
          </w:tcPr>
          <w:p w14:paraId="67BDEBDC"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Pretreatment Ibrutinib CD19</w:t>
            </w:r>
            <w:r w:rsidRPr="00D60A99">
              <w:rPr>
                <w:rFonts w:ascii="Times New Roman" w:eastAsia="Times New Roman" w:hAnsi="Times New Roman" w:cs="Times New Roman"/>
                <w:color w:val="000000" w:themeColor="text1"/>
                <w:sz w:val="16"/>
                <w:szCs w:val="16"/>
                <w:vertAlign w:val="superscript"/>
              </w:rPr>
              <w:t>+</w:t>
            </w:r>
            <w:r w:rsidRPr="00D60A99">
              <w:rPr>
                <w:rFonts w:ascii="Times New Roman" w:eastAsia="Times New Roman" w:hAnsi="Times New Roman" w:cs="Times New Roman"/>
                <w:color w:val="000000" w:themeColor="text1"/>
                <w:sz w:val="16"/>
                <w:szCs w:val="16"/>
              </w:rPr>
              <w:t xml:space="preserve"> cells</w:t>
            </w:r>
          </w:p>
        </w:tc>
        <w:tc>
          <w:tcPr>
            <w:tcW w:w="1260" w:type="dxa"/>
            <w:shd w:val="clear" w:color="auto" w:fill="auto"/>
            <w:noWrap/>
            <w:vAlign w:val="center"/>
            <w:hideMark/>
          </w:tcPr>
          <w:p w14:paraId="7C0E49C9"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3,004</w:t>
            </w:r>
          </w:p>
        </w:tc>
        <w:tc>
          <w:tcPr>
            <w:tcW w:w="1350" w:type="dxa"/>
            <w:shd w:val="clear" w:color="auto" w:fill="auto"/>
            <w:noWrap/>
            <w:vAlign w:val="center"/>
            <w:hideMark/>
          </w:tcPr>
          <w:p w14:paraId="4B318F51"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2,085</w:t>
            </w:r>
          </w:p>
        </w:tc>
        <w:tc>
          <w:tcPr>
            <w:tcW w:w="1170" w:type="dxa"/>
            <w:vMerge/>
            <w:vAlign w:val="center"/>
          </w:tcPr>
          <w:p w14:paraId="4753F476" w14:textId="77777777" w:rsidR="00DA0441" w:rsidRPr="00D60A99" w:rsidRDefault="00DA0441" w:rsidP="00567DD3">
            <w:pPr>
              <w:jc w:val="center"/>
              <w:rPr>
                <w:rFonts w:ascii="Times New Roman" w:hAnsi="Times New Roman" w:cs="Times New Roman"/>
                <w:color w:val="000000" w:themeColor="text1"/>
                <w:sz w:val="16"/>
                <w:szCs w:val="16"/>
              </w:rPr>
            </w:pPr>
          </w:p>
        </w:tc>
        <w:tc>
          <w:tcPr>
            <w:tcW w:w="1350" w:type="dxa"/>
            <w:vAlign w:val="center"/>
          </w:tcPr>
          <w:p w14:paraId="7AD62B21"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12.1</w:t>
            </w:r>
          </w:p>
        </w:tc>
        <w:tc>
          <w:tcPr>
            <w:tcW w:w="900" w:type="dxa"/>
            <w:vAlign w:val="center"/>
          </w:tcPr>
          <w:p w14:paraId="05419025"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99.90</w:t>
            </w:r>
          </w:p>
        </w:tc>
      </w:tr>
      <w:tr w:rsidR="00D60A99" w:rsidRPr="00D60A99" w14:paraId="1721D8F2" w14:textId="77777777" w:rsidTr="00567DD3">
        <w:trPr>
          <w:trHeight w:val="260"/>
        </w:trPr>
        <w:tc>
          <w:tcPr>
            <w:tcW w:w="705" w:type="dxa"/>
            <w:shd w:val="clear" w:color="auto" w:fill="auto"/>
            <w:noWrap/>
            <w:vAlign w:val="center"/>
            <w:hideMark/>
          </w:tcPr>
          <w:p w14:paraId="1F38CEC0"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7</w:t>
            </w:r>
          </w:p>
        </w:tc>
        <w:tc>
          <w:tcPr>
            <w:tcW w:w="723" w:type="dxa"/>
            <w:shd w:val="clear" w:color="auto" w:fill="auto"/>
            <w:noWrap/>
            <w:vAlign w:val="center"/>
            <w:hideMark/>
          </w:tcPr>
          <w:p w14:paraId="6160609B"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2</w:t>
            </w:r>
          </w:p>
        </w:tc>
        <w:tc>
          <w:tcPr>
            <w:tcW w:w="652" w:type="dxa"/>
            <w:vAlign w:val="center"/>
          </w:tcPr>
          <w:p w14:paraId="496717BD"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PB</w:t>
            </w:r>
          </w:p>
        </w:tc>
        <w:tc>
          <w:tcPr>
            <w:tcW w:w="1875" w:type="dxa"/>
            <w:shd w:val="clear" w:color="auto" w:fill="auto"/>
            <w:noWrap/>
            <w:vAlign w:val="center"/>
            <w:hideMark/>
          </w:tcPr>
          <w:p w14:paraId="13068A0D"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Ibrutinib 6 months CD19</w:t>
            </w:r>
            <w:r w:rsidRPr="00D60A99">
              <w:rPr>
                <w:rFonts w:ascii="Times New Roman" w:eastAsia="Times New Roman" w:hAnsi="Times New Roman" w:cs="Times New Roman"/>
                <w:color w:val="000000" w:themeColor="text1"/>
                <w:sz w:val="16"/>
                <w:szCs w:val="16"/>
                <w:vertAlign w:val="superscript"/>
              </w:rPr>
              <w:t>-</w:t>
            </w:r>
            <w:r w:rsidRPr="00D60A99">
              <w:rPr>
                <w:rFonts w:ascii="Times New Roman" w:eastAsia="Times New Roman" w:hAnsi="Times New Roman" w:cs="Times New Roman"/>
                <w:color w:val="000000" w:themeColor="text1"/>
                <w:sz w:val="16"/>
                <w:szCs w:val="16"/>
              </w:rPr>
              <w:t xml:space="preserve"> cells</w:t>
            </w:r>
          </w:p>
        </w:tc>
        <w:tc>
          <w:tcPr>
            <w:tcW w:w="1260" w:type="dxa"/>
            <w:shd w:val="clear" w:color="auto" w:fill="auto"/>
            <w:noWrap/>
            <w:vAlign w:val="center"/>
            <w:hideMark/>
          </w:tcPr>
          <w:p w14:paraId="7CEAC6C5"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5,558</w:t>
            </w:r>
          </w:p>
        </w:tc>
        <w:tc>
          <w:tcPr>
            <w:tcW w:w="1350" w:type="dxa"/>
            <w:shd w:val="clear" w:color="auto" w:fill="auto"/>
            <w:noWrap/>
            <w:vAlign w:val="center"/>
            <w:hideMark/>
          </w:tcPr>
          <w:p w14:paraId="55D880A8"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2,308</w:t>
            </w:r>
          </w:p>
        </w:tc>
        <w:tc>
          <w:tcPr>
            <w:tcW w:w="1170" w:type="dxa"/>
            <w:vMerge w:val="restart"/>
            <w:vAlign w:val="center"/>
          </w:tcPr>
          <w:p w14:paraId="6DCC8811"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7,752</w:t>
            </w:r>
          </w:p>
        </w:tc>
        <w:tc>
          <w:tcPr>
            <w:tcW w:w="1350" w:type="dxa"/>
            <w:vAlign w:val="center"/>
          </w:tcPr>
          <w:p w14:paraId="5A8CE89D"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16.4</w:t>
            </w:r>
          </w:p>
        </w:tc>
        <w:tc>
          <w:tcPr>
            <w:tcW w:w="900" w:type="dxa"/>
            <w:vAlign w:val="center"/>
          </w:tcPr>
          <w:p w14:paraId="6AC4B35D"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N/A</w:t>
            </w:r>
          </w:p>
        </w:tc>
      </w:tr>
      <w:tr w:rsidR="00D60A99" w:rsidRPr="00D60A99" w14:paraId="30CD5438" w14:textId="77777777" w:rsidTr="00567DD3">
        <w:trPr>
          <w:trHeight w:val="260"/>
        </w:trPr>
        <w:tc>
          <w:tcPr>
            <w:tcW w:w="705" w:type="dxa"/>
            <w:shd w:val="clear" w:color="auto" w:fill="auto"/>
            <w:noWrap/>
            <w:vAlign w:val="center"/>
            <w:hideMark/>
          </w:tcPr>
          <w:p w14:paraId="088C6D72"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7</w:t>
            </w:r>
          </w:p>
        </w:tc>
        <w:tc>
          <w:tcPr>
            <w:tcW w:w="723" w:type="dxa"/>
            <w:shd w:val="clear" w:color="auto" w:fill="auto"/>
            <w:noWrap/>
            <w:vAlign w:val="center"/>
            <w:hideMark/>
          </w:tcPr>
          <w:p w14:paraId="0E4F645E"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2</w:t>
            </w:r>
          </w:p>
        </w:tc>
        <w:tc>
          <w:tcPr>
            <w:tcW w:w="652" w:type="dxa"/>
            <w:vAlign w:val="center"/>
          </w:tcPr>
          <w:p w14:paraId="16CA153C"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PB</w:t>
            </w:r>
          </w:p>
        </w:tc>
        <w:tc>
          <w:tcPr>
            <w:tcW w:w="1875" w:type="dxa"/>
            <w:shd w:val="clear" w:color="auto" w:fill="auto"/>
            <w:noWrap/>
            <w:vAlign w:val="center"/>
            <w:hideMark/>
          </w:tcPr>
          <w:p w14:paraId="619D6348"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Ibrutinib 6 months CD19</w:t>
            </w:r>
            <w:r w:rsidRPr="00D60A99">
              <w:rPr>
                <w:rFonts w:ascii="Times New Roman" w:eastAsia="Times New Roman" w:hAnsi="Times New Roman" w:cs="Times New Roman"/>
                <w:color w:val="000000" w:themeColor="text1"/>
                <w:sz w:val="16"/>
                <w:szCs w:val="16"/>
                <w:vertAlign w:val="superscript"/>
              </w:rPr>
              <w:t>+</w:t>
            </w:r>
            <w:r w:rsidRPr="00D60A99">
              <w:rPr>
                <w:rFonts w:ascii="Times New Roman" w:eastAsia="Times New Roman" w:hAnsi="Times New Roman" w:cs="Times New Roman"/>
                <w:color w:val="000000" w:themeColor="text1"/>
                <w:sz w:val="16"/>
                <w:szCs w:val="16"/>
              </w:rPr>
              <w:t xml:space="preserve"> cells</w:t>
            </w:r>
          </w:p>
        </w:tc>
        <w:tc>
          <w:tcPr>
            <w:tcW w:w="1260" w:type="dxa"/>
            <w:shd w:val="clear" w:color="auto" w:fill="auto"/>
            <w:noWrap/>
            <w:vAlign w:val="center"/>
            <w:hideMark/>
          </w:tcPr>
          <w:p w14:paraId="6DF69BBE"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4,152</w:t>
            </w:r>
          </w:p>
        </w:tc>
        <w:tc>
          <w:tcPr>
            <w:tcW w:w="1350" w:type="dxa"/>
            <w:shd w:val="clear" w:color="auto" w:fill="auto"/>
            <w:noWrap/>
            <w:vAlign w:val="center"/>
            <w:hideMark/>
          </w:tcPr>
          <w:p w14:paraId="28C1B904"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1,208</w:t>
            </w:r>
          </w:p>
        </w:tc>
        <w:tc>
          <w:tcPr>
            <w:tcW w:w="1170" w:type="dxa"/>
            <w:vMerge/>
            <w:vAlign w:val="center"/>
          </w:tcPr>
          <w:p w14:paraId="2AE3A4FF" w14:textId="77777777" w:rsidR="00DA0441" w:rsidRPr="00D60A99" w:rsidRDefault="00DA0441" w:rsidP="00567DD3">
            <w:pPr>
              <w:jc w:val="center"/>
              <w:rPr>
                <w:rFonts w:ascii="Times New Roman" w:hAnsi="Times New Roman" w:cs="Times New Roman"/>
                <w:color w:val="000000" w:themeColor="text1"/>
                <w:sz w:val="16"/>
                <w:szCs w:val="16"/>
              </w:rPr>
            </w:pPr>
          </w:p>
        </w:tc>
        <w:tc>
          <w:tcPr>
            <w:tcW w:w="1350" w:type="dxa"/>
            <w:vAlign w:val="center"/>
          </w:tcPr>
          <w:p w14:paraId="7A3D9C9B"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16.4</w:t>
            </w:r>
          </w:p>
        </w:tc>
        <w:tc>
          <w:tcPr>
            <w:tcW w:w="900" w:type="dxa"/>
            <w:vAlign w:val="center"/>
          </w:tcPr>
          <w:p w14:paraId="28ADDB93"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N/A</w:t>
            </w:r>
          </w:p>
        </w:tc>
      </w:tr>
      <w:tr w:rsidR="00D60A99" w:rsidRPr="00D60A99" w14:paraId="143D25F9" w14:textId="77777777" w:rsidTr="00567DD3">
        <w:trPr>
          <w:trHeight w:val="260"/>
        </w:trPr>
        <w:tc>
          <w:tcPr>
            <w:tcW w:w="705" w:type="dxa"/>
            <w:shd w:val="clear" w:color="auto" w:fill="auto"/>
            <w:noWrap/>
            <w:vAlign w:val="center"/>
            <w:hideMark/>
          </w:tcPr>
          <w:p w14:paraId="5024BC90"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7</w:t>
            </w:r>
          </w:p>
        </w:tc>
        <w:tc>
          <w:tcPr>
            <w:tcW w:w="723" w:type="dxa"/>
            <w:shd w:val="clear" w:color="auto" w:fill="auto"/>
            <w:noWrap/>
            <w:vAlign w:val="center"/>
            <w:hideMark/>
          </w:tcPr>
          <w:p w14:paraId="2C62C072"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3</w:t>
            </w:r>
          </w:p>
        </w:tc>
        <w:tc>
          <w:tcPr>
            <w:tcW w:w="652" w:type="dxa"/>
            <w:vAlign w:val="center"/>
          </w:tcPr>
          <w:p w14:paraId="637DB0F9"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PB</w:t>
            </w:r>
          </w:p>
        </w:tc>
        <w:tc>
          <w:tcPr>
            <w:tcW w:w="1875" w:type="dxa"/>
            <w:shd w:val="clear" w:color="auto" w:fill="auto"/>
            <w:noWrap/>
            <w:vAlign w:val="center"/>
            <w:hideMark/>
          </w:tcPr>
          <w:p w14:paraId="67FB3F4F"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Ibrutinib 16 months</w:t>
            </w:r>
          </w:p>
        </w:tc>
        <w:tc>
          <w:tcPr>
            <w:tcW w:w="1260" w:type="dxa"/>
            <w:shd w:val="clear" w:color="auto" w:fill="auto"/>
            <w:noWrap/>
            <w:vAlign w:val="center"/>
            <w:hideMark/>
          </w:tcPr>
          <w:p w14:paraId="2CB8A765"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2,597</w:t>
            </w:r>
          </w:p>
        </w:tc>
        <w:tc>
          <w:tcPr>
            <w:tcW w:w="1350" w:type="dxa"/>
            <w:shd w:val="clear" w:color="auto" w:fill="auto"/>
            <w:noWrap/>
            <w:vAlign w:val="center"/>
            <w:hideMark/>
          </w:tcPr>
          <w:p w14:paraId="42FAA489"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2,072</w:t>
            </w:r>
          </w:p>
        </w:tc>
        <w:tc>
          <w:tcPr>
            <w:tcW w:w="1170" w:type="dxa"/>
            <w:vAlign w:val="center"/>
          </w:tcPr>
          <w:p w14:paraId="2486E341"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31,521</w:t>
            </w:r>
          </w:p>
        </w:tc>
        <w:tc>
          <w:tcPr>
            <w:tcW w:w="1350" w:type="dxa"/>
            <w:vAlign w:val="center"/>
          </w:tcPr>
          <w:p w14:paraId="65C8F307"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6.7</w:t>
            </w:r>
          </w:p>
        </w:tc>
        <w:tc>
          <w:tcPr>
            <w:tcW w:w="900" w:type="dxa"/>
            <w:vAlign w:val="center"/>
          </w:tcPr>
          <w:p w14:paraId="69203925"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N/A</w:t>
            </w:r>
          </w:p>
        </w:tc>
      </w:tr>
      <w:tr w:rsidR="00D60A99" w:rsidRPr="00D60A99" w14:paraId="2CF15611" w14:textId="77777777" w:rsidTr="00567DD3">
        <w:trPr>
          <w:trHeight w:val="260"/>
        </w:trPr>
        <w:tc>
          <w:tcPr>
            <w:tcW w:w="705" w:type="dxa"/>
            <w:shd w:val="clear" w:color="auto" w:fill="auto"/>
            <w:noWrap/>
            <w:vAlign w:val="center"/>
            <w:hideMark/>
          </w:tcPr>
          <w:p w14:paraId="08E679A8"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8</w:t>
            </w:r>
          </w:p>
        </w:tc>
        <w:tc>
          <w:tcPr>
            <w:tcW w:w="723" w:type="dxa"/>
            <w:shd w:val="clear" w:color="auto" w:fill="auto"/>
            <w:noWrap/>
            <w:vAlign w:val="center"/>
            <w:hideMark/>
          </w:tcPr>
          <w:p w14:paraId="0CD5DE5A"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1</w:t>
            </w:r>
          </w:p>
        </w:tc>
        <w:tc>
          <w:tcPr>
            <w:tcW w:w="652" w:type="dxa"/>
            <w:vAlign w:val="center"/>
          </w:tcPr>
          <w:p w14:paraId="03BFDEA4"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PB</w:t>
            </w:r>
          </w:p>
        </w:tc>
        <w:tc>
          <w:tcPr>
            <w:tcW w:w="1875" w:type="dxa"/>
            <w:shd w:val="clear" w:color="auto" w:fill="auto"/>
            <w:noWrap/>
            <w:vAlign w:val="center"/>
            <w:hideMark/>
          </w:tcPr>
          <w:p w14:paraId="72CCF90A"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Pretreatment Ibrutinib</w:t>
            </w:r>
          </w:p>
        </w:tc>
        <w:tc>
          <w:tcPr>
            <w:tcW w:w="1260" w:type="dxa"/>
            <w:shd w:val="clear" w:color="auto" w:fill="auto"/>
            <w:noWrap/>
            <w:vAlign w:val="center"/>
            <w:hideMark/>
          </w:tcPr>
          <w:p w14:paraId="3C7AEF11"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501</w:t>
            </w:r>
          </w:p>
        </w:tc>
        <w:tc>
          <w:tcPr>
            <w:tcW w:w="1350" w:type="dxa"/>
            <w:shd w:val="clear" w:color="auto" w:fill="auto"/>
            <w:noWrap/>
            <w:vAlign w:val="center"/>
            <w:hideMark/>
          </w:tcPr>
          <w:p w14:paraId="53323185"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269</w:t>
            </w:r>
          </w:p>
        </w:tc>
        <w:tc>
          <w:tcPr>
            <w:tcW w:w="1170" w:type="dxa"/>
            <w:vAlign w:val="center"/>
          </w:tcPr>
          <w:p w14:paraId="47A2AD0F"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1,527</w:t>
            </w:r>
          </w:p>
        </w:tc>
        <w:tc>
          <w:tcPr>
            <w:tcW w:w="1350" w:type="dxa"/>
            <w:vAlign w:val="center"/>
          </w:tcPr>
          <w:p w14:paraId="46D5E7F3"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435.3</w:t>
            </w:r>
          </w:p>
        </w:tc>
        <w:tc>
          <w:tcPr>
            <w:tcW w:w="900" w:type="dxa"/>
            <w:vAlign w:val="center"/>
          </w:tcPr>
          <w:p w14:paraId="17302468"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93.80</w:t>
            </w:r>
          </w:p>
        </w:tc>
      </w:tr>
      <w:tr w:rsidR="00D60A99" w:rsidRPr="00D60A99" w14:paraId="3DD85F25" w14:textId="77777777" w:rsidTr="00567DD3">
        <w:trPr>
          <w:trHeight w:val="260"/>
        </w:trPr>
        <w:tc>
          <w:tcPr>
            <w:tcW w:w="705" w:type="dxa"/>
            <w:shd w:val="clear" w:color="auto" w:fill="auto"/>
            <w:noWrap/>
            <w:vAlign w:val="center"/>
            <w:hideMark/>
          </w:tcPr>
          <w:p w14:paraId="417F8B10"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8</w:t>
            </w:r>
          </w:p>
        </w:tc>
        <w:tc>
          <w:tcPr>
            <w:tcW w:w="723" w:type="dxa"/>
            <w:shd w:val="clear" w:color="auto" w:fill="auto"/>
            <w:noWrap/>
            <w:vAlign w:val="center"/>
            <w:hideMark/>
          </w:tcPr>
          <w:p w14:paraId="5506CA31"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2</w:t>
            </w:r>
          </w:p>
        </w:tc>
        <w:tc>
          <w:tcPr>
            <w:tcW w:w="652" w:type="dxa"/>
            <w:vAlign w:val="center"/>
          </w:tcPr>
          <w:p w14:paraId="00878A6E"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PB</w:t>
            </w:r>
          </w:p>
        </w:tc>
        <w:tc>
          <w:tcPr>
            <w:tcW w:w="1875" w:type="dxa"/>
            <w:shd w:val="clear" w:color="auto" w:fill="auto"/>
            <w:noWrap/>
            <w:vAlign w:val="center"/>
            <w:hideMark/>
          </w:tcPr>
          <w:p w14:paraId="6AD63C28"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Ibrutinib 7 months</w:t>
            </w:r>
          </w:p>
        </w:tc>
        <w:tc>
          <w:tcPr>
            <w:tcW w:w="1260" w:type="dxa"/>
            <w:shd w:val="clear" w:color="auto" w:fill="auto"/>
            <w:noWrap/>
            <w:vAlign w:val="center"/>
            <w:hideMark/>
          </w:tcPr>
          <w:p w14:paraId="37CEAC17"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4,194</w:t>
            </w:r>
          </w:p>
        </w:tc>
        <w:tc>
          <w:tcPr>
            <w:tcW w:w="1350" w:type="dxa"/>
            <w:shd w:val="clear" w:color="auto" w:fill="auto"/>
            <w:noWrap/>
            <w:vAlign w:val="center"/>
            <w:hideMark/>
          </w:tcPr>
          <w:p w14:paraId="0EACC068"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1,721</w:t>
            </w:r>
          </w:p>
        </w:tc>
        <w:tc>
          <w:tcPr>
            <w:tcW w:w="1170" w:type="dxa"/>
            <w:vAlign w:val="center"/>
          </w:tcPr>
          <w:p w14:paraId="145E054A"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10,022</w:t>
            </w:r>
          </w:p>
        </w:tc>
        <w:tc>
          <w:tcPr>
            <w:tcW w:w="1350" w:type="dxa"/>
            <w:vAlign w:val="center"/>
          </w:tcPr>
          <w:p w14:paraId="75FDA180"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607</w:t>
            </w:r>
          </w:p>
        </w:tc>
        <w:tc>
          <w:tcPr>
            <w:tcW w:w="900" w:type="dxa"/>
            <w:vAlign w:val="center"/>
          </w:tcPr>
          <w:p w14:paraId="1E299F7E"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N/A</w:t>
            </w:r>
          </w:p>
        </w:tc>
      </w:tr>
      <w:tr w:rsidR="00D60A99" w:rsidRPr="00D60A99" w14:paraId="1AFE7C90" w14:textId="77777777" w:rsidTr="00567DD3">
        <w:trPr>
          <w:trHeight w:val="260"/>
        </w:trPr>
        <w:tc>
          <w:tcPr>
            <w:tcW w:w="705" w:type="dxa"/>
            <w:shd w:val="clear" w:color="auto" w:fill="auto"/>
            <w:noWrap/>
            <w:vAlign w:val="center"/>
            <w:hideMark/>
          </w:tcPr>
          <w:p w14:paraId="30C6D506"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8</w:t>
            </w:r>
          </w:p>
        </w:tc>
        <w:tc>
          <w:tcPr>
            <w:tcW w:w="723" w:type="dxa"/>
            <w:shd w:val="clear" w:color="auto" w:fill="auto"/>
            <w:noWrap/>
            <w:vAlign w:val="center"/>
            <w:hideMark/>
          </w:tcPr>
          <w:p w14:paraId="56E72510"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3</w:t>
            </w:r>
          </w:p>
        </w:tc>
        <w:tc>
          <w:tcPr>
            <w:tcW w:w="652" w:type="dxa"/>
            <w:vAlign w:val="center"/>
          </w:tcPr>
          <w:p w14:paraId="7C85C780"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PB</w:t>
            </w:r>
          </w:p>
        </w:tc>
        <w:tc>
          <w:tcPr>
            <w:tcW w:w="1875" w:type="dxa"/>
            <w:shd w:val="clear" w:color="auto" w:fill="auto"/>
            <w:noWrap/>
            <w:vAlign w:val="center"/>
            <w:hideMark/>
          </w:tcPr>
          <w:p w14:paraId="334380E6"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Ibrutinib 14 months</w:t>
            </w:r>
          </w:p>
        </w:tc>
        <w:tc>
          <w:tcPr>
            <w:tcW w:w="1260" w:type="dxa"/>
            <w:shd w:val="clear" w:color="auto" w:fill="auto"/>
            <w:noWrap/>
            <w:vAlign w:val="center"/>
            <w:hideMark/>
          </w:tcPr>
          <w:p w14:paraId="3FB4B3B9"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4,477</w:t>
            </w:r>
          </w:p>
        </w:tc>
        <w:tc>
          <w:tcPr>
            <w:tcW w:w="1350" w:type="dxa"/>
            <w:shd w:val="clear" w:color="auto" w:fill="auto"/>
            <w:noWrap/>
            <w:vAlign w:val="center"/>
            <w:hideMark/>
          </w:tcPr>
          <w:p w14:paraId="125F9494"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941</w:t>
            </w:r>
          </w:p>
        </w:tc>
        <w:tc>
          <w:tcPr>
            <w:tcW w:w="1170" w:type="dxa"/>
            <w:vAlign w:val="center"/>
          </w:tcPr>
          <w:p w14:paraId="77D3B978"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35,135</w:t>
            </w:r>
          </w:p>
        </w:tc>
        <w:tc>
          <w:tcPr>
            <w:tcW w:w="1350" w:type="dxa"/>
            <w:vAlign w:val="center"/>
          </w:tcPr>
          <w:p w14:paraId="107F2A48"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603.6</w:t>
            </w:r>
          </w:p>
        </w:tc>
        <w:tc>
          <w:tcPr>
            <w:tcW w:w="900" w:type="dxa"/>
            <w:vAlign w:val="center"/>
          </w:tcPr>
          <w:p w14:paraId="7985BF08"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N/A</w:t>
            </w:r>
          </w:p>
        </w:tc>
      </w:tr>
      <w:tr w:rsidR="00D60A99" w:rsidRPr="00D60A99" w14:paraId="4C7D7A40" w14:textId="77777777" w:rsidTr="00567DD3">
        <w:trPr>
          <w:trHeight w:val="260"/>
        </w:trPr>
        <w:tc>
          <w:tcPr>
            <w:tcW w:w="705" w:type="dxa"/>
            <w:shd w:val="clear" w:color="auto" w:fill="auto"/>
            <w:noWrap/>
            <w:vAlign w:val="center"/>
            <w:hideMark/>
          </w:tcPr>
          <w:p w14:paraId="2FFD4E18"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9</w:t>
            </w:r>
          </w:p>
        </w:tc>
        <w:tc>
          <w:tcPr>
            <w:tcW w:w="723" w:type="dxa"/>
            <w:shd w:val="clear" w:color="auto" w:fill="auto"/>
            <w:noWrap/>
            <w:vAlign w:val="center"/>
            <w:hideMark/>
          </w:tcPr>
          <w:p w14:paraId="23A9C7E3"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1</w:t>
            </w:r>
          </w:p>
        </w:tc>
        <w:tc>
          <w:tcPr>
            <w:tcW w:w="652" w:type="dxa"/>
            <w:vAlign w:val="center"/>
          </w:tcPr>
          <w:p w14:paraId="436608C9"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PB</w:t>
            </w:r>
          </w:p>
        </w:tc>
        <w:tc>
          <w:tcPr>
            <w:tcW w:w="1875" w:type="dxa"/>
            <w:shd w:val="clear" w:color="auto" w:fill="auto"/>
            <w:noWrap/>
            <w:vAlign w:val="center"/>
            <w:hideMark/>
          </w:tcPr>
          <w:p w14:paraId="3C6BDF23"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Peripheral blood CLL phase</w:t>
            </w:r>
          </w:p>
        </w:tc>
        <w:tc>
          <w:tcPr>
            <w:tcW w:w="1260" w:type="dxa"/>
            <w:shd w:val="clear" w:color="auto" w:fill="auto"/>
            <w:noWrap/>
            <w:vAlign w:val="center"/>
            <w:hideMark/>
          </w:tcPr>
          <w:p w14:paraId="115C0C92"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4,609</w:t>
            </w:r>
          </w:p>
        </w:tc>
        <w:tc>
          <w:tcPr>
            <w:tcW w:w="1350" w:type="dxa"/>
            <w:shd w:val="clear" w:color="auto" w:fill="auto"/>
            <w:noWrap/>
            <w:vAlign w:val="center"/>
            <w:hideMark/>
          </w:tcPr>
          <w:p w14:paraId="135B0220"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3,473</w:t>
            </w:r>
          </w:p>
        </w:tc>
        <w:tc>
          <w:tcPr>
            <w:tcW w:w="1170" w:type="dxa"/>
            <w:vAlign w:val="center"/>
          </w:tcPr>
          <w:p w14:paraId="256D4B3C"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14,113</w:t>
            </w:r>
          </w:p>
        </w:tc>
        <w:tc>
          <w:tcPr>
            <w:tcW w:w="1350" w:type="dxa"/>
            <w:vAlign w:val="center"/>
          </w:tcPr>
          <w:p w14:paraId="6CEC0CD1"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22.12</w:t>
            </w:r>
          </w:p>
        </w:tc>
        <w:tc>
          <w:tcPr>
            <w:tcW w:w="900" w:type="dxa"/>
            <w:vAlign w:val="center"/>
          </w:tcPr>
          <w:p w14:paraId="36B4ADD4"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56.00</w:t>
            </w:r>
          </w:p>
        </w:tc>
      </w:tr>
      <w:tr w:rsidR="00D60A99" w:rsidRPr="00D60A99" w14:paraId="44F970E0" w14:textId="77777777" w:rsidTr="00567DD3">
        <w:trPr>
          <w:trHeight w:val="260"/>
        </w:trPr>
        <w:tc>
          <w:tcPr>
            <w:tcW w:w="705" w:type="dxa"/>
            <w:shd w:val="clear" w:color="auto" w:fill="auto"/>
            <w:noWrap/>
            <w:vAlign w:val="center"/>
            <w:hideMark/>
          </w:tcPr>
          <w:p w14:paraId="04C7DA19"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9</w:t>
            </w:r>
          </w:p>
        </w:tc>
        <w:tc>
          <w:tcPr>
            <w:tcW w:w="723" w:type="dxa"/>
            <w:shd w:val="clear" w:color="auto" w:fill="auto"/>
            <w:noWrap/>
            <w:vAlign w:val="center"/>
            <w:hideMark/>
          </w:tcPr>
          <w:p w14:paraId="02069354"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2</w:t>
            </w:r>
          </w:p>
        </w:tc>
        <w:tc>
          <w:tcPr>
            <w:tcW w:w="652" w:type="dxa"/>
            <w:vAlign w:val="center"/>
          </w:tcPr>
          <w:p w14:paraId="514EB15E"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PB</w:t>
            </w:r>
          </w:p>
        </w:tc>
        <w:tc>
          <w:tcPr>
            <w:tcW w:w="1875" w:type="dxa"/>
            <w:shd w:val="clear" w:color="auto" w:fill="auto"/>
            <w:noWrap/>
            <w:vAlign w:val="center"/>
            <w:hideMark/>
          </w:tcPr>
          <w:p w14:paraId="52F7314D"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Peripheral blood Richter's phase</w:t>
            </w:r>
          </w:p>
        </w:tc>
        <w:tc>
          <w:tcPr>
            <w:tcW w:w="1260" w:type="dxa"/>
            <w:shd w:val="clear" w:color="auto" w:fill="auto"/>
            <w:noWrap/>
            <w:vAlign w:val="center"/>
            <w:hideMark/>
          </w:tcPr>
          <w:p w14:paraId="702B32C2"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5,692</w:t>
            </w:r>
          </w:p>
        </w:tc>
        <w:tc>
          <w:tcPr>
            <w:tcW w:w="1350" w:type="dxa"/>
            <w:shd w:val="clear" w:color="auto" w:fill="auto"/>
            <w:noWrap/>
            <w:vAlign w:val="center"/>
            <w:hideMark/>
          </w:tcPr>
          <w:p w14:paraId="444729DF"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4,160</w:t>
            </w:r>
          </w:p>
        </w:tc>
        <w:tc>
          <w:tcPr>
            <w:tcW w:w="1170" w:type="dxa"/>
            <w:vAlign w:val="center"/>
          </w:tcPr>
          <w:p w14:paraId="791E3157"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5,373</w:t>
            </w:r>
          </w:p>
        </w:tc>
        <w:tc>
          <w:tcPr>
            <w:tcW w:w="1350" w:type="dxa"/>
            <w:vAlign w:val="center"/>
          </w:tcPr>
          <w:p w14:paraId="1657D4F0"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45.56</w:t>
            </w:r>
          </w:p>
        </w:tc>
        <w:tc>
          <w:tcPr>
            <w:tcW w:w="900" w:type="dxa"/>
            <w:vAlign w:val="center"/>
          </w:tcPr>
          <w:p w14:paraId="4290B841"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N/A</w:t>
            </w:r>
          </w:p>
        </w:tc>
      </w:tr>
      <w:tr w:rsidR="00D60A99" w:rsidRPr="00D60A99" w14:paraId="6D6CB887" w14:textId="77777777" w:rsidTr="00567DD3">
        <w:trPr>
          <w:trHeight w:val="260"/>
        </w:trPr>
        <w:tc>
          <w:tcPr>
            <w:tcW w:w="705" w:type="dxa"/>
            <w:shd w:val="clear" w:color="auto" w:fill="auto"/>
            <w:noWrap/>
            <w:vAlign w:val="center"/>
            <w:hideMark/>
          </w:tcPr>
          <w:p w14:paraId="306C245B"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9</w:t>
            </w:r>
          </w:p>
        </w:tc>
        <w:tc>
          <w:tcPr>
            <w:tcW w:w="723" w:type="dxa"/>
            <w:shd w:val="clear" w:color="auto" w:fill="auto"/>
            <w:noWrap/>
            <w:vAlign w:val="center"/>
            <w:hideMark/>
          </w:tcPr>
          <w:p w14:paraId="3FBB8EE0"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3</w:t>
            </w:r>
          </w:p>
        </w:tc>
        <w:tc>
          <w:tcPr>
            <w:tcW w:w="652" w:type="dxa"/>
            <w:vAlign w:val="center"/>
          </w:tcPr>
          <w:p w14:paraId="1964FCB9"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BM</w:t>
            </w:r>
          </w:p>
        </w:tc>
        <w:tc>
          <w:tcPr>
            <w:tcW w:w="1875" w:type="dxa"/>
            <w:shd w:val="clear" w:color="auto" w:fill="auto"/>
            <w:noWrap/>
            <w:vAlign w:val="center"/>
            <w:hideMark/>
          </w:tcPr>
          <w:p w14:paraId="523FF469"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Bone marrow Richter's phase</w:t>
            </w:r>
          </w:p>
        </w:tc>
        <w:tc>
          <w:tcPr>
            <w:tcW w:w="1260" w:type="dxa"/>
            <w:shd w:val="clear" w:color="auto" w:fill="auto"/>
            <w:noWrap/>
            <w:vAlign w:val="center"/>
            <w:hideMark/>
          </w:tcPr>
          <w:p w14:paraId="7A904A9D"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7,480</w:t>
            </w:r>
          </w:p>
        </w:tc>
        <w:tc>
          <w:tcPr>
            <w:tcW w:w="1350" w:type="dxa"/>
            <w:shd w:val="clear" w:color="auto" w:fill="auto"/>
            <w:noWrap/>
            <w:vAlign w:val="center"/>
            <w:hideMark/>
          </w:tcPr>
          <w:p w14:paraId="0C8B6D83"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4,948</w:t>
            </w:r>
          </w:p>
        </w:tc>
        <w:tc>
          <w:tcPr>
            <w:tcW w:w="1170" w:type="dxa"/>
            <w:vAlign w:val="center"/>
          </w:tcPr>
          <w:p w14:paraId="5BF4F376"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17,085</w:t>
            </w:r>
          </w:p>
        </w:tc>
        <w:tc>
          <w:tcPr>
            <w:tcW w:w="1350" w:type="dxa"/>
            <w:vAlign w:val="center"/>
          </w:tcPr>
          <w:p w14:paraId="5F2CCA89"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45.56</w:t>
            </w:r>
          </w:p>
        </w:tc>
        <w:tc>
          <w:tcPr>
            <w:tcW w:w="900" w:type="dxa"/>
            <w:vAlign w:val="center"/>
          </w:tcPr>
          <w:p w14:paraId="5462CD59"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74.00</w:t>
            </w:r>
          </w:p>
        </w:tc>
      </w:tr>
      <w:tr w:rsidR="00D60A99" w:rsidRPr="00D60A99" w14:paraId="06950253" w14:textId="77777777" w:rsidTr="00567DD3">
        <w:trPr>
          <w:trHeight w:val="260"/>
        </w:trPr>
        <w:tc>
          <w:tcPr>
            <w:tcW w:w="705" w:type="dxa"/>
            <w:shd w:val="clear" w:color="auto" w:fill="auto"/>
            <w:noWrap/>
            <w:vAlign w:val="center"/>
            <w:hideMark/>
          </w:tcPr>
          <w:p w14:paraId="7EF01424"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9</w:t>
            </w:r>
          </w:p>
        </w:tc>
        <w:tc>
          <w:tcPr>
            <w:tcW w:w="723" w:type="dxa"/>
            <w:shd w:val="clear" w:color="auto" w:fill="auto"/>
            <w:noWrap/>
            <w:vAlign w:val="center"/>
            <w:hideMark/>
          </w:tcPr>
          <w:p w14:paraId="5B41A815"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4</w:t>
            </w:r>
          </w:p>
        </w:tc>
        <w:tc>
          <w:tcPr>
            <w:tcW w:w="652" w:type="dxa"/>
            <w:vAlign w:val="center"/>
          </w:tcPr>
          <w:p w14:paraId="00DA02FA"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LN</w:t>
            </w:r>
          </w:p>
        </w:tc>
        <w:tc>
          <w:tcPr>
            <w:tcW w:w="1875" w:type="dxa"/>
            <w:shd w:val="clear" w:color="auto" w:fill="auto"/>
            <w:noWrap/>
            <w:vAlign w:val="center"/>
            <w:hideMark/>
          </w:tcPr>
          <w:p w14:paraId="46B0E006"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Lymph node Richter's phase CD19</w:t>
            </w:r>
            <w:r w:rsidRPr="00D60A99">
              <w:rPr>
                <w:rFonts w:ascii="Times New Roman" w:eastAsia="Times New Roman" w:hAnsi="Times New Roman" w:cs="Times New Roman"/>
                <w:color w:val="000000" w:themeColor="text1"/>
                <w:sz w:val="16"/>
                <w:szCs w:val="16"/>
                <w:vertAlign w:val="superscript"/>
              </w:rPr>
              <w:t>+</w:t>
            </w:r>
            <w:r w:rsidRPr="00D60A99">
              <w:rPr>
                <w:rFonts w:ascii="Times New Roman" w:eastAsia="Times New Roman" w:hAnsi="Times New Roman" w:cs="Times New Roman"/>
                <w:color w:val="000000" w:themeColor="text1"/>
                <w:sz w:val="16"/>
                <w:szCs w:val="16"/>
              </w:rPr>
              <w:t xml:space="preserve"> cells</w:t>
            </w:r>
          </w:p>
        </w:tc>
        <w:tc>
          <w:tcPr>
            <w:tcW w:w="1260" w:type="dxa"/>
            <w:shd w:val="clear" w:color="auto" w:fill="auto"/>
            <w:noWrap/>
            <w:vAlign w:val="center"/>
            <w:hideMark/>
          </w:tcPr>
          <w:p w14:paraId="0A8F30A8"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24,945</w:t>
            </w:r>
          </w:p>
        </w:tc>
        <w:tc>
          <w:tcPr>
            <w:tcW w:w="1350" w:type="dxa"/>
            <w:shd w:val="clear" w:color="auto" w:fill="auto"/>
            <w:noWrap/>
            <w:vAlign w:val="center"/>
            <w:hideMark/>
          </w:tcPr>
          <w:p w14:paraId="324A603E"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15,215</w:t>
            </w:r>
          </w:p>
        </w:tc>
        <w:tc>
          <w:tcPr>
            <w:tcW w:w="1170" w:type="dxa"/>
            <w:vAlign w:val="center"/>
          </w:tcPr>
          <w:p w14:paraId="6A5B01BD"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N/A</w:t>
            </w:r>
          </w:p>
        </w:tc>
        <w:tc>
          <w:tcPr>
            <w:tcW w:w="1350" w:type="dxa"/>
            <w:vAlign w:val="center"/>
          </w:tcPr>
          <w:p w14:paraId="405E99FC"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45.56</w:t>
            </w:r>
          </w:p>
        </w:tc>
        <w:tc>
          <w:tcPr>
            <w:tcW w:w="900" w:type="dxa"/>
            <w:vAlign w:val="center"/>
          </w:tcPr>
          <w:p w14:paraId="084628B9"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100.00</w:t>
            </w:r>
          </w:p>
        </w:tc>
      </w:tr>
      <w:tr w:rsidR="00D60A99" w:rsidRPr="00D60A99" w14:paraId="0FF3DE84" w14:textId="77777777" w:rsidTr="00567DD3">
        <w:trPr>
          <w:trHeight w:val="260"/>
        </w:trPr>
        <w:tc>
          <w:tcPr>
            <w:tcW w:w="705" w:type="dxa"/>
            <w:shd w:val="clear" w:color="auto" w:fill="auto"/>
            <w:noWrap/>
            <w:vAlign w:val="center"/>
            <w:hideMark/>
          </w:tcPr>
          <w:p w14:paraId="1D86D7B6"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9</w:t>
            </w:r>
          </w:p>
        </w:tc>
        <w:tc>
          <w:tcPr>
            <w:tcW w:w="723" w:type="dxa"/>
            <w:shd w:val="clear" w:color="auto" w:fill="auto"/>
            <w:noWrap/>
            <w:vAlign w:val="center"/>
            <w:hideMark/>
          </w:tcPr>
          <w:p w14:paraId="590E2560"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4</w:t>
            </w:r>
          </w:p>
        </w:tc>
        <w:tc>
          <w:tcPr>
            <w:tcW w:w="652" w:type="dxa"/>
            <w:vAlign w:val="center"/>
          </w:tcPr>
          <w:p w14:paraId="0EBCBFED"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LN</w:t>
            </w:r>
          </w:p>
        </w:tc>
        <w:tc>
          <w:tcPr>
            <w:tcW w:w="1875" w:type="dxa"/>
            <w:shd w:val="clear" w:color="auto" w:fill="auto"/>
            <w:noWrap/>
            <w:vAlign w:val="center"/>
            <w:hideMark/>
          </w:tcPr>
          <w:p w14:paraId="7A1B97B9"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Lymph node Richter's phase CD19</w:t>
            </w:r>
            <w:r w:rsidRPr="00D60A99">
              <w:rPr>
                <w:rFonts w:ascii="Times New Roman" w:eastAsia="Times New Roman" w:hAnsi="Times New Roman" w:cs="Times New Roman"/>
                <w:color w:val="000000" w:themeColor="text1"/>
                <w:sz w:val="16"/>
                <w:szCs w:val="16"/>
                <w:vertAlign w:val="superscript"/>
              </w:rPr>
              <w:t>-</w:t>
            </w:r>
            <w:r w:rsidRPr="00D60A99">
              <w:rPr>
                <w:rFonts w:ascii="Times New Roman" w:eastAsia="Times New Roman" w:hAnsi="Times New Roman" w:cs="Times New Roman"/>
                <w:color w:val="000000" w:themeColor="text1"/>
                <w:sz w:val="16"/>
                <w:szCs w:val="16"/>
              </w:rPr>
              <w:t xml:space="preserve"> cells</w:t>
            </w:r>
          </w:p>
        </w:tc>
        <w:tc>
          <w:tcPr>
            <w:tcW w:w="1260" w:type="dxa"/>
            <w:shd w:val="clear" w:color="auto" w:fill="auto"/>
            <w:noWrap/>
            <w:vAlign w:val="center"/>
            <w:hideMark/>
          </w:tcPr>
          <w:p w14:paraId="0F988FFE"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4,888</w:t>
            </w:r>
          </w:p>
        </w:tc>
        <w:tc>
          <w:tcPr>
            <w:tcW w:w="1350" w:type="dxa"/>
            <w:shd w:val="clear" w:color="auto" w:fill="auto"/>
            <w:noWrap/>
            <w:vAlign w:val="center"/>
            <w:hideMark/>
          </w:tcPr>
          <w:p w14:paraId="6AD8B972"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eastAsia="Times New Roman" w:hAnsi="Times New Roman" w:cs="Times New Roman"/>
                <w:color w:val="000000" w:themeColor="text1"/>
                <w:sz w:val="16"/>
                <w:szCs w:val="16"/>
              </w:rPr>
              <w:t>2,599</w:t>
            </w:r>
          </w:p>
        </w:tc>
        <w:tc>
          <w:tcPr>
            <w:tcW w:w="1170" w:type="dxa"/>
            <w:vAlign w:val="center"/>
          </w:tcPr>
          <w:p w14:paraId="174F30C5" w14:textId="77777777" w:rsidR="00DA0441" w:rsidRPr="00D60A99" w:rsidRDefault="00DA0441" w:rsidP="00567DD3">
            <w:pPr>
              <w:jc w:val="center"/>
              <w:rPr>
                <w:rFonts w:ascii="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N/A</w:t>
            </w:r>
          </w:p>
        </w:tc>
        <w:tc>
          <w:tcPr>
            <w:tcW w:w="1350" w:type="dxa"/>
            <w:vAlign w:val="center"/>
          </w:tcPr>
          <w:p w14:paraId="540EADD6"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45.56</w:t>
            </w:r>
          </w:p>
        </w:tc>
        <w:tc>
          <w:tcPr>
            <w:tcW w:w="900" w:type="dxa"/>
            <w:vAlign w:val="center"/>
          </w:tcPr>
          <w:p w14:paraId="522FD464" w14:textId="77777777" w:rsidR="00DA0441" w:rsidRPr="00D60A99" w:rsidRDefault="00DA0441" w:rsidP="00567DD3">
            <w:pPr>
              <w:jc w:val="center"/>
              <w:rPr>
                <w:rFonts w:ascii="Times New Roman" w:eastAsia="Times New Roman" w:hAnsi="Times New Roman" w:cs="Times New Roman"/>
                <w:color w:val="000000" w:themeColor="text1"/>
                <w:sz w:val="16"/>
                <w:szCs w:val="16"/>
              </w:rPr>
            </w:pPr>
            <w:r w:rsidRPr="00D60A99">
              <w:rPr>
                <w:rFonts w:ascii="Times New Roman" w:hAnsi="Times New Roman" w:cs="Times New Roman"/>
                <w:color w:val="000000" w:themeColor="text1"/>
                <w:sz w:val="16"/>
                <w:szCs w:val="16"/>
              </w:rPr>
              <w:t>100.00</w:t>
            </w:r>
          </w:p>
        </w:tc>
      </w:tr>
    </w:tbl>
    <w:p w14:paraId="19AC2DCB" w14:textId="61359BE8" w:rsidR="00DA0441" w:rsidRPr="00D60A99" w:rsidRDefault="00DA0441" w:rsidP="00DA0441">
      <w:pPr>
        <w:pStyle w:val="Legend"/>
        <w:rPr>
          <w:color w:val="000000" w:themeColor="text1"/>
          <w:sz w:val="18"/>
          <w:szCs w:val="18"/>
        </w:rPr>
      </w:pPr>
      <w:r w:rsidRPr="00D60A99">
        <w:rPr>
          <w:color w:val="000000" w:themeColor="text1"/>
          <w:sz w:val="18"/>
          <w:szCs w:val="18"/>
        </w:rPr>
        <w:t xml:space="preserve">PB: peripheral blood; BM: bone marrow; LN: lymph node; W&amp;W: watchful waiting; FCR: fludarabine, cyclophosphamide, rituximab; RIC: reduced-intensity conditioning; </w:t>
      </w:r>
      <w:proofErr w:type="spellStart"/>
      <w:r w:rsidRPr="00D60A99">
        <w:rPr>
          <w:color w:val="000000" w:themeColor="text1"/>
          <w:sz w:val="18"/>
          <w:szCs w:val="18"/>
        </w:rPr>
        <w:t>mtDNA</w:t>
      </w:r>
      <w:proofErr w:type="spellEnd"/>
      <w:r w:rsidRPr="00D60A99">
        <w:rPr>
          <w:color w:val="000000" w:themeColor="text1"/>
          <w:sz w:val="18"/>
          <w:szCs w:val="18"/>
        </w:rPr>
        <w:t>: mitochondrial DNA; WBC: white blood cell count</w:t>
      </w:r>
      <w:r w:rsidR="003E5BAE">
        <w:rPr>
          <w:color w:val="000000" w:themeColor="text1"/>
          <w:sz w:val="18"/>
          <w:szCs w:val="18"/>
        </w:rPr>
        <w:t>; N/A: not available</w:t>
      </w:r>
    </w:p>
    <w:p w14:paraId="7D65954A" w14:textId="77777777" w:rsidR="00DA0441" w:rsidRPr="00D60A99" w:rsidRDefault="00DA0441" w:rsidP="00DA0441">
      <w:pPr>
        <w:pStyle w:val="Legend"/>
        <w:rPr>
          <w:color w:val="000000" w:themeColor="text1"/>
          <w:sz w:val="18"/>
          <w:szCs w:val="18"/>
        </w:rPr>
      </w:pPr>
      <w:r w:rsidRPr="00D60A99">
        <w:rPr>
          <w:color w:val="000000" w:themeColor="text1"/>
          <w:sz w:val="18"/>
          <w:szCs w:val="18"/>
        </w:rPr>
        <w:t xml:space="preserve">*Due to low coverage </w:t>
      </w:r>
      <w:proofErr w:type="spellStart"/>
      <w:r w:rsidRPr="00D60A99">
        <w:rPr>
          <w:color w:val="000000" w:themeColor="text1"/>
          <w:sz w:val="18"/>
          <w:szCs w:val="18"/>
        </w:rPr>
        <w:t>mtDNA</w:t>
      </w:r>
      <w:proofErr w:type="spellEnd"/>
      <w:r w:rsidRPr="00D60A99">
        <w:rPr>
          <w:color w:val="000000" w:themeColor="text1"/>
          <w:sz w:val="18"/>
          <w:szCs w:val="18"/>
        </w:rPr>
        <w:t xml:space="preserve"> cut-off of 10x was used</w:t>
      </w:r>
    </w:p>
    <w:p w14:paraId="66753502" w14:textId="436ABF09" w:rsidR="00AD2F3F" w:rsidRPr="00D60A99" w:rsidRDefault="00AD2F3F">
      <w:pPr>
        <w:rPr>
          <w:rFonts w:ascii="Times New Roman" w:hAnsi="Times New Roman" w:cs="Times New Roman"/>
          <w:color w:val="000000" w:themeColor="text1"/>
        </w:rPr>
      </w:pPr>
      <w:r w:rsidRPr="00D60A99">
        <w:rPr>
          <w:rFonts w:ascii="Times New Roman" w:hAnsi="Times New Roman" w:cs="Times New Roman"/>
          <w:color w:val="000000" w:themeColor="text1"/>
        </w:rPr>
        <w:br w:type="page"/>
      </w:r>
    </w:p>
    <w:p w14:paraId="1B95BB00" w14:textId="77777777" w:rsidR="00AD2F3F" w:rsidRPr="00D60A99" w:rsidRDefault="00AD2F3F" w:rsidP="00AD2F3F">
      <w:pPr>
        <w:rPr>
          <w:rFonts w:ascii="Times New Roman" w:hAnsi="Times New Roman" w:cs="Times New Roman"/>
          <w:b/>
          <w:bCs/>
          <w:color w:val="000000" w:themeColor="text1"/>
        </w:rPr>
      </w:pPr>
      <w:r w:rsidRPr="00D60A99">
        <w:rPr>
          <w:rFonts w:ascii="Times New Roman" w:hAnsi="Times New Roman" w:cs="Times New Roman"/>
          <w:b/>
          <w:bCs/>
          <w:color w:val="000000" w:themeColor="text1"/>
        </w:rPr>
        <w:lastRenderedPageBreak/>
        <w:t>Supplementary Figures</w:t>
      </w:r>
    </w:p>
    <w:p w14:paraId="05E44189" w14:textId="77777777" w:rsidR="008C7E98" w:rsidRPr="00D60A99" w:rsidRDefault="008C7E98" w:rsidP="008C7E98">
      <w:pPr>
        <w:pStyle w:val="Paragraph"/>
        <w:ind w:firstLine="0"/>
        <w:rPr>
          <w:color w:val="000000" w:themeColor="text1"/>
          <w:sz w:val="20"/>
          <w:szCs w:val="20"/>
        </w:rPr>
      </w:pPr>
    </w:p>
    <w:p w14:paraId="20B2D699" w14:textId="3E4C0773" w:rsidR="008C7E98" w:rsidRPr="00D60A99" w:rsidRDefault="008C7E98" w:rsidP="008C7E98">
      <w:pPr>
        <w:pStyle w:val="Acknowledgement"/>
        <w:rPr>
          <w:color w:val="000000" w:themeColor="text1"/>
        </w:rPr>
      </w:pPr>
      <w:r w:rsidRPr="00D60A99">
        <w:rPr>
          <w:b/>
          <w:color w:val="000000" w:themeColor="text1"/>
        </w:rPr>
        <w:t>Suppl. Fig. 1</w:t>
      </w:r>
      <w:r w:rsidRPr="00D60A99">
        <w:rPr>
          <w:color w:val="000000" w:themeColor="text1"/>
        </w:rPr>
        <w:t xml:space="preserve">. </w:t>
      </w:r>
      <w:r w:rsidR="0089498B" w:rsidRPr="00D60A99">
        <w:rPr>
          <w:color w:val="000000" w:themeColor="text1"/>
        </w:rPr>
        <w:t>Single cell chromatin profiles</w:t>
      </w:r>
      <w:r w:rsidRPr="00D60A99">
        <w:rPr>
          <w:color w:val="000000" w:themeColor="text1"/>
        </w:rPr>
        <w:t xml:space="preserve"> </w:t>
      </w:r>
      <w:r w:rsidR="00D25C4F" w:rsidRPr="00D60A99">
        <w:rPr>
          <w:color w:val="000000" w:themeColor="text1"/>
        </w:rPr>
        <w:t>of CLL cells</w:t>
      </w:r>
      <w:r w:rsidRPr="00D60A99">
        <w:rPr>
          <w:color w:val="000000" w:themeColor="text1"/>
        </w:rPr>
        <w:t xml:space="preserve">. </w:t>
      </w:r>
    </w:p>
    <w:p w14:paraId="07DF7D68" w14:textId="43A3B6D0" w:rsidR="008C7E98" w:rsidRPr="00D60A99" w:rsidRDefault="008C7E98" w:rsidP="008C7E98">
      <w:pPr>
        <w:pStyle w:val="Paragraph"/>
        <w:ind w:firstLine="0"/>
        <w:rPr>
          <w:color w:val="000000" w:themeColor="text1"/>
        </w:rPr>
      </w:pPr>
    </w:p>
    <w:p w14:paraId="7AA91D08" w14:textId="177DE08A" w:rsidR="00BA5F2C" w:rsidRPr="00D60A99" w:rsidRDefault="00DE788A" w:rsidP="00050723">
      <w:pPr>
        <w:pStyle w:val="Paragraph"/>
        <w:ind w:firstLine="0"/>
        <w:jc w:val="center"/>
        <w:rPr>
          <w:color w:val="000000" w:themeColor="text1"/>
        </w:rPr>
      </w:pPr>
      <w:r w:rsidRPr="00D60A99">
        <w:rPr>
          <w:noProof/>
          <w:color w:val="000000" w:themeColor="text1"/>
        </w:rPr>
        <w:drawing>
          <wp:inline distT="0" distB="0" distL="0" distR="0" wp14:anchorId="531BCFFE" wp14:editId="1F3D5A5C">
            <wp:extent cx="5943600" cy="512127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121275"/>
                    </a:xfrm>
                    <a:prstGeom prst="rect">
                      <a:avLst/>
                    </a:prstGeom>
                  </pic:spPr>
                </pic:pic>
              </a:graphicData>
            </a:graphic>
          </wp:inline>
        </w:drawing>
      </w:r>
    </w:p>
    <w:p w14:paraId="23DABFBF" w14:textId="52EC05B4" w:rsidR="008C7E98" w:rsidRPr="00D60A99" w:rsidRDefault="008C7E98" w:rsidP="008C7E98">
      <w:pPr>
        <w:pStyle w:val="Paragraph"/>
        <w:ind w:firstLine="0"/>
        <w:rPr>
          <w:color w:val="000000" w:themeColor="text1"/>
        </w:rPr>
      </w:pPr>
    </w:p>
    <w:p w14:paraId="03019CF5" w14:textId="656BEACC" w:rsidR="005525FB" w:rsidRPr="00D60A99" w:rsidRDefault="008C7E98" w:rsidP="00D03149">
      <w:pPr>
        <w:pStyle w:val="Paragraph"/>
        <w:spacing w:line="276" w:lineRule="auto"/>
        <w:ind w:firstLine="0"/>
        <w:rPr>
          <w:color w:val="000000" w:themeColor="text1"/>
          <w:sz w:val="18"/>
          <w:szCs w:val="18"/>
        </w:rPr>
      </w:pPr>
      <w:r w:rsidRPr="00D60A99">
        <w:rPr>
          <w:b/>
          <w:bCs/>
          <w:color w:val="000000" w:themeColor="text1"/>
          <w:sz w:val="18"/>
          <w:szCs w:val="18"/>
        </w:rPr>
        <w:t xml:space="preserve">(A-C) </w:t>
      </w:r>
      <w:r w:rsidRPr="00D60A99">
        <w:rPr>
          <w:color w:val="000000" w:themeColor="text1"/>
          <w:sz w:val="18"/>
          <w:szCs w:val="18"/>
        </w:rPr>
        <w:t>Transcription start site (TSS) enrichment score and number of unique fragments per cell</w:t>
      </w:r>
      <w:r w:rsidR="004C5AE8" w:rsidRPr="00D60A99">
        <w:rPr>
          <w:color w:val="000000" w:themeColor="text1"/>
          <w:sz w:val="18"/>
          <w:szCs w:val="18"/>
        </w:rPr>
        <w:t xml:space="preserve">. The </w:t>
      </w:r>
      <w:r w:rsidR="004951A0" w:rsidRPr="00D60A99">
        <w:rPr>
          <w:color w:val="000000" w:themeColor="text1"/>
          <w:sz w:val="18"/>
          <w:szCs w:val="18"/>
        </w:rPr>
        <w:t>example</w:t>
      </w:r>
      <w:r w:rsidR="00826CD9" w:rsidRPr="00D60A99">
        <w:rPr>
          <w:color w:val="000000" w:themeColor="text1"/>
          <w:sz w:val="18"/>
          <w:szCs w:val="18"/>
        </w:rPr>
        <w:t xml:space="preserve"> </w:t>
      </w:r>
      <w:r w:rsidR="004C5AE8" w:rsidRPr="00D60A99">
        <w:rPr>
          <w:color w:val="000000" w:themeColor="text1"/>
          <w:sz w:val="18"/>
          <w:szCs w:val="18"/>
        </w:rPr>
        <w:t xml:space="preserve">of </w:t>
      </w:r>
      <w:r w:rsidRPr="00D60A99">
        <w:rPr>
          <w:color w:val="000000" w:themeColor="text1"/>
          <w:sz w:val="18"/>
          <w:szCs w:val="18"/>
        </w:rPr>
        <w:t xml:space="preserve">CLL9 </w:t>
      </w:r>
      <w:r w:rsidR="004C5AE8" w:rsidRPr="00D60A99">
        <w:rPr>
          <w:color w:val="000000" w:themeColor="text1"/>
          <w:sz w:val="18"/>
          <w:szCs w:val="18"/>
        </w:rPr>
        <w:t xml:space="preserve">is shown </w:t>
      </w:r>
      <w:r w:rsidRPr="00D60A99">
        <w:rPr>
          <w:color w:val="000000" w:themeColor="text1"/>
          <w:sz w:val="18"/>
          <w:szCs w:val="18"/>
        </w:rPr>
        <w:t xml:space="preserve">at time of Richter’s syndrome for peripheral blood, bone marrow and lymph node. </w:t>
      </w:r>
      <w:r w:rsidRPr="00D60A99">
        <w:rPr>
          <w:b/>
          <w:bCs/>
          <w:color w:val="000000" w:themeColor="text1"/>
          <w:sz w:val="18"/>
          <w:szCs w:val="18"/>
        </w:rPr>
        <w:br/>
        <w:t>(D)</w:t>
      </w:r>
      <w:r w:rsidRPr="00D60A99">
        <w:rPr>
          <w:color w:val="000000" w:themeColor="text1"/>
          <w:sz w:val="18"/>
          <w:szCs w:val="18"/>
        </w:rPr>
        <w:t xml:space="preserve"> </w:t>
      </w:r>
      <w:r w:rsidR="008F74A9" w:rsidRPr="00D60A99">
        <w:rPr>
          <w:color w:val="000000" w:themeColor="text1"/>
          <w:sz w:val="18"/>
          <w:szCs w:val="18"/>
        </w:rPr>
        <w:t xml:space="preserve">Browser tracks of </w:t>
      </w:r>
      <w:r w:rsidR="008F74A9" w:rsidRPr="00D60A99">
        <w:rPr>
          <w:i/>
          <w:iCs/>
          <w:color w:val="000000" w:themeColor="text1"/>
          <w:sz w:val="18"/>
          <w:szCs w:val="18"/>
        </w:rPr>
        <w:t>CD5</w:t>
      </w:r>
      <w:r w:rsidR="008F74A9" w:rsidRPr="00D60A99">
        <w:rPr>
          <w:color w:val="000000" w:themeColor="text1"/>
          <w:sz w:val="18"/>
          <w:szCs w:val="18"/>
        </w:rPr>
        <w:t xml:space="preserve"> gene shown for healthy donor (10k peripheral blood mononuclear cells from 10x Genomics)</w:t>
      </w:r>
      <w:r w:rsidR="00EA081C" w:rsidRPr="00D60A99">
        <w:rPr>
          <w:color w:val="000000" w:themeColor="text1"/>
          <w:sz w:val="18"/>
          <w:szCs w:val="18"/>
        </w:rPr>
        <w:t xml:space="preserve"> and CLL3</w:t>
      </w:r>
      <w:r w:rsidR="00446D2C" w:rsidRPr="00D60A99">
        <w:rPr>
          <w:color w:val="000000" w:themeColor="text1"/>
          <w:sz w:val="18"/>
          <w:szCs w:val="18"/>
        </w:rPr>
        <w:t xml:space="preserve"> after treatment with</w:t>
      </w:r>
      <w:r w:rsidR="00EA081C" w:rsidRPr="00D60A99">
        <w:rPr>
          <w:color w:val="000000" w:themeColor="text1"/>
          <w:sz w:val="18"/>
          <w:szCs w:val="18"/>
        </w:rPr>
        <w:t xml:space="preserve"> </w:t>
      </w:r>
      <w:r w:rsidR="00446D2C" w:rsidRPr="00D60A99">
        <w:rPr>
          <w:color w:val="000000" w:themeColor="text1"/>
          <w:sz w:val="18"/>
          <w:szCs w:val="18"/>
        </w:rPr>
        <w:t>fludarabine, cyclophosphamide, rituximab (FCR) (post-FCR)</w:t>
      </w:r>
      <w:r w:rsidR="00EA081C" w:rsidRPr="00D60A99">
        <w:rPr>
          <w:color w:val="000000" w:themeColor="text1"/>
          <w:sz w:val="18"/>
          <w:szCs w:val="18"/>
        </w:rPr>
        <w:t>.</w:t>
      </w:r>
      <w:r w:rsidR="00446D2C" w:rsidRPr="00D60A99">
        <w:rPr>
          <w:color w:val="000000" w:themeColor="text1"/>
          <w:sz w:val="18"/>
          <w:szCs w:val="18"/>
        </w:rPr>
        <w:t xml:space="preserve"> </w:t>
      </w:r>
      <w:r w:rsidR="005525FB" w:rsidRPr="00D60A99">
        <w:rPr>
          <w:color w:val="000000" w:themeColor="text1"/>
          <w:sz w:val="18"/>
          <w:szCs w:val="18"/>
        </w:rPr>
        <w:br/>
      </w:r>
      <w:r w:rsidR="005525FB" w:rsidRPr="00D60A99">
        <w:rPr>
          <w:b/>
          <w:bCs/>
          <w:color w:val="000000" w:themeColor="text1"/>
          <w:sz w:val="18"/>
          <w:szCs w:val="18"/>
        </w:rPr>
        <w:t>(E)</w:t>
      </w:r>
      <w:r w:rsidR="0018100B" w:rsidRPr="00D60A99">
        <w:rPr>
          <w:color w:val="000000" w:themeColor="text1"/>
          <w:sz w:val="18"/>
          <w:szCs w:val="18"/>
        </w:rPr>
        <w:t xml:space="preserve"> </w:t>
      </w:r>
      <w:r w:rsidR="008E04AD" w:rsidRPr="00D60A99">
        <w:rPr>
          <w:color w:val="000000" w:themeColor="text1"/>
          <w:sz w:val="18"/>
          <w:szCs w:val="18"/>
        </w:rPr>
        <w:t xml:space="preserve">Estimated CLL purity </w:t>
      </w:r>
      <w:r w:rsidR="00F27BF4" w:rsidRPr="00D60A99">
        <w:rPr>
          <w:color w:val="000000" w:themeColor="text1"/>
          <w:sz w:val="18"/>
          <w:szCs w:val="18"/>
        </w:rPr>
        <w:t>using cluster</w:t>
      </w:r>
      <w:r w:rsidR="00E25B11" w:rsidRPr="00D60A99">
        <w:rPr>
          <w:color w:val="000000" w:themeColor="text1"/>
          <w:sz w:val="18"/>
          <w:szCs w:val="18"/>
        </w:rPr>
        <w:t>ing</w:t>
      </w:r>
      <w:r w:rsidR="00F27BF4" w:rsidRPr="00D60A99">
        <w:rPr>
          <w:color w:val="000000" w:themeColor="text1"/>
          <w:sz w:val="18"/>
          <w:szCs w:val="18"/>
        </w:rPr>
        <w:t xml:space="preserve"> </w:t>
      </w:r>
      <w:r w:rsidR="00E25B11" w:rsidRPr="00D60A99">
        <w:rPr>
          <w:color w:val="000000" w:themeColor="text1"/>
          <w:sz w:val="18"/>
          <w:szCs w:val="18"/>
        </w:rPr>
        <w:t>of</w:t>
      </w:r>
      <w:r w:rsidR="00F27BF4" w:rsidRPr="00D60A99">
        <w:rPr>
          <w:color w:val="000000" w:themeColor="text1"/>
          <w:sz w:val="18"/>
          <w:szCs w:val="18"/>
        </w:rPr>
        <w:t xml:space="preserve"> </w:t>
      </w:r>
      <w:r w:rsidR="002D3A9F">
        <w:rPr>
          <w:color w:val="000000" w:themeColor="text1"/>
          <w:sz w:val="18"/>
          <w:szCs w:val="18"/>
        </w:rPr>
        <w:t xml:space="preserve">single cell </w:t>
      </w:r>
      <w:r w:rsidR="00F27BF4" w:rsidRPr="00D60A99">
        <w:rPr>
          <w:color w:val="000000" w:themeColor="text1"/>
          <w:sz w:val="18"/>
          <w:szCs w:val="18"/>
        </w:rPr>
        <w:t xml:space="preserve">chromatin </w:t>
      </w:r>
      <w:r w:rsidR="002D3A9F">
        <w:rPr>
          <w:color w:val="000000" w:themeColor="text1"/>
          <w:sz w:val="18"/>
          <w:szCs w:val="18"/>
        </w:rPr>
        <w:t xml:space="preserve">accessibility </w:t>
      </w:r>
      <w:r w:rsidR="00F27BF4" w:rsidRPr="00D60A99">
        <w:rPr>
          <w:color w:val="000000" w:themeColor="text1"/>
          <w:sz w:val="18"/>
          <w:szCs w:val="18"/>
        </w:rPr>
        <w:t>data</w:t>
      </w:r>
      <w:r w:rsidR="008E04AD" w:rsidRPr="00D60A99">
        <w:rPr>
          <w:color w:val="000000" w:themeColor="text1"/>
          <w:sz w:val="18"/>
          <w:szCs w:val="18"/>
        </w:rPr>
        <w:t xml:space="preserve"> </w:t>
      </w:r>
      <w:r w:rsidR="007E1131" w:rsidRPr="00D60A99">
        <w:rPr>
          <w:color w:val="000000" w:themeColor="text1"/>
          <w:sz w:val="18"/>
          <w:szCs w:val="18"/>
        </w:rPr>
        <w:t xml:space="preserve">and gene activity scores of </w:t>
      </w:r>
      <w:r w:rsidR="007E1131" w:rsidRPr="00D60A99">
        <w:rPr>
          <w:i/>
          <w:iCs/>
          <w:color w:val="000000" w:themeColor="text1"/>
          <w:sz w:val="18"/>
          <w:szCs w:val="18"/>
        </w:rPr>
        <w:t>CD5</w:t>
      </w:r>
      <w:r w:rsidR="007E1131" w:rsidRPr="00D60A99">
        <w:rPr>
          <w:color w:val="000000" w:themeColor="text1"/>
          <w:sz w:val="18"/>
          <w:szCs w:val="18"/>
        </w:rPr>
        <w:t xml:space="preserve"> </w:t>
      </w:r>
      <w:r w:rsidR="00A81CEE" w:rsidRPr="00D60A99">
        <w:rPr>
          <w:color w:val="000000" w:themeColor="text1"/>
          <w:sz w:val="18"/>
          <w:szCs w:val="18"/>
        </w:rPr>
        <w:t>in</w:t>
      </w:r>
      <w:r w:rsidR="008E04AD" w:rsidRPr="00D60A99">
        <w:rPr>
          <w:color w:val="000000" w:themeColor="text1"/>
          <w:sz w:val="18"/>
          <w:szCs w:val="18"/>
        </w:rPr>
        <w:t xml:space="preserve"> </w:t>
      </w:r>
      <w:r w:rsidR="001C7D45" w:rsidRPr="00D60A99">
        <w:rPr>
          <w:color w:val="000000" w:themeColor="text1"/>
          <w:sz w:val="18"/>
          <w:szCs w:val="18"/>
        </w:rPr>
        <w:t>CLL/</w:t>
      </w:r>
      <w:r w:rsidR="008E04AD" w:rsidRPr="00D60A99">
        <w:rPr>
          <w:color w:val="000000" w:themeColor="text1"/>
          <w:sz w:val="18"/>
          <w:szCs w:val="18"/>
        </w:rPr>
        <w:t xml:space="preserve">B cell compartment across samples of cohort. </w:t>
      </w:r>
      <w:r w:rsidR="008E04AD" w:rsidRPr="00D60A99">
        <w:rPr>
          <w:color w:val="000000" w:themeColor="text1"/>
          <w:sz w:val="18"/>
          <w:szCs w:val="18"/>
        </w:rPr>
        <w:br/>
      </w:r>
      <w:r w:rsidR="00296F51" w:rsidRPr="00D60A99">
        <w:rPr>
          <w:b/>
          <w:bCs/>
          <w:color w:val="000000" w:themeColor="text1"/>
          <w:sz w:val="18"/>
          <w:szCs w:val="18"/>
        </w:rPr>
        <w:t>(F)</w:t>
      </w:r>
      <w:r w:rsidR="00296F51" w:rsidRPr="00D60A99">
        <w:rPr>
          <w:color w:val="000000" w:themeColor="text1"/>
          <w:sz w:val="18"/>
          <w:szCs w:val="18"/>
        </w:rPr>
        <w:t xml:space="preserve"> </w:t>
      </w:r>
      <w:r w:rsidR="00FF7701" w:rsidRPr="00D60A99">
        <w:rPr>
          <w:color w:val="000000" w:themeColor="text1"/>
          <w:sz w:val="18"/>
          <w:szCs w:val="18"/>
        </w:rPr>
        <w:t>UMAP representation of single cell chromatin accessibility profiles obtained from CLL3.</w:t>
      </w:r>
      <w:r w:rsidR="00FF7701" w:rsidRPr="00D60A99">
        <w:rPr>
          <w:color w:val="000000" w:themeColor="text1"/>
          <w:sz w:val="18"/>
          <w:szCs w:val="18"/>
        </w:rPr>
        <w:br/>
      </w:r>
      <w:r w:rsidR="00DC77CA" w:rsidRPr="00D60A99">
        <w:rPr>
          <w:b/>
          <w:bCs/>
          <w:color w:val="000000" w:themeColor="text1"/>
          <w:sz w:val="18"/>
          <w:szCs w:val="18"/>
        </w:rPr>
        <w:t>(G)</w:t>
      </w:r>
      <w:r w:rsidR="00DC77CA" w:rsidRPr="00D60A99">
        <w:rPr>
          <w:color w:val="000000" w:themeColor="text1"/>
          <w:sz w:val="18"/>
          <w:szCs w:val="18"/>
        </w:rPr>
        <w:t xml:space="preserve"> </w:t>
      </w:r>
      <w:r w:rsidR="002429B1" w:rsidRPr="00D60A99">
        <w:rPr>
          <w:color w:val="000000" w:themeColor="text1"/>
          <w:sz w:val="18"/>
          <w:szCs w:val="18"/>
        </w:rPr>
        <w:t xml:space="preserve">Gene activity scores for </w:t>
      </w:r>
      <w:r w:rsidR="002429B1" w:rsidRPr="00D60A99">
        <w:rPr>
          <w:i/>
          <w:iCs/>
          <w:color w:val="000000" w:themeColor="text1"/>
          <w:sz w:val="18"/>
          <w:szCs w:val="18"/>
        </w:rPr>
        <w:t>PAX5</w:t>
      </w:r>
      <w:r w:rsidR="002429B1" w:rsidRPr="00D60A99">
        <w:rPr>
          <w:color w:val="000000" w:themeColor="text1"/>
          <w:sz w:val="18"/>
          <w:szCs w:val="18"/>
        </w:rPr>
        <w:t xml:space="preserve"> and </w:t>
      </w:r>
      <w:r w:rsidR="002429B1" w:rsidRPr="00D60A99">
        <w:rPr>
          <w:i/>
          <w:iCs/>
          <w:color w:val="000000" w:themeColor="text1"/>
          <w:sz w:val="18"/>
          <w:szCs w:val="18"/>
        </w:rPr>
        <w:t>CD5</w:t>
      </w:r>
      <w:r w:rsidR="002429B1" w:rsidRPr="00D60A99">
        <w:rPr>
          <w:color w:val="000000" w:themeColor="text1"/>
          <w:sz w:val="18"/>
          <w:szCs w:val="18"/>
        </w:rPr>
        <w:t xml:space="preserve"> imputed from </w:t>
      </w:r>
      <w:r w:rsidR="0093478B">
        <w:rPr>
          <w:color w:val="000000" w:themeColor="text1"/>
          <w:sz w:val="18"/>
          <w:szCs w:val="18"/>
        </w:rPr>
        <w:t xml:space="preserve">single cell </w:t>
      </w:r>
      <w:r w:rsidR="002429B1" w:rsidRPr="00D60A99">
        <w:rPr>
          <w:color w:val="000000" w:themeColor="text1"/>
          <w:sz w:val="18"/>
          <w:szCs w:val="18"/>
        </w:rPr>
        <w:t xml:space="preserve">chromatin </w:t>
      </w:r>
      <w:r w:rsidR="00791684">
        <w:rPr>
          <w:color w:val="000000" w:themeColor="text1"/>
          <w:sz w:val="18"/>
          <w:szCs w:val="18"/>
        </w:rPr>
        <w:t xml:space="preserve">accessibility </w:t>
      </w:r>
      <w:r w:rsidR="002429B1" w:rsidRPr="00D60A99">
        <w:rPr>
          <w:color w:val="000000" w:themeColor="text1"/>
          <w:sz w:val="18"/>
          <w:szCs w:val="18"/>
        </w:rPr>
        <w:t xml:space="preserve">profiles from CLL3. </w:t>
      </w:r>
      <w:r w:rsidR="00EF6497" w:rsidRPr="00D60A99">
        <w:rPr>
          <w:color w:val="000000" w:themeColor="text1"/>
          <w:sz w:val="18"/>
          <w:szCs w:val="18"/>
        </w:rPr>
        <w:br/>
      </w:r>
      <w:r w:rsidR="00EF6497" w:rsidRPr="00D60A99">
        <w:rPr>
          <w:b/>
          <w:bCs/>
          <w:color w:val="000000" w:themeColor="text1"/>
          <w:sz w:val="18"/>
          <w:szCs w:val="18"/>
        </w:rPr>
        <w:t>(H)</w:t>
      </w:r>
      <w:r w:rsidR="00EF6497" w:rsidRPr="00D60A99">
        <w:rPr>
          <w:color w:val="000000" w:themeColor="text1"/>
          <w:sz w:val="18"/>
          <w:szCs w:val="18"/>
        </w:rPr>
        <w:t xml:space="preserve"> </w:t>
      </w:r>
      <w:r w:rsidR="002429B1" w:rsidRPr="00D60A99">
        <w:rPr>
          <w:color w:val="000000" w:themeColor="text1"/>
          <w:sz w:val="18"/>
          <w:szCs w:val="18"/>
        </w:rPr>
        <w:t xml:space="preserve">Differential analysis of gene activity scores between B cells in CLL cells from CLL3. </w:t>
      </w:r>
      <w:r w:rsidR="004B1933" w:rsidRPr="00D60A99">
        <w:rPr>
          <w:color w:val="000000" w:themeColor="text1"/>
          <w:sz w:val="18"/>
          <w:szCs w:val="18"/>
        </w:rPr>
        <w:br/>
      </w:r>
      <w:r w:rsidR="00A7725B" w:rsidRPr="00D60A99">
        <w:rPr>
          <w:b/>
          <w:bCs/>
          <w:color w:val="000000" w:themeColor="text1"/>
          <w:sz w:val="18"/>
          <w:szCs w:val="18"/>
        </w:rPr>
        <w:t>(I)</w:t>
      </w:r>
      <w:r w:rsidR="00A7725B" w:rsidRPr="00D60A99">
        <w:rPr>
          <w:color w:val="000000" w:themeColor="text1"/>
          <w:sz w:val="18"/>
          <w:szCs w:val="18"/>
        </w:rPr>
        <w:t xml:space="preserve"> </w:t>
      </w:r>
      <w:r w:rsidR="00496912" w:rsidRPr="00D60A99">
        <w:rPr>
          <w:color w:val="000000" w:themeColor="text1"/>
          <w:sz w:val="18"/>
          <w:szCs w:val="18"/>
        </w:rPr>
        <w:t xml:space="preserve">Comparison of </w:t>
      </w:r>
      <w:proofErr w:type="spellStart"/>
      <w:r w:rsidR="00496912" w:rsidRPr="00D60A99">
        <w:rPr>
          <w:color w:val="000000" w:themeColor="text1"/>
          <w:sz w:val="18"/>
          <w:szCs w:val="18"/>
        </w:rPr>
        <w:t>heteroplasmy</w:t>
      </w:r>
      <w:proofErr w:type="spellEnd"/>
      <w:r w:rsidR="00496912" w:rsidRPr="00D60A99">
        <w:rPr>
          <w:color w:val="000000" w:themeColor="text1"/>
          <w:sz w:val="18"/>
          <w:szCs w:val="18"/>
        </w:rPr>
        <w:t xml:space="preserve"> of mitochondrial DNA mutations in </w:t>
      </w:r>
      <w:r w:rsidR="007E4F05" w:rsidRPr="00D60A99">
        <w:rPr>
          <w:color w:val="000000" w:themeColor="text1"/>
          <w:sz w:val="18"/>
          <w:szCs w:val="18"/>
        </w:rPr>
        <w:t>CD5</w:t>
      </w:r>
      <w:r w:rsidR="007E4F05" w:rsidRPr="00D60A99">
        <w:rPr>
          <w:color w:val="000000" w:themeColor="text1"/>
          <w:sz w:val="18"/>
          <w:szCs w:val="18"/>
          <w:vertAlign w:val="superscript"/>
        </w:rPr>
        <w:t>-</w:t>
      </w:r>
      <w:r w:rsidR="007E4F05" w:rsidRPr="00D60A99">
        <w:rPr>
          <w:color w:val="000000" w:themeColor="text1"/>
          <w:sz w:val="18"/>
          <w:szCs w:val="18"/>
        </w:rPr>
        <w:t xml:space="preserve"> </w:t>
      </w:r>
      <w:r w:rsidR="00496912" w:rsidRPr="00D60A99">
        <w:rPr>
          <w:color w:val="000000" w:themeColor="text1"/>
          <w:sz w:val="18"/>
          <w:szCs w:val="18"/>
        </w:rPr>
        <w:t>B cells and CLL cells in CLL3.</w:t>
      </w:r>
    </w:p>
    <w:p w14:paraId="3AC4AB63" w14:textId="0B7C6FDB" w:rsidR="008C7E98" w:rsidRPr="00D60A99" w:rsidRDefault="008C7E98" w:rsidP="008C7E98">
      <w:pPr>
        <w:spacing w:line="276" w:lineRule="auto"/>
        <w:rPr>
          <w:rFonts w:ascii="Times New Roman" w:hAnsi="Times New Roman" w:cs="Times New Roman"/>
          <w:b/>
          <w:bCs/>
          <w:color w:val="000000" w:themeColor="text1"/>
          <w:sz w:val="18"/>
          <w:szCs w:val="18"/>
        </w:rPr>
      </w:pPr>
      <w:r w:rsidRPr="00D60A99">
        <w:rPr>
          <w:rFonts w:ascii="Times New Roman" w:hAnsi="Times New Roman" w:cs="Times New Roman"/>
          <w:color w:val="000000" w:themeColor="text1"/>
        </w:rPr>
        <w:br w:type="page"/>
      </w:r>
    </w:p>
    <w:p w14:paraId="6BFC7906" w14:textId="0C371160" w:rsidR="00CD3789" w:rsidRPr="00D60A99" w:rsidRDefault="00CD3789" w:rsidP="00CD3789">
      <w:pPr>
        <w:pStyle w:val="Acknowledgement"/>
        <w:rPr>
          <w:color w:val="000000" w:themeColor="text1"/>
        </w:rPr>
      </w:pPr>
      <w:r w:rsidRPr="00D60A99">
        <w:rPr>
          <w:b/>
          <w:color w:val="000000" w:themeColor="text1"/>
        </w:rPr>
        <w:lastRenderedPageBreak/>
        <w:t xml:space="preserve">Suppl. Fig. </w:t>
      </w:r>
      <w:r w:rsidR="00627F88" w:rsidRPr="00D60A99">
        <w:rPr>
          <w:b/>
          <w:color w:val="000000" w:themeColor="text1"/>
        </w:rPr>
        <w:t>2</w:t>
      </w:r>
      <w:r w:rsidRPr="00D60A99">
        <w:rPr>
          <w:color w:val="000000" w:themeColor="text1"/>
        </w:rPr>
        <w:t xml:space="preserve">. Identification and analysis of </w:t>
      </w:r>
      <w:proofErr w:type="spellStart"/>
      <w:r w:rsidRPr="00D60A99">
        <w:rPr>
          <w:color w:val="000000" w:themeColor="text1"/>
        </w:rPr>
        <w:t>mtDNA</w:t>
      </w:r>
      <w:proofErr w:type="spellEnd"/>
      <w:r w:rsidRPr="00D60A99">
        <w:rPr>
          <w:color w:val="000000" w:themeColor="text1"/>
        </w:rPr>
        <w:t xml:space="preserve"> mutations in study cohort. </w:t>
      </w:r>
    </w:p>
    <w:p w14:paraId="4FBBCBCC" w14:textId="77777777" w:rsidR="00CD3789" w:rsidRPr="00D60A99" w:rsidRDefault="00CD3789" w:rsidP="00CD3789">
      <w:pPr>
        <w:pStyle w:val="Paragraph"/>
        <w:ind w:firstLine="0"/>
        <w:rPr>
          <w:color w:val="000000" w:themeColor="text1"/>
        </w:rPr>
      </w:pPr>
    </w:p>
    <w:p w14:paraId="72862B3F" w14:textId="58C940A1" w:rsidR="00CD3789" w:rsidRPr="00D60A99" w:rsidRDefault="00101954" w:rsidP="00CD3789">
      <w:pPr>
        <w:pStyle w:val="Paragraph"/>
        <w:ind w:firstLine="0"/>
        <w:rPr>
          <w:color w:val="000000" w:themeColor="text1"/>
        </w:rPr>
      </w:pPr>
      <w:r w:rsidRPr="00D60A99">
        <w:rPr>
          <w:noProof/>
          <w:color w:val="000000" w:themeColor="text1"/>
        </w:rPr>
        <w:drawing>
          <wp:inline distT="0" distB="0" distL="0" distR="0" wp14:anchorId="3BC136CE" wp14:editId="20F32FF3">
            <wp:extent cx="5943600" cy="3190240"/>
            <wp:effectExtent l="0" t="0" r="0" b="0"/>
            <wp:docPr id="4" name="Wu Livius 1-26-21-Supp1_LP.pn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u Livius 1-26-21-Supp1_LP.png" descr="Diagram&#10;&#10;Description automatically generated"/>
                    <pic:cNvPicPr/>
                  </pic:nvPicPr>
                  <pic:blipFill>
                    <a:blip r:embed="rId7" r:link="rId8" cstate="print">
                      <a:extLst>
                        <a:ext uri="{28A0092B-C50C-407E-A947-70E740481C1C}">
                          <a14:useLocalDpi xmlns:a14="http://schemas.microsoft.com/office/drawing/2010/main" val="0"/>
                        </a:ext>
                      </a:extLst>
                    </a:blip>
                    <a:stretch>
                      <a:fillRect/>
                    </a:stretch>
                  </pic:blipFill>
                  <pic:spPr>
                    <a:xfrm>
                      <a:off x="0" y="0"/>
                      <a:ext cx="5943600" cy="3190240"/>
                    </a:xfrm>
                    <a:prstGeom prst="rect">
                      <a:avLst/>
                    </a:prstGeom>
                  </pic:spPr>
                </pic:pic>
              </a:graphicData>
            </a:graphic>
          </wp:inline>
        </w:drawing>
      </w:r>
    </w:p>
    <w:p w14:paraId="2035FD6F" w14:textId="4A23AFFD" w:rsidR="00CD3789" w:rsidRPr="00D60A99" w:rsidRDefault="00CD3789" w:rsidP="00CD3789">
      <w:pPr>
        <w:pStyle w:val="Paragraph"/>
        <w:spacing w:line="276" w:lineRule="auto"/>
        <w:ind w:firstLine="0"/>
        <w:rPr>
          <w:color w:val="000000" w:themeColor="text1"/>
          <w:sz w:val="18"/>
          <w:szCs w:val="18"/>
        </w:rPr>
      </w:pPr>
      <w:r w:rsidRPr="00D60A99">
        <w:rPr>
          <w:b/>
          <w:bCs/>
          <w:color w:val="000000" w:themeColor="text1"/>
          <w:sz w:val="18"/>
          <w:szCs w:val="18"/>
        </w:rPr>
        <w:t>(</w:t>
      </w:r>
      <w:r w:rsidR="007044D9" w:rsidRPr="00D60A99">
        <w:rPr>
          <w:b/>
          <w:bCs/>
          <w:color w:val="000000" w:themeColor="text1"/>
          <w:sz w:val="18"/>
          <w:szCs w:val="18"/>
        </w:rPr>
        <w:t>A</w:t>
      </w:r>
      <w:r w:rsidRPr="00D60A99">
        <w:rPr>
          <w:b/>
          <w:bCs/>
          <w:color w:val="000000" w:themeColor="text1"/>
          <w:sz w:val="18"/>
          <w:szCs w:val="18"/>
        </w:rPr>
        <w:t>)</w:t>
      </w:r>
      <w:r w:rsidRPr="00D60A99">
        <w:rPr>
          <w:color w:val="000000" w:themeColor="text1"/>
          <w:sz w:val="18"/>
          <w:szCs w:val="18"/>
        </w:rPr>
        <w:t xml:space="preserve"> Substitution rate (observed over expected) of </w:t>
      </w:r>
      <w:proofErr w:type="spellStart"/>
      <w:r w:rsidRPr="00D60A99">
        <w:rPr>
          <w:color w:val="000000" w:themeColor="text1"/>
          <w:sz w:val="18"/>
          <w:szCs w:val="18"/>
        </w:rPr>
        <w:t>mtDNA</w:t>
      </w:r>
      <w:proofErr w:type="spellEnd"/>
      <w:r w:rsidRPr="00D60A99">
        <w:rPr>
          <w:color w:val="000000" w:themeColor="text1"/>
          <w:sz w:val="18"/>
          <w:szCs w:val="18"/>
        </w:rPr>
        <w:t xml:space="preserve"> mutations (y-axis) in each category of mononucleotide and trinucleotide modifications color-coded by the </w:t>
      </w:r>
      <w:proofErr w:type="spellStart"/>
      <w:r w:rsidRPr="00D60A99">
        <w:rPr>
          <w:color w:val="000000" w:themeColor="text1"/>
          <w:sz w:val="18"/>
          <w:szCs w:val="18"/>
        </w:rPr>
        <w:t>mtDNA</w:t>
      </w:r>
      <w:proofErr w:type="spellEnd"/>
      <w:r w:rsidRPr="00D60A99">
        <w:rPr>
          <w:color w:val="000000" w:themeColor="text1"/>
          <w:sz w:val="18"/>
          <w:szCs w:val="18"/>
        </w:rPr>
        <w:t xml:space="preserve"> heavy (H) and light (L) strand.</w:t>
      </w:r>
      <w:r w:rsidRPr="00D60A99">
        <w:rPr>
          <w:color w:val="000000" w:themeColor="text1"/>
          <w:sz w:val="18"/>
          <w:szCs w:val="18"/>
        </w:rPr>
        <w:br/>
      </w:r>
      <w:r w:rsidRPr="00D60A99">
        <w:rPr>
          <w:b/>
          <w:bCs/>
          <w:color w:val="000000" w:themeColor="text1"/>
          <w:sz w:val="18"/>
          <w:szCs w:val="18"/>
        </w:rPr>
        <w:t>(</w:t>
      </w:r>
      <w:r w:rsidR="007044D9" w:rsidRPr="00D60A99">
        <w:rPr>
          <w:b/>
          <w:bCs/>
          <w:color w:val="000000" w:themeColor="text1"/>
          <w:sz w:val="18"/>
          <w:szCs w:val="18"/>
        </w:rPr>
        <w:t>B</w:t>
      </w:r>
      <w:r w:rsidRPr="00D60A99">
        <w:rPr>
          <w:b/>
          <w:bCs/>
          <w:color w:val="000000" w:themeColor="text1"/>
          <w:sz w:val="18"/>
          <w:szCs w:val="18"/>
        </w:rPr>
        <w:t>-</w:t>
      </w:r>
      <w:r w:rsidR="007044D9" w:rsidRPr="00D60A99">
        <w:rPr>
          <w:b/>
          <w:bCs/>
          <w:color w:val="000000" w:themeColor="text1"/>
          <w:sz w:val="18"/>
          <w:szCs w:val="18"/>
        </w:rPr>
        <w:t>D</w:t>
      </w:r>
      <w:r w:rsidRPr="00D60A99">
        <w:rPr>
          <w:b/>
          <w:bCs/>
          <w:color w:val="000000" w:themeColor="text1"/>
          <w:sz w:val="18"/>
          <w:szCs w:val="18"/>
        </w:rPr>
        <w:t>)</w:t>
      </w:r>
      <w:r w:rsidRPr="00D60A99">
        <w:rPr>
          <w:color w:val="000000" w:themeColor="text1"/>
          <w:sz w:val="18"/>
          <w:szCs w:val="18"/>
        </w:rPr>
        <w:t xml:space="preserve"> Number of detected </w:t>
      </w:r>
      <w:proofErr w:type="spellStart"/>
      <w:r w:rsidRPr="00D60A99">
        <w:rPr>
          <w:color w:val="000000" w:themeColor="text1"/>
          <w:sz w:val="18"/>
          <w:szCs w:val="18"/>
        </w:rPr>
        <w:t>mtDNA</w:t>
      </w:r>
      <w:proofErr w:type="spellEnd"/>
      <w:r w:rsidRPr="00D60A99">
        <w:rPr>
          <w:color w:val="000000" w:themeColor="text1"/>
          <w:sz w:val="18"/>
          <w:szCs w:val="18"/>
        </w:rPr>
        <w:t xml:space="preserve"> mutations versus age at diagnosis of patients (</w:t>
      </w:r>
      <w:r w:rsidR="002565E8" w:rsidRPr="00D60A99">
        <w:rPr>
          <w:color w:val="000000" w:themeColor="text1"/>
          <w:sz w:val="18"/>
          <w:szCs w:val="18"/>
        </w:rPr>
        <w:t>B</w:t>
      </w:r>
      <w:r w:rsidRPr="00D60A99">
        <w:rPr>
          <w:color w:val="000000" w:themeColor="text1"/>
          <w:sz w:val="18"/>
          <w:szCs w:val="18"/>
        </w:rPr>
        <w:t xml:space="preserve">), number of </w:t>
      </w:r>
      <w:proofErr w:type="spellStart"/>
      <w:r w:rsidRPr="00D60A99">
        <w:rPr>
          <w:color w:val="000000" w:themeColor="text1"/>
          <w:sz w:val="18"/>
          <w:szCs w:val="18"/>
        </w:rPr>
        <w:t>mtDNA</w:t>
      </w:r>
      <w:proofErr w:type="spellEnd"/>
      <w:r w:rsidRPr="00D60A99">
        <w:rPr>
          <w:color w:val="000000" w:themeColor="text1"/>
          <w:sz w:val="18"/>
          <w:szCs w:val="18"/>
        </w:rPr>
        <w:t xml:space="preserve"> mutations versus number of sequenced CLL cells (</w:t>
      </w:r>
      <w:r w:rsidR="002565E8" w:rsidRPr="00D60A99">
        <w:rPr>
          <w:color w:val="000000" w:themeColor="text1"/>
          <w:sz w:val="18"/>
          <w:szCs w:val="18"/>
        </w:rPr>
        <w:t>C</w:t>
      </w:r>
      <w:r w:rsidRPr="00D60A99">
        <w:rPr>
          <w:color w:val="000000" w:themeColor="text1"/>
          <w:sz w:val="18"/>
          <w:szCs w:val="18"/>
        </w:rPr>
        <w:t xml:space="preserve">) and evenness of the distribution of </w:t>
      </w:r>
      <w:proofErr w:type="spellStart"/>
      <w:r w:rsidRPr="00D60A99">
        <w:rPr>
          <w:color w:val="000000" w:themeColor="text1"/>
          <w:sz w:val="18"/>
          <w:szCs w:val="18"/>
        </w:rPr>
        <w:t>mtDNA</w:t>
      </w:r>
      <w:proofErr w:type="spellEnd"/>
      <w:r w:rsidRPr="00D60A99">
        <w:rPr>
          <w:color w:val="000000" w:themeColor="text1"/>
          <w:sz w:val="18"/>
          <w:szCs w:val="18"/>
        </w:rPr>
        <w:t xml:space="preserve"> mutations (normalized Shannon Index) versus number of detected </w:t>
      </w:r>
      <w:proofErr w:type="spellStart"/>
      <w:r w:rsidRPr="00D60A99">
        <w:rPr>
          <w:color w:val="000000" w:themeColor="text1"/>
          <w:sz w:val="18"/>
          <w:szCs w:val="18"/>
        </w:rPr>
        <w:t>mtDNA</w:t>
      </w:r>
      <w:proofErr w:type="spellEnd"/>
      <w:r w:rsidRPr="00D60A99">
        <w:rPr>
          <w:color w:val="000000" w:themeColor="text1"/>
          <w:sz w:val="18"/>
          <w:szCs w:val="18"/>
        </w:rPr>
        <w:t xml:space="preserve"> mutations (</w:t>
      </w:r>
      <w:r w:rsidR="002565E8" w:rsidRPr="00D60A99">
        <w:rPr>
          <w:color w:val="000000" w:themeColor="text1"/>
          <w:sz w:val="18"/>
          <w:szCs w:val="18"/>
        </w:rPr>
        <w:t>D</w:t>
      </w:r>
      <w:r w:rsidRPr="00D60A99">
        <w:rPr>
          <w:color w:val="000000" w:themeColor="text1"/>
          <w:sz w:val="18"/>
          <w:szCs w:val="18"/>
        </w:rPr>
        <w:t xml:space="preserve">). Grey areas indicate 95% confidence interval. Correlation coefficients </w:t>
      </w:r>
      <w:r w:rsidRPr="00D60A99">
        <w:rPr>
          <w:i/>
          <w:iCs/>
          <w:color w:val="000000" w:themeColor="text1"/>
          <w:sz w:val="18"/>
          <w:szCs w:val="18"/>
        </w:rPr>
        <w:t>R</w:t>
      </w:r>
      <w:r w:rsidRPr="00D60A99">
        <w:rPr>
          <w:color w:val="000000" w:themeColor="text1"/>
          <w:sz w:val="18"/>
          <w:szCs w:val="18"/>
        </w:rPr>
        <w:t xml:space="preserve"> were calculated using Spearman’s correlation. </w:t>
      </w:r>
      <w:r w:rsidRPr="00D60A99">
        <w:rPr>
          <w:color w:val="000000" w:themeColor="text1"/>
          <w:sz w:val="18"/>
          <w:szCs w:val="18"/>
        </w:rPr>
        <w:br/>
      </w:r>
      <w:r w:rsidRPr="00D60A99">
        <w:rPr>
          <w:b/>
          <w:bCs/>
          <w:color w:val="000000" w:themeColor="text1"/>
          <w:sz w:val="18"/>
          <w:szCs w:val="18"/>
        </w:rPr>
        <w:t>(</w:t>
      </w:r>
      <w:r w:rsidR="007044D9" w:rsidRPr="00D60A99">
        <w:rPr>
          <w:b/>
          <w:bCs/>
          <w:color w:val="000000" w:themeColor="text1"/>
          <w:sz w:val="18"/>
          <w:szCs w:val="18"/>
        </w:rPr>
        <w:t>E</w:t>
      </w:r>
      <w:r w:rsidRPr="00D60A99">
        <w:rPr>
          <w:b/>
          <w:bCs/>
          <w:color w:val="000000" w:themeColor="text1"/>
          <w:sz w:val="18"/>
          <w:szCs w:val="18"/>
        </w:rPr>
        <w:t>)</w:t>
      </w:r>
      <w:r w:rsidRPr="00D60A99">
        <w:rPr>
          <w:color w:val="000000" w:themeColor="text1"/>
          <w:sz w:val="18"/>
          <w:szCs w:val="18"/>
        </w:rPr>
        <w:t xml:space="preserve"> </w:t>
      </w:r>
      <w:r w:rsidR="005217AF">
        <w:rPr>
          <w:color w:val="000000" w:themeColor="text1"/>
          <w:sz w:val="18"/>
          <w:szCs w:val="18"/>
        </w:rPr>
        <w:t xml:space="preserve">Mean </w:t>
      </w:r>
      <w:proofErr w:type="spellStart"/>
      <w:r w:rsidR="005217AF">
        <w:rPr>
          <w:color w:val="000000" w:themeColor="text1"/>
          <w:sz w:val="18"/>
          <w:szCs w:val="18"/>
        </w:rPr>
        <w:t>heteroplasmy</w:t>
      </w:r>
      <w:proofErr w:type="spellEnd"/>
      <w:r w:rsidR="005217AF">
        <w:rPr>
          <w:color w:val="000000" w:themeColor="text1"/>
          <w:sz w:val="18"/>
          <w:szCs w:val="18"/>
        </w:rPr>
        <w:t xml:space="preserve"> of r</w:t>
      </w:r>
      <w:r w:rsidRPr="00D60A99">
        <w:rPr>
          <w:color w:val="000000" w:themeColor="text1"/>
          <w:sz w:val="18"/>
          <w:szCs w:val="18"/>
        </w:rPr>
        <w:t xml:space="preserve">ecurrent </w:t>
      </w:r>
      <w:proofErr w:type="spellStart"/>
      <w:r w:rsidRPr="00D60A99">
        <w:rPr>
          <w:color w:val="000000" w:themeColor="text1"/>
          <w:sz w:val="18"/>
          <w:szCs w:val="18"/>
        </w:rPr>
        <w:t>mtDNA</w:t>
      </w:r>
      <w:proofErr w:type="spellEnd"/>
      <w:r w:rsidRPr="00D60A99">
        <w:rPr>
          <w:color w:val="000000" w:themeColor="text1"/>
          <w:sz w:val="18"/>
          <w:szCs w:val="18"/>
        </w:rPr>
        <w:t xml:space="preserve"> mutations (black) in the CLL cell compartment from 11 CLL patients. Grey - </w:t>
      </w:r>
      <w:proofErr w:type="spellStart"/>
      <w:r w:rsidRPr="00D60A99">
        <w:rPr>
          <w:color w:val="000000" w:themeColor="text1"/>
          <w:sz w:val="18"/>
          <w:szCs w:val="18"/>
        </w:rPr>
        <w:t>mtDNA</w:t>
      </w:r>
      <w:proofErr w:type="spellEnd"/>
      <w:r w:rsidRPr="00D60A99">
        <w:rPr>
          <w:color w:val="000000" w:themeColor="text1"/>
          <w:sz w:val="18"/>
          <w:szCs w:val="18"/>
        </w:rPr>
        <w:t xml:space="preserve"> mutations considered non-recurrent (presence in &lt;4 patients or mean </w:t>
      </w:r>
      <w:proofErr w:type="spellStart"/>
      <w:r w:rsidRPr="00D60A99">
        <w:rPr>
          <w:color w:val="000000" w:themeColor="text1"/>
          <w:sz w:val="18"/>
          <w:szCs w:val="18"/>
        </w:rPr>
        <w:t>heteroplasmy</w:t>
      </w:r>
      <w:proofErr w:type="spellEnd"/>
      <w:r w:rsidRPr="00D60A99">
        <w:rPr>
          <w:color w:val="000000" w:themeColor="text1"/>
          <w:sz w:val="18"/>
          <w:szCs w:val="18"/>
        </w:rPr>
        <w:t xml:space="preserve"> &lt;1%).</w:t>
      </w:r>
    </w:p>
    <w:p w14:paraId="52485461" w14:textId="110D38C8" w:rsidR="00CD3789" w:rsidRPr="00D60A99" w:rsidRDefault="00CD3789" w:rsidP="00CD3789">
      <w:pPr>
        <w:spacing w:line="276" w:lineRule="auto"/>
        <w:rPr>
          <w:rFonts w:ascii="Times New Roman" w:hAnsi="Times New Roman" w:cs="Times New Roman"/>
          <w:color w:val="000000" w:themeColor="text1"/>
          <w:sz w:val="18"/>
          <w:szCs w:val="18"/>
        </w:rPr>
      </w:pPr>
      <w:r w:rsidRPr="00D60A99">
        <w:rPr>
          <w:rFonts w:ascii="Times New Roman" w:hAnsi="Times New Roman" w:cs="Times New Roman"/>
          <w:b/>
          <w:color w:val="000000" w:themeColor="text1"/>
          <w:sz w:val="18"/>
          <w:szCs w:val="18"/>
        </w:rPr>
        <w:t>(</w:t>
      </w:r>
      <w:r w:rsidR="007044D9" w:rsidRPr="00D60A99">
        <w:rPr>
          <w:rFonts w:ascii="Times New Roman" w:hAnsi="Times New Roman" w:cs="Times New Roman"/>
          <w:b/>
          <w:color w:val="000000" w:themeColor="text1"/>
          <w:sz w:val="18"/>
          <w:szCs w:val="18"/>
        </w:rPr>
        <w:t>F</w:t>
      </w:r>
      <w:r w:rsidRPr="00D60A99">
        <w:rPr>
          <w:rFonts w:ascii="Times New Roman" w:hAnsi="Times New Roman" w:cs="Times New Roman"/>
          <w:b/>
          <w:color w:val="000000" w:themeColor="text1"/>
          <w:sz w:val="18"/>
          <w:szCs w:val="18"/>
        </w:rPr>
        <w:t>)</w:t>
      </w:r>
      <w:r w:rsidRPr="00D60A99">
        <w:rPr>
          <w:rFonts w:ascii="Times New Roman" w:hAnsi="Times New Roman" w:cs="Times New Roman"/>
          <w:color w:val="000000" w:themeColor="text1"/>
          <w:sz w:val="18"/>
          <w:szCs w:val="18"/>
        </w:rPr>
        <w:t xml:space="preserve"> </w:t>
      </w:r>
      <w:proofErr w:type="spellStart"/>
      <w:r w:rsidRPr="00D60A99">
        <w:rPr>
          <w:rFonts w:ascii="Times New Roman" w:hAnsi="Times New Roman" w:cs="Times New Roman"/>
          <w:color w:val="000000" w:themeColor="text1"/>
          <w:sz w:val="18"/>
          <w:szCs w:val="18"/>
        </w:rPr>
        <w:t>mtDNA</w:t>
      </w:r>
      <w:proofErr w:type="spellEnd"/>
      <w:r w:rsidRPr="00D60A99">
        <w:rPr>
          <w:rFonts w:ascii="Times New Roman" w:hAnsi="Times New Roman" w:cs="Times New Roman"/>
          <w:color w:val="000000" w:themeColor="text1"/>
          <w:sz w:val="18"/>
          <w:szCs w:val="18"/>
        </w:rPr>
        <w:t xml:space="preserve"> mutations detected in %T cells versus %monocytes. Significantly enriched mutations (p &lt; 0.05; Fisher’s exact test) are colored for T cells (blue) and monocytes (green).</w:t>
      </w:r>
    </w:p>
    <w:p w14:paraId="3BD9EAE6" w14:textId="15DE74E1" w:rsidR="00CD3789" w:rsidRPr="00D60A99" w:rsidRDefault="00CD3789" w:rsidP="00CD3789">
      <w:pPr>
        <w:spacing w:line="276" w:lineRule="auto"/>
        <w:rPr>
          <w:rFonts w:ascii="Times New Roman" w:hAnsi="Times New Roman" w:cs="Times New Roman"/>
          <w:b/>
          <w:bCs/>
          <w:color w:val="000000" w:themeColor="text1"/>
          <w:sz w:val="18"/>
          <w:szCs w:val="18"/>
        </w:rPr>
      </w:pPr>
      <w:r w:rsidRPr="00D60A99">
        <w:rPr>
          <w:rFonts w:ascii="Times New Roman" w:hAnsi="Times New Roman" w:cs="Times New Roman"/>
          <w:b/>
          <w:bCs/>
          <w:color w:val="000000" w:themeColor="text1"/>
          <w:sz w:val="18"/>
          <w:szCs w:val="18"/>
        </w:rPr>
        <w:t>(</w:t>
      </w:r>
      <w:r w:rsidR="007044D9" w:rsidRPr="00D60A99">
        <w:rPr>
          <w:rFonts w:ascii="Times New Roman" w:hAnsi="Times New Roman" w:cs="Times New Roman"/>
          <w:b/>
          <w:bCs/>
          <w:color w:val="000000" w:themeColor="text1"/>
          <w:sz w:val="18"/>
          <w:szCs w:val="18"/>
        </w:rPr>
        <w:t>G</w:t>
      </w:r>
      <w:r w:rsidRPr="00D60A99">
        <w:rPr>
          <w:rFonts w:ascii="Times New Roman" w:hAnsi="Times New Roman" w:cs="Times New Roman"/>
          <w:b/>
          <w:bCs/>
          <w:color w:val="000000" w:themeColor="text1"/>
          <w:sz w:val="18"/>
          <w:szCs w:val="18"/>
        </w:rPr>
        <w:t xml:space="preserve">, </w:t>
      </w:r>
      <w:r w:rsidR="007044D9" w:rsidRPr="00D60A99">
        <w:rPr>
          <w:rFonts w:ascii="Times New Roman" w:hAnsi="Times New Roman" w:cs="Times New Roman"/>
          <w:b/>
          <w:bCs/>
          <w:color w:val="000000" w:themeColor="text1"/>
          <w:sz w:val="18"/>
          <w:szCs w:val="18"/>
        </w:rPr>
        <w:t>H</w:t>
      </w:r>
      <w:r w:rsidRPr="00D60A99">
        <w:rPr>
          <w:rFonts w:ascii="Times New Roman" w:hAnsi="Times New Roman" w:cs="Times New Roman"/>
          <w:b/>
          <w:bCs/>
          <w:color w:val="000000" w:themeColor="text1"/>
          <w:sz w:val="18"/>
          <w:szCs w:val="18"/>
        </w:rPr>
        <w:t xml:space="preserve">) </w:t>
      </w:r>
      <w:r w:rsidRPr="00D60A99">
        <w:rPr>
          <w:rFonts w:ascii="Times New Roman" w:hAnsi="Times New Roman" w:cs="Times New Roman"/>
          <w:color w:val="000000" w:themeColor="text1"/>
          <w:sz w:val="18"/>
          <w:szCs w:val="18"/>
        </w:rPr>
        <w:t xml:space="preserve">Distribution of %T cells (blue) or %monocytes (green) marked by </w:t>
      </w:r>
      <w:proofErr w:type="spellStart"/>
      <w:r w:rsidRPr="00D60A99">
        <w:rPr>
          <w:rFonts w:ascii="Times New Roman" w:hAnsi="Times New Roman" w:cs="Times New Roman"/>
          <w:color w:val="000000" w:themeColor="text1"/>
          <w:sz w:val="18"/>
          <w:szCs w:val="18"/>
        </w:rPr>
        <w:t>mtDNA</w:t>
      </w:r>
      <w:proofErr w:type="spellEnd"/>
      <w:r w:rsidRPr="00D60A99">
        <w:rPr>
          <w:rFonts w:ascii="Times New Roman" w:hAnsi="Times New Roman" w:cs="Times New Roman"/>
          <w:color w:val="000000" w:themeColor="text1"/>
          <w:sz w:val="18"/>
          <w:szCs w:val="18"/>
        </w:rPr>
        <w:t xml:space="preserve"> mutations with significant enrichment in either T cells </w:t>
      </w:r>
      <w:r w:rsidR="006718BC">
        <w:rPr>
          <w:rFonts w:ascii="Times New Roman" w:hAnsi="Times New Roman" w:cs="Times New Roman"/>
          <w:color w:val="000000" w:themeColor="text1"/>
          <w:sz w:val="18"/>
          <w:szCs w:val="18"/>
        </w:rPr>
        <w:t xml:space="preserve">(G) </w:t>
      </w:r>
      <w:r w:rsidRPr="00D60A99">
        <w:rPr>
          <w:rFonts w:ascii="Times New Roman" w:hAnsi="Times New Roman" w:cs="Times New Roman"/>
          <w:color w:val="000000" w:themeColor="text1"/>
          <w:sz w:val="18"/>
          <w:szCs w:val="18"/>
        </w:rPr>
        <w:t>or monocytes (</w:t>
      </w:r>
      <w:r w:rsidR="00FC5523">
        <w:rPr>
          <w:rFonts w:ascii="Times New Roman" w:hAnsi="Times New Roman" w:cs="Times New Roman"/>
          <w:color w:val="000000" w:themeColor="text1"/>
          <w:sz w:val="18"/>
          <w:szCs w:val="18"/>
        </w:rPr>
        <w:t>H</w:t>
      </w:r>
      <w:r w:rsidRPr="00D60A99">
        <w:rPr>
          <w:rFonts w:ascii="Times New Roman" w:hAnsi="Times New Roman" w:cs="Times New Roman"/>
          <w:color w:val="000000" w:themeColor="text1"/>
          <w:sz w:val="18"/>
          <w:szCs w:val="18"/>
        </w:rPr>
        <w:t xml:space="preserve">). </w:t>
      </w:r>
      <w:r w:rsidRPr="00D60A99">
        <w:rPr>
          <w:rFonts w:ascii="Times New Roman" w:hAnsi="Times New Roman" w:cs="Times New Roman"/>
          <w:color w:val="000000" w:themeColor="text1"/>
        </w:rPr>
        <w:br w:type="page"/>
      </w:r>
    </w:p>
    <w:p w14:paraId="25EFD300" w14:textId="6153D2A6" w:rsidR="008C7E98" w:rsidRPr="00D60A99" w:rsidRDefault="008C7E98" w:rsidP="008C7E98">
      <w:pPr>
        <w:pStyle w:val="Paragraph"/>
        <w:spacing w:line="276" w:lineRule="auto"/>
        <w:ind w:firstLine="0"/>
        <w:rPr>
          <w:color w:val="000000" w:themeColor="text1"/>
        </w:rPr>
      </w:pPr>
      <w:r w:rsidRPr="00D60A99">
        <w:rPr>
          <w:b/>
          <w:bCs/>
          <w:color w:val="000000" w:themeColor="text1"/>
        </w:rPr>
        <w:lastRenderedPageBreak/>
        <w:t xml:space="preserve">Suppl. Fig. </w:t>
      </w:r>
      <w:r w:rsidR="00627F88" w:rsidRPr="00D60A99">
        <w:rPr>
          <w:b/>
          <w:bCs/>
          <w:color w:val="000000" w:themeColor="text1"/>
        </w:rPr>
        <w:t>3</w:t>
      </w:r>
      <w:r w:rsidRPr="00D60A99">
        <w:rPr>
          <w:b/>
          <w:bCs/>
          <w:color w:val="000000" w:themeColor="text1"/>
        </w:rPr>
        <w:t xml:space="preserve">. </w:t>
      </w:r>
      <w:r w:rsidRPr="00D60A99">
        <w:rPr>
          <w:color w:val="000000" w:themeColor="text1"/>
        </w:rPr>
        <w:t xml:space="preserve">Mitochondrial DNA mutations reveal </w:t>
      </w:r>
      <w:proofErr w:type="spellStart"/>
      <w:r w:rsidRPr="00D60A99">
        <w:rPr>
          <w:color w:val="000000" w:themeColor="text1"/>
        </w:rPr>
        <w:t>subclonal</w:t>
      </w:r>
      <w:proofErr w:type="spellEnd"/>
      <w:r w:rsidRPr="00D60A99">
        <w:rPr>
          <w:color w:val="000000" w:themeColor="text1"/>
        </w:rPr>
        <w:t xml:space="preserve"> structure of CLL1. </w:t>
      </w:r>
    </w:p>
    <w:p w14:paraId="7C7E7F43" w14:textId="77777777" w:rsidR="008C7E98" w:rsidRPr="00D60A99" w:rsidRDefault="008C7E98" w:rsidP="008C7E98">
      <w:pPr>
        <w:rPr>
          <w:rFonts w:ascii="Times New Roman" w:hAnsi="Times New Roman" w:cs="Times New Roman"/>
          <w:color w:val="000000" w:themeColor="text1"/>
        </w:rPr>
      </w:pPr>
    </w:p>
    <w:p w14:paraId="1BE52C7F" w14:textId="455173F1" w:rsidR="008C7E98" w:rsidRPr="00D60A99" w:rsidRDefault="00FE2D29" w:rsidP="008C7E98">
      <w:pPr>
        <w:rPr>
          <w:rFonts w:ascii="Times New Roman" w:hAnsi="Times New Roman" w:cs="Times New Roman"/>
          <w:color w:val="000000" w:themeColor="text1"/>
        </w:rPr>
      </w:pPr>
      <w:r w:rsidRPr="00D60A99">
        <w:rPr>
          <w:rFonts w:ascii="Times New Roman" w:hAnsi="Times New Roman" w:cs="Times New Roman"/>
          <w:noProof/>
          <w:color w:val="000000" w:themeColor="text1"/>
        </w:rPr>
        <w:drawing>
          <wp:inline distT="0" distB="0" distL="0" distR="0" wp14:anchorId="60D9C01D" wp14:editId="4753129F">
            <wp:extent cx="5943366" cy="7642859"/>
            <wp:effectExtent l="0" t="0" r="635" b="3175"/>
            <wp:docPr id="5" name="20210425_new_Suppl_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425_new_Suppl_Fig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366" cy="7642859"/>
                    </a:xfrm>
                    <a:prstGeom prst="rect">
                      <a:avLst/>
                    </a:prstGeom>
                  </pic:spPr>
                </pic:pic>
              </a:graphicData>
            </a:graphic>
          </wp:inline>
        </w:drawing>
      </w:r>
    </w:p>
    <w:p w14:paraId="41E8C10E" w14:textId="77777777" w:rsidR="008C7E98" w:rsidRPr="00D60A99" w:rsidRDefault="008C7E98" w:rsidP="008C7E98">
      <w:pPr>
        <w:rPr>
          <w:rFonts w:ascii="Times New Roman" w:hAnsi="Times New Roman" w:cs="Times New Roman"/>
          <w:color w:val="000000" w:themeColor="text1"/>
        </w:rPr>
      </w:pPr>
    </w:p>
    <w:p w14:paraId="3C14ED96" w14:textId="079771ED" w:rsidR="00303C03" w:rsidRPr="00D60A99" w:rsidRDefault="008C7E98" w:rsidP="008C7E98">
      <w:pPr>
        <w:pStyle w:val="Paragraph"/>
        <w:ind w:firstLine="0"/>
        <w:rPr>
          <w:color w:val="000000" w:themeColor="text1"/>
          <w:sz w:val="18"/>
          <w:szCs w:val="18"/>
        </w:rPr>
      </w:pPr>
      <w:r w:rsidRPr="00D60A99">
        <w:rPr>
          <w:b/>
          <w:bCs/>
          <w:color w:val="000000" w:themeColor="text1"/>
          <w:sz w:val="18"/>
          <w:szCs w:val="18"/>
        </w:rPr>
        <w:lastRenderedPageBreak/>
        <w:t>(A-C)</w:t>
      </w:r>
      <w:r w:rsidRPr="00D60A99">
        <w:rPr>
          <w:color w:val="000000" w:themeColor="text1"/>
          <w:sz w:val="18"/>
          <w:szCs w:val="18"/>
        </w:rPr>
        <w:t xml:space="preserve"> </w:t>
      </w:r>
      <w:proofErr w:type="spellStart"/>
      <w:r w:rsidRPr="00D60A99">
        <w:rPr>
          <w:color w:val="000000" w:themeColor="text1"/>
          <w:sz w:val="18"/>
          <w:szCs w:val="18"/>
        </w:rPr>
        <w:t>Heteroplasmy</w:t>
      </w:r>
      <w:proofErr w:type="spellEnd"/>
      <w:r w:rsidRPr="00D60A99">
        <w:rPr>
          <w:color w:val="000000" w:themeColor="text1"/>
          <w:sz w:val="18"/>
          <w:szCs w:val="18"/>
        </w:rPr>
        <w:t xml:space="preserve"> of 7053G&gt;A versus 1119T&gt;C, 16065G&gt;A and 9144C&gt;A in CLL cells across all 5 timepoints (color-coded as shown in legend).</w:t>
      </w:r>
      <w:r w:rsidRPr="00D60A99">
        <w:rPr>
          <w:color w:val="000000" w:themeColor="text1"/>
          <w:sz w:val="18"/>
          <w:szCs w:val="18"/>
        </w:rPr>
        <w:br/>
      </w:r>
      <w:r w:rsidRPr="00D60A99">
        <w:rPr>
          <w:b/>
          <w:bCs/>
          <w:color w:val="000000" w:themeColor="text1"/>
          <w:sz w:val="18"/>
          <w:szCs w:val="18"/>
        </w:rPr>
        <w:t>(D-F)</w:t>
      </w:r>
      <w:r w:rsidRPr="00D60A99">
        <w:rPr>
          <w:color w:val="000000" w:themeColor="text1"/>
          <w:sz w:val="18"/>
          <w:szCs w:val="18"/>
        </w:rPr>
        <w:t xml:space="preserve"> </w:t>
      </w:r>
      <w:proofErr w:type="spellStart"/>
      <w:r w:rsidRPr="00D60A99">
        <w:rPr>
          <w:color w:val="000000" w:themeColor="text1"/>
          <w:sz w:val="18"/>
          <w:szCs w:val="18"/>
        </w:rPr>
        <w:t>Heteroplasmy</w:t>
      </w:r>
      <w:proofErr w:type="spellEnd"/>
      <w:r w:rsidRPr="00D60A99">
        <w:rPr>
          <w:color w:val="000000" w:themeColor="text1"/>
          <w:sz w:val="18"/>
          <w:szCs w:val="18"/>
        </w:rPr>
        <w:t xml:space="preserve"> of 7053G&gt;A, 1119T&gt;C, 16065G&gt;A and 9144C&gt;A in CLL cells during watchful waiting (W/W-1), before chemoimmunotherapy with fludarabine, cyclophosphamide and rituximab (FCR) (Pre-FCR) and at relapse. Only cells with at least one detectable mutation are shown.</w:t>
      </w:r>
      <w:r w:rsidRPr="00D60A99">
        <w:rPr>
          <w:color w:val="000000" w:themeColor="text1"/>
          <w:sz w:val="18"/>
          <w:szCs w:val="18"/>
        </w:rPr>
        <w:br/>
      </w:r>
      <w:r w:rsidRPr="00D60A99">
        <w:rPr>
          <w:b/>
          <w:bCs/>
          <w:color w:val="000000" w:themeColor="text1"/>
          <w:sz w:val="18"/>
          <w:szCs w:val="18"/>
        </w:rPr>
        <w:t xml:space="preserve">(G) </w:t>
      </w:r>
      <w:proofErr w:type="spellStart"/>
      <w:r w:rsidRPr="00D60A99">
        <w:rPr>
          <w:color w:val="000000" w:themeColor="text1"/>
          <w:sz w:val="18"/>
          <w:szCs w:val="18"/>
        </w:rPr>
        <w:t>Heteroplasmy</w:t>
      </w:r>
      <w:proofErr w:type="spellEnd"/>
      <w:r w:rsidRPr="00D60A99">
        <w:rPr>
          <w:color w:val="000000" w:themeColor="text1"/>
          <w:sz w:val="18"/>
          <w:szCs w:val="18"/>
        </w:rPr>
        <w:t xml:space="preserve"> of 9144G&gt;A versus 4966G&gt;A in CLL cells at relapse after FCR.</w:t>
      </w:r>
      <w:r w:rsidRPr="00D60A99">
        <w:rPr>
          <w:color w:val="000000" w:themeColor="text1"/>
          <w:sz w:val="18"/>
          <w:szCs w:val="18"/>
        </w:rPr>
        <w:br/>
      </w:r>
      <w:r w:rsidRPr="00D60A99">
        <w:rPr>
          <w:b/>
          <w:bCs/>
          <w:color w:val="000000" w:themeColor="text1"/>
          <w:sz w:val="18"/>
          <w:szCs w:val="18"/>
        </w:rPr>
        <w:t>(H)</w:t>
      </w:r>
      <w:r w:rsidRPr="00D60A99">
        <w:rPr>
          <w:color w:val="000000" w:themeColor="text1"/>
          <w:sz w:val="18"/>
          <w:szCs w:val="18"/>
        </w:rPr>
        <w:t xml:space="preserve"> Inferred copy number changes from </w:t>
      </w:r>
      <w:proofErr w:type="spellStart"/>
      <w:r w:rsidRPr="00D60A99">
        <w:rPr>
          <w:color w:val="000000" w:themeColor="text1"/>
          <w:sz w:val="18"/>
          <w:szCs w:val="18"/>
        </w:rPr>
        <w:t>scATAC</w:t>
      </w:r>
      <w:proofErr w:type="spellEnd"/>
      <w:r w:rsidRPr="00D60A99">
        <w:rPr>
          <w:color w:val="000000" w:themeColor="text1"/>
          <w:sz w:val="18"/>
          <w:szCs w:val="18"/>
        </w:rPr>
        <w:t>-seq data in cells marked by 7053G&gt;A or 9144C&gt;A before FCR (Pre-FCR) or marked by 9144C&gt;A at relapse. The rectangle demonstrates partial loss of chromosome 6</w:t>
      </w:r>
      <w:r w:rsidR="00EF4A17">
        <w:rPr>
          <w:color w:val="000000" w:themeColor="text1"/>
          <w:sz w:val="18"/>
          <w:szCs w:val="18"/>
        </w:rPr>
        <w:t>q</w:t>
      </w:r>
      <w:r w:rsidRPr="00D60A99">
        <w:rPr>
          <w:color w:val="000000" w:themeColor="text1"/>
          <w:sz w:val="18"/>
          <w:szCs w:val="18"/>
        </w:rPr>
        <w:t xml:space="preserve"> at relapse. </w:t>
      </w:r>
      <w:r w:rsidRPr="00D60A99">
        <w:rPr>
          <w:color w:val="000000" w:themeColor="text1"/>
          <w:sz w:val="18"/>
          <w:szCs w:val="18"/>
        </w:rPr>
        <w:br/>
      </w:r>
      <w:r w:rsidRPr="00D60A99">
        <w:rPr>
          <w:b/>
          <w:bCs/>
          <w:color w:val="000000" w:themeColor="text1"/>
          <w:sz w:val="18"/>
          <w:szCs w:val="18"/>
        </w:rPr>
        <w:t>(I)</w:t>
      </w:r>
      <w:r w:rsidRPr="00D60A99">
        <w:rPr>
          <w:color w:val="000000" w:themeColor="text1"/>
          <w:sz w:val="18"/>
          <w:szCs w:val="18"/>
        </w:rPr>
        <w:t xml:space="preserve"> Differential accessibility </w:t>
      </w:r>
      <w:r w:rsidR="005B6C47">
        <w:rPr>
          <w:color w:val="000000" w:themeColor="text1"/>
          <w:sz w:val="18"/>
          <w:szCs w:val="18"/>
        </w:rPr>
        <w:t xml:space="preserve">of transcription factor motifs </w:t>
      </w:r>
      <w:r w:rsidRPr="00D60A99">
        <w:rPr>
          <w:color w:val="000000" w:themeColor="text1"/>
          <w:sz w:val="18"/>
          <w:szCs w:val="18"/>
        </w:rPr>
        <w:t>before chemotherapy (</w:t>
      </w:r>
      <w:proofErr w:type="gramStart"/>
      <w:r w:rsidRPr="00D60A99">
        <w:rPr>
          <w:color w:val="000000" w:themeColor="text1"/>
          <w:sz w:val="18"/>
          <w:szCs w:val="18"/>
        </w:rPr>
        <w:t>Pre-FCR</w:t>
      </w:r>
      <w:proofErr w:type="gramEnd"/>
      <w:r w:rsidRPr="00D60A99">
        <w:rPr>
          <w:color w:val="000000" w:themeColor="text1"/>
          <w:sz w:val="18"/>
          <w:szCs w:val="18"/>
        </w:rPr>
        <w:t xml:space="preserve">) in cells marked by 7053G&gt;A (left) or 9144C&gt;A (right). </w:t>
      </w:r>
      <w:r w:rsidR="00853177" w:rsidRPr="00D60A99">
        <w:rPr>
          <w:color w:val="000000" w:themeColor="text1"/>
          <w:sz w:val="18"/>
          <w:szCs w:val="18"/>
        </w:rPr>
        <w:br/>
      </w:r>
      <w:r w:rsidR="00EF6B6C" w:rsidRPr="00D60A99">
        <w:rPr>
          <w:b/>
          <w:bCs/>
          <w:color w:val="000000" w:themeColor="text1"/>
          <w:sz w:val="18"/>
          <w:szCs w:val="18"/>
        </w:rPr>
        <w:t>(J)</w:t>
      </w:r>
      <w:r w:rsidR="00EF6B6C" w:rsidRPr="00D60A99">
        <w:rPr>
          <w:color w:val="000000" w:themeColor="text1"/>
          <w:sz w:val="18"/>
          <w:szCs w:val="18"/>
        </w:rPr>
        <w:t xml:space="preserve"> </w:t>
      </w:r>
      <w:r w:rsidR="003079CA" w:rsidRPr="00D60A99">
        <w:rPr>
          <w:color w:val="000000" w:themeColor="text1"/>
          <w:sz w:val="18"/>
          <w:szCs w:val="18"/>
        </w:rPr>
        <w:t xml:space="preserve">Variant allele frequency (VAF) of </w:t>
      </w:r>
      <w:r w:rsidR="00A2649D" w:rsidRPr="00D60A99">
        <w:rPr>
          <w:color w:val="000000" w:themeColor="text1"/>
          <w:sz w:val="18"/>
          <w:szCs w:val="18"/>
        </w:rPr>
        <w:t>mutations</w:t>
      </w:r>
      <w:r w:rsidR="003079CA" w:rsidRPr="00D60A99">
        <w:rPr>
          <w:color w:val="000000" w:themeColor="text1"/>
          <w:sz w:val="18"/>
          <w:szCs w:val="18"/>
        </w:rPr>
        <w:t xml:space="preserve"> detected using whole</w:t>
      </w:r>
      <w:r w:rsidR="00FC173D" w:rsidRPr="00D60A99">
        <w:rPr>
          <w:color w:val="000000" w:themeColor="text1"/>
          <w:sz w:val="18"/>
          <w:szCs w:val="18"/>
        </w:rPr>
        <w:t>-</w:t>
      </w:r>
      <w:r w:rsidR="003079CA" w:rsidRPr="00D60A99">
        <w:rPr>
          <w:color w:val="000000" w:themeColor="text1"/>
          <w:sz w:val="18"/>
          <w:szCs w:val="18"/>
        </w:rPr>
        <w:t xml:space="preserve">exome sequencing (WES) </w:t>
      </w:r>
      <w:r w:rsidR="000942CD" w:rsidRPr="00D60A99">
        <w:rPr>
          <w:color w:val="000000" w:themeColor="text1"/>
          <w:sz w:val="18"/>
          <w:szCs w:val="18"/>
        </w:rPr>
        <w:t xml:space="preserve">in CLL1 at indicated timepoints. </w:t>
      </w:r>
      <w:r w:rsidR="004D3E11" w:rsidRPr="00D60A99">
        <w:rPr>
          <w:color w:val="000000" w:themeColor="text1"/>
          <w:sz w:val="18"/>
          <w:szCs w:val="18"/>
        </w:rPr>
        <w:t>Data were previously generated and analyzed</w:t>
      </w:r>
      <w:r w:rsidR="007145CA">
        <w:rPr>
          <w:color w:val="000000" w:themeColor="text1"/>
          <w:sz w:val="18"/>
          <w:szCs w:val="18"/>
        </w:rPr>
        <w:t xml:space="preserve"> </w:t>
      </w:r>
      <w:r w:rsidR="008E70F1" w:rsidRPr="00D60A99">
        <w:rPr>
          <w:color w:val="000000" w:themeColor="text1"/>
          <w:sz w:val="18"/>
          <w:szCs w:val="18"/>
        </w:rPr>
        <w:fldChar w:fldCharType="begin"/>
      </w:r>
      <w:r w:rsidR="00240494" w:rsidRPr="00D60A99">
        <w:rPr>
          <w:color w:val="000000" w:themeColor="text1"/>
          <w:sz w:val="18"/>
          <w:szCs w:val="18"/>
        </w:rPr>
        <w:instrText xml:space="preserve"> ADDIN ZOTERO_ITEM CSL_CITATION {"citationID":"bifdqUQ9","properties":{"formattedCitation":"(1)","plainCitation":"(1)","noteIndex":0},"citationItems":[{"id":553,"uris":["http://zotero.org/users/local/xncSu5kE/items/QRPFKBM3"],"uri":["http://zotero.org/users/local/xncSu5kE/items/QRPFKBM3"],"itemData":{"id":553,"type":"article-journal","abstract":"How the genomic features of a patient's cancer relate to individual disease kinetics remains poorly understood. Here we used the indolent growth dynamics of chronic lymphocytic leukaemia (CLL) to analyse the growth rates and corresponding genomic patterns of leukaemia cells from 107 patients with CLL, spanning decades-long disease courses. We found that CLL commonly demonstrates not only exponential expansion but also logistic growth, which is sigmoidal and reaches a certain steady-state level. Each growth pattern was associated with marked differences in genetic composition, the pace of disease progression and the extent of clonal evolution. In a subset of patients, whose serial samples underwent next-generation sequencing, we found that dynamic changes in the disease course of CLL were shaped by the genetic events that were already present in the early slow-growing stages. Finally, by analysing the growth rates of subclones compared with their parental clones, we quantified the growth advantage conferred by putative CLL drivers in vivo.","container-title":"Nature","DOI":"10.1038/s41586-019-1252-x","ISSN":"1476-4687","issue":"7762","journalAbbreviation":"Nature","language":"eng","note":"PMID: 31142838\nPMCID: PMC6630176","page":"474-479","source":"PubMed","title":"Growth dynamics in naturally progressing chronic lymphocytic leukaemia","volume":"570","author":[{"family":"Gruber","given":"Michaela"},{"family":"Bozic","given":"Ivana"},{"family":"Leshchiner","given":"Ignaty"},{"family":"Livitz","given":"Dimitri"},{"family":"Stevenson","given":"Kristen"},{"family":"Rassenti","given":"Laura"},{"family":"Rosebrock","given":"Daniel"},{"family":"Taylor-Weiner","given":"Amaro"},{"family":"Olive","given":"Oriol"},{"family":"Goyetche","given":"Reaha"},{"family":"Fernandes","given":"Stacey M."},{"family":"Sun","given":"Jing"},{"family":"Stewart","given":"Chip"},{"family":"Wong","given":"Alicia"},{"family":"Cibulskis","given":"Carrie"},{"family":"Zhang","given":"Wandi"},{"family":"Reiter","given":"Johannes G."},{"family":"Gerold","given":"Jeffrey M."},{"family":"Gribben","given":"John G."},{"family":"Rai","given":"Kanti R."},{"family":"Keating","given":"Michael J."},{"family":"Brown","given":"Jennifer R."},{"family":"Neuberg","given":"Donna"},{"family":"Kipps","given":"Thomas J."},{"family":"Nowak","given":"Martin A."},{"family":"Getz","given":"Gad"},{"family":"Wu","given":"Catherine J."}],"issued":{"date-parts":[["2019"]]}}}],"schema":"https://github.com/citation-style-language/schema/raw/master/csl-citation.json"} </w:instrText>
      </w:r>
      <w:r w:rsidR="008E70F1" w:rsidRPr="00D60A99">
        <w:rPr>
          <w:color w:val="000000" w:themeColor="text1"/>
          <w:sz w:val="18"/>
          <w:szCs w:val="18"/>
        </w:rPr>
        <w:fldChar w:fldCharType="separate"/>
      </w:r>
      <w:r w:rsidR="00240494" w:rsidRPr="00D60A99">
        <w:rPr>
          <w:color w:val="000000" w:themeColor="text1"/>
          <w:sz w:val="18"/>
        </w:rPr>
        <w:t>(1)</w:t>
      </w:r>
      <w:r w:rsidR="008E70F1" w:rsidRPr="00D60A99">
        <w:rPr>
          <w:color w:val="000000" w:themeColor="text1"/>
          <w:sz w:val="18"/>
          <w:szCs w:val="18"/>
        </w:rPr>
        <w:fldChar w:fldCharType="end"/>
      </w:r>
      <w:r w:rsidR="007145CA">
        <w:rPr>
          <w:color w:val="000000" w:themeColor="text1"/>
          <w:sz w:val="18"/>
          <w:szCs w:val="18"/>
        </w:rPr>
        <w:t>.</w:t>
      </w:r>
      <w:r w:rsidR="004D3E11" w:rsidRPr="00D60A99">
        <w:rPr>
          <w:color w:val="000000" w:themeColor="text1"/>
          <w:sz w:val="18"/>
          <w:szCs w:val="18"/>
        </w:rPr>
        <w:t xml:space="preserve"> </w:t>
      </w:r>
      <w:r w:rsidR="003611DE" w:rsidRPr="00D60A99">
        <w:rPr>
          <w:color w:val="000000" w:themeColor="text1"/>
          <w:sz w:val="18"/>
          <w:szCs w:val="18"/>
        </w:rPr>
        <w:t>Red –</w:t>
      </w:r>
      <w:r w:rsidR="009A7FA7">
        <w:rPr>
          <w:color w:val="000000" w:themeColor="text1"/>
          <w:sz w:val="18"/>
          <w:szCs w:val="18"/>
        </w:rPr>
        <w:t xml:space="preserve"> </w:t>
      </w:r>
      <w:r w:rsidR="005E54EC" w:rsidRPr="00D60A99">
        <w:rPr>
          <w:color w:val="000000" w:themeColor="text1"/>
          <w:sz w:val="18"/>
          <w:szCs w:val="18"/>
        </w:rPr>
        <w:t>enriched at relapse</w:t>
      </w:r>
      <w:r w:rsidR="003611DE" w:rsidRPr="00D60A99">
        <w:rPr>
          <w:color w:val="000000" w:themeColor="text1"/>
          <w:sz w:val="18"/>
          <w:szCs w:val="18"/>
        </w:rPr>
        <w:t>, Blue –</w:t>
      </w:r>
      <w:r w:rsidR="009A7FA7">
        <w:rPr>
          <w:color w:val="000000" w:themeColor="text1"/>
          <w:sz w:val="18"/>
          <w:szCs w:val="18"/>
        </w:rPr>
        <w:t xml:space="preserve"> </w:t>
      </w:r>
      <w:r w:rsidR="003611DE" w:rsidRPr="00D60A99">
        <w:rPr>
          <w:color w:val="000000" w:themeColor="text1"/>
          <w:sz w:val="18"/>
          <w:szCs w:val="18"/>
        </w:rPr>
        <w:t>eradicated by FCR</w:t>
      </w:r>
      <w:r w:rsidR="00C73AB5" w:rsidRPr="00D60A99">
        <w:rPr>
          <w:color w:val="000000" w:themeColor="text1"/>
          <w:sz w:val="18"/>
          <w:szCs w:val="18"/>
        </w:rPr>
        <w:br/>
      </w:r>
      <w:r w:rsidR="00C73AB5" w:rsidRPr="00D60A99">
        <w:rPr>
          <w:b/>
          <w:bCs/>
          <w:color w:val="000000" w:themeColor="text1"/>
          <w:sz w:val="18"/>
          <w:szCs w:val="18"/>
        </w:rPr>
        <w:t>(K</w:t>
      </w:r>
      <w:r w:rsidR="006E006D" w:rsidRPr="00D60A99">
        <w:rPr>
          <w:b/>
          <w:bCs/>
          <w:color w:val="000000" w:themeColor="text1"/>
          <w:sz w:val="18"/>
          <w:szCs w:val="18"/>
        </w:rPr>
        <w:t>, L</w:t>
      </w:r>
      <w:r w:rsidR="00C73AB5" w:rsidRPr="00D60A99">
        <w:rPr>
          <w:b/>
          <w:bCs/>
          <w:color w:val="000000" w:themeColor="text1"/>
          <w:sz w:val="18"/>
          <w:szCs w:val="18"/>
        </w:rPr>
        <w:t>)</w:t>
      </w:r>
      <w:r w:rsidR="00C73AB5" w:rsidRPr="00D60A99">
        <w:rPr>
          <w:color w:val="000000" w:themeColor="text1"/>
          <w:sz w:val="18"/>
          <w:szCs w:val="18"/>
        </w:rPr>
        <w:t xml:space="preserve"> </w:t>
      </w:r>
      <w:r w:rsidR="004727D5" w:rsidRPr="00D60A99">
        <w:rPr>
          <w:color w:val="000000" w:themeColor="text1"/>
          <w:sz w:val="18"/>
          <w:szCs w:val="18"/>
        </w:rPr>
        <w:t xml:space="preserve">Copy number changes detected </w:t>
      </w:r>
      <w:r w:rsidR="00984571" w:rsidRPr="00D60A99">
        <w:rPr>
          <w:color w:val="000000" w:themeColor="text1"/>
          <w:sz w:val="18"/>
          <w:szCs w:val="18"/>
        </w:rPr>
        <w:t xml:space="preserve">using WES in CLL1 at indicated </w:t>
      </w:r>
      <w:r w:rsidR="003750AA" w:rsidRPr="00D60A99">
        <w:rPr>
          <w:color w:val="000000" w:themeColor="text1"/>
          <w:sz w:val="18"/>
          <w:szCs w:val="18"/>
        </w:rPr>
        <w:t xml:space="preserve">timepoints. </w:t>
      </w:r>
      <w:r w:rsidR="00303C03" w:rsidRPr="00D60A99">
        <w:rPr>
          <w:color w:val="000000" w:themeColor="text1"/>
          <w:sz w:val="18"/>
          <w:szCs w:val="18"/>
        </w:rPr>
        <w:br/>
      </w:r>
    </w:p>
    <w:p w14:paraId="3AE6BE5E" w14:textId="77777777" w:rsidR="008C7E98" w:rsidRPr="00D60A99" w:rsidRDefault="008C7E98" w:rsidP="008C7E98">
      <w:pPr>
        <w:rPr>
          <w:rFonts w:ascii="Times New Roman" w:hAnsi="Times New Roman" w:cs="Times New Roman"/>
          <w:color w:val="000000" w:themeColor="text1"/>
        </w:rPr>
      </w:pPr>
      <w:r w:rsidRPr="00D60A99">
        <w:rPr>
          <w:rFonts w:ascii="Times New Roman" w:hAnsi="Times New Roman" w:cs="Times New Roman"/>
          <w:color w:val="000000" w:themeColor="text1"/>
        </w:rPr>
        <w:br w:type="page"/>
      </w:r>
    </w:p>
    <w:p w14:paraId="4121F337" w14:textId="57160E40" w:rsidR="008C7E98" w:rsidRPr="00D60A99" w:rsidRDefault="008C7E98" w:rsidP="008C7E98">
      <w:pPr>
        <w:pStyle w:val="Paragraph"/>
        <w:spacing w:line="276" w:lineRule="auto"/>
        <w:ind w:firstLine="0"/>
        <w:rPr>
          <w:color w:val="000000" w:themeColor="text1"/>
        </w:rPr>
      </w:pPr>
      <w:r w:rsidRPr="00D60A99">
        <w:rPr>
          <w:b/>
          <w:bCs/>
          <w:color w:val="000000" w:themeColor="text1"/>
        </w:rPr>
        <w:lastRenderedPageBreak/>
        <w:t xml:space="preserve">Suppl. Fig. </w:t>
      </w:r>
      <w:r w:rsidR="00627F88" w:rsidRPr="00D60A99">
        <w:rPr>
          <w:b/>
          <w:bCs/>
          <w:color w:val="000000" w:themeColor="text1"/>
        </w:rPr>
        <w:t>4</w:t>
      </w:r>
      <w:r w:rsidRPr="00D60A99">
        <w:rPr>
          <w:b/>
          <w:bCs/>
          <w:color w:val="000000" w:themeColor="text1"/>
        </w:rPr>
        <w:t xml:space="preserve">. </w:t>
      </w:r>
      <w:r w:rsidRPr="00D60A99">
        <w:rPr>
          <w:color w:val="000000" w:themeColor="text1"/>
        </w:rPr>
        <w:t xml:space="preserve">Changes in </w:t>
      </w:r>
      <w:proofErr w:type="spellStart"/>
      <w:r w:rsidRPr="00D60A99">
        <w:rPr>
          <w:color w:val="000000" w:themeColor="text1"/>
        </w:rPr>
        <w:t>mtDNA</w:t>
      </w:r>
      <w:proofErr w:type="spellEnd"/>
      <w:r w:rsidRPr="00D60A99">
        <w:rPr>
          <w:color w:val="000000" w:themeColor="text1"/>
        </w:rPr>
        <w:t xml:space="preserve"> mutations at relapse following chemoimmunotherapy and stem cell transplantation.</w:t>
      </w:r>
    </w:p>
    <w:p w14:paraId="4E7C615E" w14:textId="77777777" w:rsidR="008C7E98" w:rsidRPr="00D60A99" w:rsidRDefault="008C7E98" w:rsidP="008C7E98">
      <w:pPr>
        <w:rPr>
          <w:rFonts w:ascii="Times New Roman" w:hAnsi="Times New Roman" w:cs="Times New Roman"/>
          <w:b/>
          <w:bCs/>
          <w:color w:val="000000" w:themeColor="text1"/>
        </w:rPr>
      </w:pPr>
    </w:p>
    <w:p w14:paraId="14B02B91" w14:textId="77777777" w:rsidR="008C7E98" w:rsidRPr="00D60A99" w:rsidRDefault="008C7E98" w:rsidP="008C7E98">
      <w:pPr>
        <w:rPr>
          <w:rFonts w:ascii="Times New Roman" w:hAnsi="Times New Roman" w:cs="Times New Roman"/>
          <w:b/>
          <w:bCs/>
          <w:color w:val="000000" w:themeColor="text1"/>
        </w:rPr>
      </w:pPr>
      <w:r w:rsidRPr="00D60A99">
        <w:rPr>
          <w:rFonts w:ascii="Times New Roman" w:hAnsi="Times New Roman" w:cs="Times New Roman"/>
          <w:noProof/>
          <w:color w:val="000000" w:themeColor="text1"/>
        </w:rPr>
        <w:drawing>
          <wp:inline distT="0" distB="0" distL="0" distR="0" wp14:anchorId="5B552164" wp14:editId="144062EE">
            <wp:extent cx="5894676" cy="3956812"/>
            <wp:effectExtent l="0" t="0" r="0" b="5715"/>
            <wp:docPr id="20" name="Wu Livius 1-26-21-Supp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u Livius 1-26-21-Supp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4676" cy="3956812"/>
                    </a:xfrm>
                    <a:prstGeom prst="rect">
                      <a:avLst/>
                    </a:prstGeom>
                  </pic:spPr>
                </pic:pic>
              </a:graphicData>
            </a:graphic>
          </wp:inline>
        </w:drawing>
      </w:r>
    </w:p>
    <w:p w14:paraId="45841A0A" w14:textId="77777777" w:rsidR="008C7E98" w:rsidRPr="00D60A99" w:rsidRDefault="008C7E98" w:rsidP="008C7E98">
      <w:pPr>
        <w:spacing w:line="276" w:lineRule="auto"/>
        <w:rPr>
          <w:rFonts w:ascii="Times New Roman" w:hAnsi="Times New Roman" w:cs="Times New Roman"/>
          <w:b/>
          <w:bCs/>
          <w:color w:val="000000" w:themeColor="text1"/>
        </w:rPr>
      </w:pPr>
    </w:p>
    <w:p w14:paraId="77E7CC98" w14:textId="012C75C1" w:rsidR="008C7E98" w:rsidRPr="00D60A99" w:rsidRDefault="008C7E98" w:rsidP="008C7E98">
      <w:pPr>
        <w:spacing w:line="276" w:lineRule="auto"/>
        <w:rPr>
          <w:rFonts w:ascii="Times New Roman" w:hAnsi="Times New Roman" w:cs="Times New Roman"/>
          <w:b/>
          <w:bCs/>
          <w:color w:val="000000" w:themeColor="text1"/>
          <w:sz w:val="18"/>
          <w:szCs w:val="18"/>
        </w:rPr>
      </w:pPr>
      <w:r w:rsidRPr="00D60A99">
        <w:rPr>
          <w:rFonts w:ascii="Times New Roman" w:hAnsi="Times New Roman" w:cs="Times New Roman"/>
          <w:b/>
          <w:bCs/>
          <w:color w:val="000000" w:themeColor="text1"/>
          <w:sz w:val="18"/>
          <w:szCs w:val="18"/>
        </w:rPr>
        <w:t>(A, B)</w:t>
      </w:r>
      <w:r w:rsidRPr="00D60A99">
        <w:rPr>
          <w:rFonts w:ascii="Times New Roman" w:hAnsi="Times New Roman" w:cs="Times New Roman"/>
          <w:color w:val="000000" w:themeColor="text1"/>
          <w:sz w:val="18"/>
          <w:szCs w:val="18"/>
        </w:rPr>
        <w:t xml:space="preserve"> Mitochondrial DNA mutations and inferred copy number changes from </w:t>
      </w:r>
      <w:proofErr w:type="spellStart"/>
      <w:r w:rsidRPr="00D60A99">
        <w:rPr>
          <w:rFonts w:ascii="Times New Roman" w:hAnsi="Times New Roman" w:cs="Times New Roman"/>
          <w:color w:val="000000" w:themeColor="text1"/>
          <w:sz w:val="18"/>
          <w:szCs w:val="18"/>
        </w:rPr>
        <w:t>scATAC</w:t>
      </w:r>
      <w:proofErr w:type="spellEnd"/>
      <w:r w:rsidRPr="00D60A99">
        <w:rPr>
          <w:rFonts w:ascii="Times New Roman" w:hAnsi="Times New Roman" w:cs="Times New Roman"/>
          <w:color w:val="000000" w:themeColor="text1"/>
          <w:sz w:val="18"/>
          <w:szCs w:val="18"/>
        </w:rPr>
        <w:t>-seq data in CLL cells (CLL2</w:t>
      </w:r>
      <w:r w:rsidR="000F63D1" w:rsidRPr="00D60A99">
        <w:rPr>
          <w:rFonts w:ascii="Times New Roman" w:hAnsi="Times New Roman" w:cs="Times New Roman"/>
          <w:color w:val="000000" w:themeColor="text1"/>
          <w:sz w:val="18"/>
          <w:szCs w:val="18"/>
        </w:rPr>
        <w:t>)</w:t>
      </w:r>
      <w:r w:rsidRPr="00D60A99">
        <w:rPr>
          <w:rFonts w:ascii="Times New Roman" w:hAnsi="Times New Roman" w:cs="Times New Roman"/>
          <w:color w:val="000000" w:themeColor="text1"/>
          <w:sz w:val="18"/>
          <w:szCs w:val="18"/>
        </w:rPr>
        <w:t xml:space="preserve"> and </w:t>
      </w:r>
      <w:r w:rsidR="000F63D1" w:rsidRPr="00D60A99">
        <w:rPr>
          <w:rFonts w:ascii="Times New Roman" w:hAnsi="Times New Roman" w:cs="Times New Roman"/>
          <w:color w:val="000000" w:themeColor="text1"/>
          <w:sz w:val="18"/>
          <w:szCs w:val="18"/>
        </w:rPr>
        <w:t>CLL versus physiologic CD5</w:t>
      </w:r>
      <w:r w:rsidR="000F63D1" w:rsidRPr="00D60A99">
        <w:rPr>
          <w:rFonts w:ascii="Times New Roman" w:hAnsi="Times New Roman" w:cs="Times New Roman"/>
          <w:color w:val="000000" w:themeColor="text1"/>
          <w:sz w:val="18"/>
          <w:szCs w:val="18"/>
          <w:vertAlign w:val="superscript"/>
        </w:rPr>
        <w:t>-</w:t>
      </w:r>
      <w:r w:rsidR="000F63D1" w:rsidRPr="00D60A99">
        <w:rPr>
          <w:rFonts w:ascii="Times New Roman" w:hAnsi="Times New Roman" w:cs="Times New Roman"/>
          <w:color w:val="000000" w:themeColor="text1"/>
          <w:sz w:val="18"/>
          <w:szCs w:val="18"/>
        </w:rPr>
        <w:t xml:space="preserve"> B cells (</w:t>
      </w:r>
      <w:r w:rsidRPr="00D60A99">
        <w:rPr>
          <w:rFonts w:ascii="Times New Roman" w:hAnsi="Times New Roman" w:cs="Times New Roman"/>
          <w:color w:val="000000" w:themeColor="text1"/>
          <w:sz w:val="18"/>
          <w:szCs w:val="18"/>
        </w:rPr>
        <w:t>CLL3) before fludarabine, cyclophosphamide, rituximab (FCR) (Pre-FCR) and at relapse after FCR (Relapse). Only cells with at least one detectable mutation are shown.</w:t>
      </w:r>
    </w:p>
    <w:p w14:paraId="12A0D0B1" w14:textId="300B33B2" w:rsidR="008C7E98" w:rsidRPr="00D60A99" w:rsidRDefault="008C7E98" w:rsidP="008C7E98">
      <w:pPr>
        <w:spacing w:line="276" w:lineRule="auto"/>
        <w:rPr>
          <w:rFonts w:ascii="Times New Roman" w:hAnsi="Times New Roman" w:cs="Times New Roman"/>
          <w:color w:val="000000" w:themeColor="text1"/>
          <w:sz w:val="18"/>
          <w:szCs w:val="18"/>
        </w:rPr>
      </w:pPr>
      <w:r w:rsidRPr="00D60A99">
        <w:rPr>
          <w:rFonts w:ascii="Times New Roman" w:hAnsi="Times New Roman" w:cs="Times New Roman"/>
          <w:b/>
          <w:bCs/>
          <w:color w:val="000000" w:themeColor="text1"/>
          <w:sz w:val="18"/>
          <w:szCs w:val="18"/>
        </w:rPr>
        <w:t xml:space="preserve">(C) </w:t>
      </w:r>
      <w:r w:rsidRPr="00D60A99">
        <w:rPr>
          <w:rFonts w:ascii="Times New Roman" w:hAnsi="Times New Roman" w:cs="Times New Roman"/>
          <w:color w:val="000000" w:themeColor="text1"/>
          <w:sz w:val="18"/>
          <w:szCs w:val="18"/>
        </w:rPr>
        <w:t xml:space="preserve">Frequency of CLL cells marked by </w:t>
      </w:r>
      <w:proofErr w:type="spellStart"/>
      <w:r w:rsidRPr="00D60A99">
        <w:rPr>
          <w:rFonts w:ascii="Times New Roman" w:hAnsi="Times New Roman" w:cs="Times New Roman"/>
          <w:color w:val="000000" w:themeColor="text1"/>
          <w:sz w:val="18"/>
          <w:szCs w:val="18"/>
        </w:rPr>
        <w:t>mtDNA</w:t>
      </w:r>
      <w:proofErr w:type="spellEnd"/>
      <w:r w:rsidRPr="00D60A99">
        <w:rPr>
          <w:rFonts w:ascii="Times New Roman" w:hAnsi="Times New Roman" w:cs="Times New Roman"/>
          <w:color w:val="000000" w:themeColor="text1"/>
          <w:sz w:val="18"/>
          <w:szCs w:val="18"/>
        </w:rPr>
        <w:t xml:space="preserve"> mutations before (%pre-FCR) and at relapse after FCR (%post-FCR) or reduced intensity conditioning allogeneic stem cell transplantation (%post-RIC). Corresponding heatmaps with </w:t>
      </w:r>
      <w:proofErr w:type="spellStart"/>
      <w:r w:rsidRPr="00D60A99">
        <w:rPr>
          <w:rFonts w:ascii="Times New Roman" w:hAnsi="Times New Roman" w:cs="Times New Roman"/>
          <w:color w:val="000000" w:themeColor="text1"/>
          <w:sz w:val="18"/>
          <w:szCs w:val="18"/>
        </w:rPr>
        <w:t>mtDNA</w:t>
      </w:r>
      <w:proofErr w:type="spellEnd"/>
      <w:r w:rsidRPr="00D60A99">
        <w:rPr>
          <w:rFonts w:ascii="Times New Roman" w:hAnsi="Times New Roman" w:cs="Times New Roman"/>
          <w:color w:val="000000" w:themeColor="text1"/>
          <w:sz w:val="18"/>
          <w:szCs w:val="18"/>
        </w:rPr>
        <w:t xml:space="preserve"> mutations and copy number changes of CLL6 are shown in </w:t>
      </w:r>
      <w:r w:rsidRPr="00D60A99">
        <w:rPr>
          <w:rFonts w:ascii="Times New Roman" w:hAnsi="Times New Roman" w:cs="Times New Roman"/>
          <w:b/>
          <w:bCs/>
          <w:color w:val="000000" w:themeColor="text1"/>
          <w:sz w:val="18"/>
          <w:szCs w:val="18"/>
        </w:rPr>
        <w:t>Fig. 4</w:t>
      </w:r>
      <w:r w:rsidRPr="00D60A99">
        <w:rPr>
          <w:rFonts w:ascii="Times New Roman" w:hAnsi="Times New Roman" w:cs="Times New Roman"/>
          <w:color w:val="000000" w:themeColor="text1"/>
          <w:sz w:val="18"/>
          <w:szCs w:val="18"/>
        </w:rPr>
        <w:t xml:space="preserve">. </w:t>
      </w:r>
    </w:p>
    <w:p w14:paraId="3E72D850" w14:textId="7A3D931C" w:rsidR="008C7E98" w:rsidRPr="00D60A99" w:rsidRDefault="008C7E98" w:rsidP="008C7E98">
      <w:pPr>
        <w:spacing w:line="276" w:lineRule="auto"/>
        <w:rPr>
          <w:rFonts w:ascii="Times New Roman" w:hAnsi="Times New Roman" w:cs="Times New Roman"/>
          <w:b/>
          <w:bCs/>
          <w:color w:val="000000" w:themeColor="text1"/>
          <w:sz w:val="18"/>
          <w:szCs w:val="18"/>
        </w:rPr>
      </w:pPr>
      <w:r w:rsidRPr="00D60A99">
        <w:rPr>
          <w:rFonts w:ascii="Times New Roman" w:hAnsi="Times New Roman" w:cs="Times New Roman"/>
          <w:b/>
          <w:bCs/>
          <w:color w:val="000000" w:themeColor="text1"/>
          <w:sz w:val="18"/>
          <w:szCs w:val="18"/>
        </w:rPr>
        <w:t>(D, E)</w:t>
      </w:r>
      <w:r w:rsidRPr="00D60A99">
        <w:rPr>
          <w:rFonts w:ascii="Times New Roman" w:hAnsi="Times New Roman" w:cs="Times New Roman"/>
          <w:color w:val="000000" w:themeColor="text1"/>
          <w:sz w:val="18"/>
          <w:szCs w:val="18"/>
        </w:rPr>
        <w:t xml:space="preserve"> Browser tracks showing differential chromatin accessibility of </w:t>
      </w:r>
      <w:r w:rsidRPr="00D60A99">
        <w:rPr>
          <w:rFonts w:ascii="Times New Roman" w:hAnsi="Times New Roman" w:cs="Times New Roman"/>
          <w:i/>
          <w:iCs/>
          <w:color w:val="000000" w:themeColor="text1"/>
          <w:sz w:val="18"/>
          <w:szCs w:val="18"/>
        </w:rPr>
        <w:t>CD38</w:t>
      </w:r>
      <w:r w:rsidRPr="00D60A99">
        <w:rPr>
          <w:rFonts w:ascii="Times New Roman" w:hAnsi="Times New Roman" w:cs="Times New Roman"/>
          <w:color w:val="000000" w:themeColor="text1"/>
          <w:sz w:val="18"/>
          <w:szCs w:val="18"/>
        </w:rPr>
        <w:t xml:space="preserve"> and </w:t>
      </w:r>
      <w:r w:rsidRPr="00D60A99">
        <w:rPr>
          <w:rFonts w:ascii="Times New Roman" w:hAnsi="Times New Roman" w:cs="Times New Roman"/>
          <w:i/>
          <w:iCs/>
          <w:color w:val="000000" w:themeColor="text1"/>
          <w:sz w:val="18"/>
          <w:szCs w:val="18"/>
        </w:rPr>
        <w:t>ITGA4</w:t>
      </w:r>
      <w:r w:rsidRPr="00D60A99">
        <w:rPr>
          <w:rFonts w:ascii="Times New Roman" w:hAnsi="Times New Roman" w:cs="Times New Roman"/>
          <w:color w:val="000000" w:themeColor="text1"/>
          <w:sz w:val="18"/>
          <w:szCs w:val="18"/>
        </w:rPr>
        <w:t xml:space="preserve"> (encoding CD49d) between 2 subclones marked by 2332C&gt;T and 59</w:t>
      </w:r>
      <w:r w:rsidR="00FD7307" w:rsidRPr="00D60A99">
        <w:rPr>
          <w:rFonts w:ascii="Times New Roman" w:hAnsi="Times New Roman" w:cs="Times New Roman"/>
          <w:color w:val="000000" w:themeColor="text1"/>
          <w:sz w:val="18"/>
          <w:szCs w:val="18"/>
        </w:rPr>
        <w:t>79</w:t>
      </w:r>
      <w:r w:rsidRPr="00D60A99">
        <w:rPr>
          <w:rFonts w:ascii="Times New Roman" w:hAnsi="Times New Roman" w:cs="Times New Roman"/>
          <w:color w:val="000000" w:themeColor="text1"/>
          <w:sz w:val="18"/>
          <w:szCs w:val="18"/>
        </w:rPr>
        <w:t xml:space="preserve">G&gt;A (CLL5). </w:t>
      </w:r>
      <w:r w:rsidR="004264FA" w:rsidRPr="00D60A99">
        <w:rPr>
          <w:rFonts w:ascii="Times New Roman" w:hAnsi="Times New Roman" w:cs="Times New Roman"/>
          <w:color w:val="000000" w:themeColor="text1"/>
          <w:sz w:val="18"/>
          <w:szCs w:val="18"/>
        </w:rPr>
        <w:br/>
      </w:r>
      <w:r w:rsidR="004264FA" w:rsidRPr="00D60A99">
        <w:rPr>
          <w:rFonts w:ascii="Times New Roman" w:hAnsi="Times New Roman" w:cs="Times New Roman"/>
          <w:b/>
          <w:bCs/>
          <w:color w:val="000000" w:themeColor="text1"/>
          <w:sz w:val="18"/>
          <w:szCs w:val="18"/>
        </w:rPr>
        <w:t>(F)</w:t>
      </w:r>
      <w:r w:rsidR="004264FA" w:rsidRPr="00D60A99">
        <w:rPr>
          <w:rFonts w:ascii="Times New Roman" w:hAnsi="Times New Roman" w:cs="Times New Roman"/>
          <w:color w:val="000000" w:themeColor="text1"/>
          <w:sz w:val="18"/>
          <w:szCs w:val="18"/>
        </w:rPr>
        <w:t xml:space="preserve"> </w:t>
      </w:r>
      <w:r w:rsidR="00546E8F" w:rsidRPr="00D60A99">
        <w:rPr>
          <w:rFonts w:ascii="Times New Roman" w:hAnsi="Times New Roman" w:cs="Times New Roman"/>
          <w:color w:val="000000" w:themeColor="text1"/>
          <w:sz w:val="18"/>
          <w:szCs w:val="18"/>
        </w:rPr>
        <w:t xml:space="preserve">Differential </w:t>
      </w:r>
      <w:r w:rsidR="00227C89" w:rsidRPr="00D60A99">
        <w:rPr>
          <w:rFonts w:ascii="Times New Roman" w:hAnsi="Times New Roman" w:cs="Times New Roman"/>
          <w:color w:val="000000" w:themeColor="text1"/>
          <w:sz w:val="18"/>
          <w:szCs w:val="18"/>
        </w:rPr>
        <w:t>gene scores</w:t>
      </w:r>
      <w:r w:rsidR="00546E8F" w:rsidRPr="00D60A99">
        <w:rPr>
          <w:rFonts w:ascii="Times New Roman" w:hAnsi="Times New Roman" w:cs="Times New Roman"/>
          <w:color w:val="000000" w:themeColor="text1"/>
          <w:sz w:val="18"/>
          <w:szCs w:val="18"/>
        </w:rPr>
        <w:t xml:space="preserve"> between </w:t>
      </w:r>
      <w:r w:rsidR="00B73B23" w:rsidRPr="00D60A99">
        <w:rPr>
          <w:rFonts w:ascii="Times New Roman" w:hAnsi="Times New Roman" w:cs="Times New Roman"/>
          <w:color w:val="000000" w:themeColor="text1"/>
          <w:sz w:val="18"/>
          <w:szCs w:val="18"/>
        </w:rPr>
        <w:t xml:space="preserve">single </w:t>
      </w:r>
      <w:r w:rsidR="004B4FB5" w:rsidRPr="00D60A99">
        <w:rPr>
          <w:rFonts w:ascii="Times New Roman" w:hAnsi="Times New Roman" w:cs="Times New Roman"/>
          <w:color w:val="000000" w:themeColor="text1"/>
          <w:sz w:val="18"/>
          <w:szCs w:val="18"/>
        </w:rPr>
        <w:t xml:space="preserve">cells from </w:t>
      </w:r>
      <w:r w:rsidR="00546E8F" w:rsidRPr="00D60A99">
        <w:rPr>
          <w:rFonts w:ascii="Times New Roman" w:hAnsi="Times New Roman" w:cs="Times New Roman"/>
          <w:color w:val="000000" w:themeColor="text1"/>
          <w:sz w:val="18"/>
          <w:szCs w:val="18"/>
        </w:rPr>
        <w:t xml:space="preserve">clone 1 </w:t>
      </w:r>
      <w:r w:rsidR="00BD1B18" w:rsidRPr="00D60A99">
        <w:rPr>
          <w:rFonts w:ascii="Times New Roman" w:hAnsi="Times New Roman" w:cs="Times New Roman"/>
          <w:color w:val="000000" w:themeColor="text1"/>
          <w:sz w:val="18"/>
          <w:szCs w:val="18"/>
        </w:rPr>
        <w:t>marked by</w:t>
      </w:r>
      <w:r w:rsidR="00CF0C6E" w:rsidRPr="00D60A99">
        <w:rPr>
          <w:rFonts w:ascii="Times New Roman" w:hAnsi="Times New Roman" w:cs="Times New Roman"/>
          <w:color w:val="000000" w:themeColor="text1"/>
          <w:sz w:val="18"/>
          <w:szCs w:val="18"/>
        </w:rPr>
        <w:t xml:space="preserve"> </w:t>
      </w:r>
      <w:r w:rsidR="008D35A4" w:rsidRPr="00D60A99">
        <w:rPr>
          <w:rFonts w:ascii="Times New Roman" w:hAnsi="Times New Roman" w:cs="Times New Roman"/>
          <w:color w:val="000000" w:themeColor="text1"/>
          <w:sz w:val="18"/>
          <w:szCs w:val="18"/>
        </w:rPr>
        <w:t>2332C&gt;T</w:t>
      </w:r>
      <w:r w:rsidR="00BD1B18" w:rsidRPr="00D60A99">
        <w:rPr>
          <w:rFonts w:ascii="Times New Roman" w:hAnsi="Times New Roman" w:cs="Times New Roman"/>
          <w:color w:val="000000" w:themeColor="text1"/>
          <w:sz w:val="18"/>
          <w:szCs w:val="18"/>
        </w:rPr>
        <w:t xml:space="preserve"> </w:t>
      </w:r>
      <w:r w:rsidR="00546E8F" w:rsidRPr="00D60A99">
        <w:rPr>
          <w:rFonts w:ascii="Times New Roman" w:hAnsi="Times New Roman" w:cs="Times New Roman"/>
          <w:color w:val="000000" w:themeColor="text1"/>
          <w:sz w:val="18"/>
          <w:szCs w:val="18"/>
        </w:rPr>
        <w:t>and clone 2</w:t>
      </w:r>
      <w:r w:rsidR="008D35A4" w:rsidRPr="00D60A99">
        <w:rPr>
          <w:rFonts w:ascii="Times New Roman" w:hAnsi="Times New Roman" w:cs="Times New Roman"/>
          <w:color w:val="000000" w:themeColor="text1"/>
          <w:sz w:val="18"/>
          <w:szCs w:val="18"/>
        </w:rPr>
        <w:t xml:space="preserve"> marked by </w:t>
      </w:r>
      <w:r w:rsidR="003F793D" w:rsidRPr="00D60A99">
        <w:rPr>
          <w:rFonts w:ascii="Times New Roman" w:hAnsi="Times New Roman" w:cs="Times New Roman"/>
          <w:color w:val="000000" w:themeColor="text1"/>
          <w:sz w:val="18"/>
          <w:szCs w:val="18"/>
        </w:rPr>
        <w:t>59</w:t>
      </w:r>
      <w:r w:rsidR="00460682" w:rsidRPr="00D60A99">
        <w:rPr>
          <w:rFonts w:ascii="Times New Roman" w:hAnsi="Times New Roman" w:cs="Times New Roman"/>
          <w:color w:val="000000" w:themeColor="text1"/>
          <w:sz w:val="18"/>
          <w:szCs w:val="18"/>
        </w:rPr>
        <w:t>79</w:t>
      </w:r>
      <w:r w:rsidR="003F793D" w:rsidRPr="00D60A99">
        <w:rPr>
          <w:rFonts w:ascii="Times New Roman" w:hAnsi="Times New Roman" w:cs="Times New Roman"/>
          <w:color w:val="000000" w:themeColor="text1"/>
          <w:sz w:val="18"/>
          <w:szCs w:val="18"/>
        </w:rPr>
        <w:t>G&gt;A (CLL5).</w:t>
      </w:r>
      <w:r w:rsidR="00227C89" w:rsidRPr="00D60A99">
        <w:rPr>
          <w:rFonts w:ascii="Times New Roman" w:hAnsi="Times New Roman" w:cs="Times New Roman"/>
          <w:color w:val="000000" w:themeColor="text1"/>
          <w:sz w:val="18"/>
          <w:szCs w:val="18"/>
        </w:rPr>
        <w:t xml:space="preserve"> </w:t>
      </w:r>
    </w:p>
    <w:p w14:paraId="56E14FE0" w14:textId="77777777" w:rsidR="008C7E98" w:rsidRPr="00D60A99" w:rsidRDefault="008C7E98" w:rsidP="008C7E98">
      <w:pPr>
        <w:rPr>
          <w:rFonts w:ascii="Times New Roman" w:eastAsia="Times New Roman" w:hAnsi="Times New Roman" w:cs="Times New Roman"/>
          <w:b/>
          <w:bCs/>
          <w:color w:val="000000" w:themeColor="text1"/>
        </w:rPr>
      </w:pPr>
      <w:r w:rsidRPr="00D60A99">
        <w:rPr>
          <w:rFonts w:ascii="Times New Roman" w:hAnsi="Times New Roman" w:cs="Times New Roman"/>
          <w:b/>
          <w:bCs/>
          <w:color w:val="000000" w:themeColor="text1"/>
        </w:rPr>
        <w:br w:type="page"/>
      </w:r>
    </w:p>
    <w:p w14:paraId="1CC223E9" w14:textId="79A664B3" w:rsidR="008C7E98" w:rsidRPr="00D60A99" w:rsidRDefault="008C7E98" w:rsidP="008C7E98">
      <w:pPr>
        <w:pStyle w:val="Paragraph"/>
        <w:ind w:firstLine="0"/>
        <w:rPr>
          <w:color w:val="000000" w:themeColor="text1"/>
        </w:rPr>
      </w:pPr>
      <w:r w:rsidRPr="00D60A99">
        <w:rPr>
          <w:b/>
          <w:bCs/>
          <w:color w:val="000000" w:themeColor="text1"/>
        </w:rPr>
        <w:lastRenderedPageBreak/>
        <w:t xml:space="preserve">Suppl. Fig. </w:t>
      </w:r>
      <w:r w:rsidR="00627F88" w:rsidRPr="00D60A99">
        <w:rPr>
          <w:b/>
          <w:bCs/>
          <w:color w:val="000000" w:themeColor="text1"/>
        </w:rPr>
        <w:t>5</w:t>
      </w:r>
      <w:r w:rsidRPr="00D60A99">
        <w:rPr>
          <w:b/>
          <w:bCs/>
          <w:color w:val="000000" w:themeColor="text1"/>
        </w:rPr>
        <w:t xml:space="preserve">. </w:t>
      </w:r>
      <w:r w:rsidRPr="00D60A99">
        <w:rPr>
          <w:color w:val="000000" w:themeColor="text1"/>
        </w:rPr>
        <w:t xml:space="preserve">Changes in chromatin accessibility and gene expression at relapse after chemoimmunotherapy. </w:t>
      </w:r>
    </w:p>
    <w:p w14:paraId="5EE86BD2" w14:textId="77777777" w:rsidR="008C7E98" w:rsidRPr="00D60A99" w:rsidRDefault="008C7E98" w:rsidP="008C7E98">
      <w:pPr>
        <w:pStyle w:val="Paragraph"/>
        <w:ind w:firstLine="0"/>
        <w:rPr>
          <w:color w:val="000000" w:themeColor="text1"/>
        </w:rPr>
      </w:pPr>
    </w:p>
    <w:p w14:paraId="157D50C0" w14:textId="77777777" w:rsidR="008C7E98" w:rsidRPr="00D60A99" w:rsidRDefault="008C7E98" w:rsidP="008C7E98">
      <w:pPr>
        <w:pStyle w:val="Paragraph"/>
        <w:ind w:firstLine="0"/>
        <w:rPr>
          <w:b/>
          <w:bCs/>
          <w:color w:val="000000" w:themeColor="text1"/>
        </w:rPr>
      </w:pPr>
      <w:r w:rsidRPr="00D60A99">
        <w:rPr>
          <w:noProof/>
          <w:color w:val="000000" w:themeColor="text1"/>
        </w:rPr>
        <w:drawing>
          <wp:inline distT="0" distB="0" distL="0" distR="0" wp14:anchorId="45D9F6C4" wp14:editId="55DC8E33">
            <wp:extent cx="5932169" cy="4760383"/>
            <wp:effectExtent l="0" t="0" r="0" b="2540"/>
            <wp:docPr id="19" name="Wu Livius 1-26-21-Supp4.tif"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u Livius 1-26-21-Supp4.tif" descr="Diagram&#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5932169" cy="4760383"/>
                    </a:xfrm>
                    <a:prstGeom prst="rect">
                      <a:avLst/>
                    </a:prstGeom>
                  </pic:spPr>
                </pic:pic>
              </a:graphicData>
            </a:graphic>
          </wp:inline>
        </w:drawing>
      </w:r>
    </w:p>
    <w:p w14:paraId="038F9A17" w14:textId="77777777" w:rsidR="008C7E98" w:rsidRPr="00D60A99" w:rsidRDefault="008C7E98" w:rsidP="008C7E98">
      <w:pPr>
        <w:pStyle w:val="Paragraph"/>
        <w:ind w:firstLine="0"/>
        <w:rPr>
          <w:b/>
          <w:bCs/>
          <w:color w:val="000000" w:themeColor="text1"/>
        </w:rPr>
      </w:pPr>
    </w:p>
    <w:p w14:paraId="37170AA5" w14:textId="77777777" w:rsidR="008C7E98" w:rsidRPr="00D60A99" w:rsidRDefault="008C7E98" w:rsidP="008C7E98">
      <w:pPr>
        <w:pStyle w:val="Paragraph"/>
        <w:ind w:firstLine="0"/>
        <w:rPr>
          <w:color w:val="000000" w:themeColor="text1"/>
          <w:sz w:val="18"/>
          <w:szCs w:val="18"/>
        </w:rPr>
      </w:pPr>
      <w:r w:rsidRPr="00D60A99">
        <w:rPr>
          <w:b/>
          <w:bCs/>
          <w:color w:val="000000" w:themeColor="text1"/>
          <w:sz w:val="18"/>
          <w:szCs w:val="18"/>
        </w:rPr>
        <w:t>(A)</w:t>
      </w:r>
      <w:r w:rsidRPr="00D60A99">
        <w:rPr>
          <w:color w:val="000000" w:themeColor="text1"/>
          <w:sz w:val="18"/>
          <w:szCs w:val="18"/>
        </w:rPr>
        <w:t xml:space="preserve"> Deviation scores of SPIB, SPI1, BCL11B, BCL11A and IRF1 in CLL1-6 before chemotherapy with fludarabine, cyclophosphamide and rituximab (FCR) (pre) and at relapse after FCR or allogeneic stem cell transplantation (RIC </w:t>
      </w:r>
      <w:proofErr w:type="spellStart"/>
      <w:r w:rsidRPr="00D60A99">
        <w:rPr>
          <w:color w:val="000000" w:themeColor="text1"/>
          <w:sz w:val="18"/>
          <w:szCs w:val="18"/>
        </w:rPr>
        <w:t>allo</w:t>
      </w:r>
      <w:proofErr w:type="spellEnd"/>
      <w:r w:rsidRPr="00D60A99">
        <w:rPr>
          <w:color w:val="000000" w:themeColor="text1"/>
          <w:sz w:val="18"/>
          <w:szCs w:val="18"/>
        </w:rPr>
        <w:t xml:space="preserve">-HSCT) (post). Shown are 100 cells per CLL and timepoint. </w:t>
      </w:r>
      <w:r w:rsidRPr="00D60A99">
        <w:rPr>
          <w:color w:val="000000" w:themeColor="text1"/>
          <w:sz w:val="18"/>
          <w:szCs w:val="18"/>
        </w:rPr>
        <w:br/>
      </w:r>
      <w:r w:rsidRPr="00D60A99">
        <w:rPr>
          <w:b/>
          <w:bCs/>
          <w:color w:val="000000" w:themeColor="text1"/>
          <w:sz w:val="18"/>
          <w:szCs w:val="18"/>
        </w:rPr>
        <w:t>(B)</w:t>
      </w:r>
      <w:r w:rsidRPr="00D60A99">
        <w:rPr>
          <w:color w:val="000000" w:themeColor="text1"/>
          <w:sz w:val="18"/>
          <w:szCs w:val="18"/>
        </w:rPr>
        <w:t xml:space="preserve"> UMAP plot of </w:t>
      </w:r>
      <w:proofErr w:type="spellStart"/>
      <w:r w:rsidRPr="00D60A99">
        <w:rPr>
          <w:color w:val="000000" w:themeColor="text1"/>
          <w:sz w:val="18"/>
          <w:szCs w:val="18"/>
        </w:rPr>
        <w:t>scRNA</w:t>
      </w:r>
      <w:proofErr w:type="spellEnd"/>
      <w:r w:rsidRPr="00D60A99">
        <w:rPr>
          <w:color w:val="000000" w:themeColor="text1"/>
          <w:sz w:val="18"/>
          <w:szCs w:val="18"/>
        </w:rPr>
        <w:t xml:space="preserve">-seq profiles of 72,401 CLL/B cells from CLL1-6 used for differential gene expression analysis. Color shading indicates timepoint (light = pre-FCR; dark = relapse after FCR or RIC </w:t>
      </w:r>
      <w:proofErr w:type="spellStart"/>
      <w:r w:rsidRPr="00D60A99">
        <w:rPr>
          <w:color w:val="000000" w:themeColor="text1"/>
          <w:sz w:val="18"/>
          <w:szCs w:val="18"/>
        </w:rPr>
        <w:t>allo</w:t>
      </w:r>
      <w:proofErr w:type="spellEnd"/>
      <w:r w:rsidRPr="00D60A99">
        <w:rPr>
          <w:color w:val="000000" w:themeColor="text1"/>
          <w:sz w:val="18"/>
          <w:szCs w:val="18"/>
        </w:rPr>
        <w:t>-HSCT).</w:t>
      </w:r>
    </w:p>
    <w:p w14:paraId="0A002ED1" w14:textId="35E7C66B" w:rsidR="008C7E98" w:rsidRPr="00D60A99" w:rsidRDefault="008C7E98" w:rsidP="008C7E98">
      <w:pPr>
        <w:rPr>
          <w:rFonts w:ascii="Times New Roman" w:hAnsi="Times New Roman" w:cs="Times New Roman"/>
          <w:color w:val="000000" w:themeColor="text1"/>
          <w:sz w:val="18"/>
          <w:szCs w:val="18"/>
        </w:rPr>
      </w:pPr>
      <w:r w:rsidRPr="00D60A99">
        <w:rPr>
          <w:rFonts w:ascii="Times New Roman" w:hAnsi="Times New Roman" w:cs="Times New Roman"/>
          <w:b/>
          <w:bCs/>
          <w:color w:val="000000" w:themeColor="text1"/>
          <w:sz w:val="18"/>
          <w:szCs w:val="18"/>
        </w:rPr>
        <w:t>(C)</w:t>
      </w:r>
      <w:r w:rsidRPr="00D60A99">
        <w:rPr>
          <w:rFonts w:ascii="Times New Roman" w:hAnsi="Times New Roman" w:cs="Times New Roman"/>
          <w:color w:val="000000" w:themeColor="text1"/>
          <w:sz w:val="18"/>
          <w:szCs w:val="18"/>
        </w:rPr>
        <w:t xml:space="preserve"> Differential gene expression analysis based on </w:t>
      </w:r>
      <w:proofErr w:type="spellStart"/>
      <w:r w:rsidRPr="00D60A99">
        <w:rPr>
          <w:rFonts w:ascii="Times New Roman" w:hAnsi="Times New Roman" w:cs="Times New Roman"/>
          <w:color w:val="000000" w:themeColor="text1"/>
          <w:sz w:val="18"/>
          <w:szCs w:val="18"/>
        </w:rPr>
        <w:t>scRNA</w:t>
      </w:r>
      <w:proofErr w:type="spellEnd"/>
      <w:r w:rsidRPr="00D60A99">
        <w:rPr>
          <w:rFonts w:ascii="Times New Roman" w:hAnsi="Times New Roman" w:cs="Times New Roman"/>
          <w:color w:val="000000" w:themeColor="text1"/>
          <w:sz w:val="18"/>
          <w:szCs w:val="18"/>
        </w:rPr>
        <w:t xml:space="preserve">-seq profiles shown in (B) pre-FCR (pre) versus relapse after FCR or RIC </w:t>
      </w:r>
      <w:proofErr w:type="spellStart"/>
      <w:r w:rsidRPr="00D60A99">
        <w:rPr>
          <w:rFonts w:ascii="Times New Roman" w:hAnsi="Times New Roman" w:cs="Times New Roman"/>
          <w:color w:val="000000" w:themeColor="text1"/>
          <w:sz w:val="18"/>
          <w:szCs w:val="18"/>
        </w:rPr>
        <w:t>allo</w:t>
      </w:r>
      <w:proofErr w:type="spellEnd"/>
      <w:r w:rsidRPr="00D60A99">
        <w:rPr>
          <w:rFonts w:ascii="Times New Roman" w:hAnsi="Times New Roman" w:cs="Times New Roman"/>
          <w:color w:val="000000" w:themeColor="text1"/>
          <w:sz w:val="18"/>
          <w:szCs w:val="18"/>
        </w:rPr>
        <w:t>-HSCT</w:t>
      </w:r>
      <w:r w:rsidR="00255893">
        <w:rPr>
          <w:rFonts w:ascii="Times New Roman" w:hAnsi="Times New Roman" w:cs="Times New Roman"/>
          <w:color w:val="000000" w:themeColor="text1"/>
          <w:sz w:val="18"/>
          <w:szCs w:val="18"/>
        </w:rPr>
        <w:t xml:space="preserve"> </w:t>
      </w:r>
      <w:r w:rsidRPr="00D60A99">
        <w:rPr>
          <w:rFonts w:ascii="Times New Roman" w:hAnsi="Times New Roman" w:cs="Times New Roman"/>
          <w:color w:val="000000" w:themeColor="text1"/>
          <w:sz w:val="18"/>
          <w:szCs w:val="18"/>
        </w:rPr>
        <w:t xml:space="preserve">(post). </w:t>
      </w:r>
    </w:p>
    <w:p w14:paraId="4410B75B" w14:textId="6AEE5C64" w:rsidR="008C7E98" w:rsidRPr="00D60A99" w:rsidRDefault="008C7E98" w:rsidP="008C7E98">
      <w:pPr>
        <w:rPr>
          <w:rFonts w:ascii="Times New Roman" w:hAnsi="Times New Roman" w:cs="Times New Roman"/>
          <w:color w:val="000000" w:themeColor="text1"/>
          <w:sz w:val="18"/>
          <w:szCs w:val="18"/>
        </w:rPr>
      </w:pPr>
      <w:r w:rsidRPr="00D60A99">
        <w:rPr>
          <w:rFonts w:ascii="Times New Roman" w:hAnsi="Times New Roman" w:cs="Times New Roman"/>
          <w:b/>
          <w:bCs/>
          <w:color w:val="000000" w:themeColor="text1"/>
          <w:sz w:val="18"/>
          <w:szCs w:val="18"/>
        </w:rPr>
        <w:t xml:space="preserve">(D, E) </w:t>
      </w:r>
      <w:r w:rsidR="0064253D">
        <w:rPr>
          <w:rFonts w:ascii="Times New Roman" w:hAnsi="Times New Roman" w:cs="Times New Roman"/>
          <w:color w:val="000000" w:themeColor="text1"/>
          <w:sz w:val="18"/>
          <w:szCs w:val="18"/>
        </w:rPr>
        <w:t>E</w:t>
      </w:r>
      <w:r w:rsidRPr="005D2AF3">
        <w:rPr>
          <w:rFonts w:ascii="Times New Roman" w:hAnsi="Times New Roman" w:cs="Times New Roman"/>
          <w:color w:val="000000" w:themeColor="text1"/>
          <w:sz w:val="18"/>
          <w:szCs w:val="18"/>
        </w:rPr>
        <w:t>xpression</w:t>
      </w:r>
      <w:r w:rsidRPr="00D60A99">
        <w:rPr>
          <w:rFonts w:ascii="Times New Roman" w:hAnsi="Times New Roman" w:cs="Times New Roman"/>
          <w:color w:val="000000" w:themeColor="text1"/>
          <w:sz w:val="18"/>
          <w:szCs w:val="18"/>
        </w:rPr>
        <w:t xml:space="preserve"> of genes downregulated at relapse (</w:t>
      </w:r>
      <w:r w:rsidRPr="00D60A99">
        <w:rPr>
          <w:rFonts w:ascii="Times New Roman" w:hAnsi="Times New Roman" w:cs="Times New Roman"/>
          <w:i/>
          <w:iCs/>
          <w:color w:val="000000" w:themeColor="text1"/>
          <w:sz w:val="18"/>
          <w:szCs w:val="18"/>
        </w:rPr>
        <w:t>CD24, MEF2C</w:t>
      </w:r>
      <w:r w:rsidRPr="00D60A99">
        <w:rPr>
          <w:rFonts w:ascii="Times New Roman" w:hAnsi="Times New Roman" w:cs="Times New Roman"/>
          <w:color w:val="000000" w:themeColor="text1"/>
          <w:sz w:val="18"/>
          <w:szCs w:val="18"/>
        </w:rPr>
        <w:t>) or upregulated at relapse (</w:t>
      </w:r>
      <w:r w:rsidRPr="00D60A99">
        <w:rPr>
          <w:rFonts w:ascii="Times New Roman" w:hAnsi="Times New Roman" w:cs="Times New Roman"/>
          <w:i/>
          <w:iCs/>
          <w:color w:val="000000" w:themeColor="text1"/>
          <w:sz w:val="18"/>
          <w:szCs w:val="18"/>
        </w:rPr>
        <w:t>CXCR4, RGS1/2</w:t>
      </w:r>
      <w:r w:rsidRPr="00D60A99">
        <w:rPr>
          <w:rFonts w:ascii="Times New Roman" w:hAnsi="Times New Roman" w:cs="Times New Roman"/>
          <w:color w:val="000000" w:themeColor="text1"/>
          <w:sz w:val="18"/>
          <w:szCs w:val="18"/>
        </w:rPr>
        <w:t xml:space="preserve">) after FCR or RIC </w:t>
      </w:r>
      <w:proofErr w:type="spellStart"/>
      <w:r w:rsidRPr="00D60A99">
        <w:rPr>
          <w:rFonts w:ascii="Times New Roman" w:hAnsi="Times New Roman" w:cs="Times New Roman"/>
          <w:color w:val="000000" w:themeColor="text1"/>
          <w:sz w:val="18"/>
          <w:szCs w:val="18"/>
        </w:rPr>
        <w:t>allo</w:t>
      </w:r>
      <w:proofErr w:type="spellEnd"/>
      <w:r w:rsidRPr="00D60A99">
        <w:rPr>
          <w:rFonts w:ascii="Times New Roman" w:hAnsi="Times New Roman" w:cs="Times New Roman"/>
          <w:color w:val="000000" w:themeColor="text1"/>
          <w:sz w:val="18"/>
          <w:szCs w:val="18"/>
        </w:rPr>
        <w:t>-HSCT across CLL1-6.</w:t>
      </w:r>
    </w:p>
    <w:p w14:paraId="5056F713" w14:textId="77777777" w:rsidR="008C7E98" w:rsidRPr="00D60A99" w:rsidRDefault="008C7E98" w:rsidP="008C7E98">
      <w:pPr>
        <w:rPr>
          <w:rFonts w:ascii="Times New Roman" w:eastAsia="Times New Roman" w:hAnsi="Times New Roman" w:cs="Times New Roman"/>
          <w:b/>
          <w:bCs/>
          <w:color w:val="000000" w:themeColor="text1"/>
        </w:rPr>
      </w:pPr>
      <w:r w:rsidRPr="00D60A99">
        <w:rPr>
          <w:rFonts w:ascii="Times New Roman" w:hAnsi="Times New Roman" w:cs="Times New Roman"/>
          <w:b/>
          <w:bCs/>
          <w:color w:val="000000" w:themeColor="text1"/>
        </w:rPr>
        <w:br w:type="page"/>
      </w:r>
    </w:p>
    <w:p w14:paraId="335165A6" w14:textId="36CB07F5" w:rsidR="008C7E98" w:rsidRPr="00D60A99" w:rsidRDefault="008C7E98" w:rsidP="008C7E98">
      <w:pPr>
        <w:pStyle w:val="Paragraph"/>
        <w:ind w:firstLine="0"/>
        <w:rPr>
          <w:b/>
          <w:bCs/>
          <w:color w:val="000000" w:themeColor="text1"/>
        </w:rPr>
      </w:pPr>
      <w:r w:rsidRPr="00D60A99">
        <w:rPr>
          <w:b/>
          <w:bCs/>
          <w:color w:val="000000" w:themeColor="text1"/>
        </w:rPr>
        <w:lastRenderedPageBreak/>
        <w:t xml:space="preserve">Suppl. Fig. </w:t>
      </w:r>
      <w:r w:rsidR="00627F88" w:rsidRPr="00D60A99">
        <w:rPr>
          <w:b/>
          <w:bCs/>
          <w:color w:val="000000" w:themeColor="text1"/>
        </w:rPr>
        <w:t>6</w:t>
      </w:r>
      <w:r w:rsidRPr="00D60A99">
        <w:rPr>
          <w:b/>
          <w:bCs/>
          <w:color w:val="000000" w:themeColor="text1"/>
        </w:rPr>
        <w:t xml:space="preserve">. </w:t>
      </w:r>
      <w:r w:rsidRPr="00D60A99">
        <w:rPr>
          <w:color w:val="000000" w:themeColor="text1"/>
        </w:rPr>
        <w:t xml:space="preserve">Changes in </w:t>
      </w:r>
      <w:proofErr w:type="spellStart"/>
      <w:r w:rsidRPr="00D60A99">
        <w:rPr>
          <w:color w:val="000000" w:themeColor="text1"/>
        </w:rPr>
        <w:t>mtDNA</w:t>
      </w:r>
      <w:proofErr w:type="spellEnd"/>
      <w:r w:rsidRPr="00D60A99">
        <w:rPr>
          <w:color w:val="000000" w:themeColor="text1"/>
        </w:rPr>
        <w:t xml:space="preserve"> mutations during ibrutinib treatment.</w:t>
      </w:r>
    </w:p>
    <w:p w14:paraId="54B571A9" w14:textId="77777777" w:rsidR="008C7E98" w:rsidRPr="00D60A99" w:rsidRDefault="008C7E98" w:rsidP="008C7E98">
      <w:pPr>
        <w:pStyle w:val="Paragraph"/>
        <w:ind w:firstLine="0"/>
        <w:rPr>
          <w:b/>
          <w:bCs/>
          <w:color w:val="000000" w:themeColor="text1"/>
        </w:rPr>
      </w:pPr>
    </w:p>
    <w:p w14:paraId="4FD650DC" w14:textId="77777777" w:rsidR="008C7E98" w:rsidRPr="00D60A99" w:rsidRDefault="008C7E98" w:rsidP="008C7E98">
      <w:pPr>
        <w:pStyle w:val="Paragraph"/>
        <w:ind w:firstLine="0"/>
        <w:jc w:val="center"/>
        <w:rPr>
          <w:b/>
          <w:bCs/>
          <w:color w:val="000000" w:themeColor="text1"/>
        </w:rPr>
      </w:pPr>
      <w:r w:rsidRPr="00D60A99">
        <w:rPr>
          <w:noProof/>
          <w:color w:val="000000" w:themeColor="text1"/>
        </w:rPr>
        <w:drawing>
          <wp:inline distT="0" distB="0" distL="0" distR="0" wp14:anchorId="094821EF" wp14:editId="3FEF699E">
            <wp:extent cx="5924488" cy="5943600"/>
            <wp:effectExtent l="0" t="0" r="0" b="0"/>
            <wp:docPr id="18" name="Wu Livius 1-26-21-Supp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u Livius 1-26-21-Supp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4488" cy="5943600"/>
                    </a:xfrm>
                    <a:prstGeom prst="rect">
                      <a:avLst/>
                    </a:prstGeom>
                  </pic:spPr>
                </pic:pic>
              </a:graphicData>
            </a:graphic>
          </wp:inline>
        </w:drawing>
      </w:r>
    </w:p>
    <w:p w14:paraId="6BE8FA69" w14:textId="77777777" w:rsidR="008C7E98" w:rsidRPr="00D60A99" w:rsidRDefault="008C7E98" w:rsidP="008C7E98">
      <w:pPr>
        <w:pStyle w:val="Paragraph"/>
        <w:ind w:firstLine="0"/>
        <w:rPr>
          <w:b/>
          <w:bCs/>
          <w:color w:val="000000" w:themeColor="text1"/>
        </w:rPr>
      </w:pPr>
    </w:p>
    <w:p w14:paraId="63DB7CF6" w14:textId="4B0AEA21" w:rsidR="008C7E98" w:rsidRPr="00D60A99" w:rsidRDefault="008C7E98" w:rsidP="008C7E98">
      <w:pPr>
        <w:spacing w:line="276" w:lineRule="auto"/>
        <w:rPr>
          <w:rFonts w:ascii="Times New Roman" w:hAnsi="Times New Roman" w:cs="Times New Roman"/>
          <w:color w:val="000000" w:themeColor="text1"/>
          <w:sz w:val="18"/>
          <w:szCs w:val="18"/>
        </w:rPr>
      </w:pPr>
      <w:r w:rsidRPr="00D60A99">
        <w:rPr>
          <w:rFonts w:ascii="Times New Roman" w:hAnsi="Times New Roman" w:cs="Times New Roman"/>
          <w:b/>
          <w:bCs/>
          <w:color w:val="000000" w:themeColor="text1"/>
          <w:sz w:val="18"/>
          <w:szCs w:val="18"/>
        </w:rPr>
        <w:t>(A)</w:t>
      </w:r>
      <w:r w:rsidRPr="00D60A99">
        <w:rPr>
          <w:rFonts w:ascii="Times New Roman" w:hAnsi="Times New Roman" w:cs="Times New Roman"/>
          <w:color w:val="000000" w:themeColor="text1"/>
          <w:sz w:val="18"/>
          <w:szCs w:val="18"/>
        </w:rPr>
        <w:t xml:space="preserve"> Percentage of T cells and monocytes marked by different </w:t>
      </w:r>
      <w:proofErr w:type="spellStart"/>
      <w:r w:rsidRPr="00D60A99">
        <w:rPr>
          <w:rFonts w:ascii="Times New Roman" w:hAnsi="Times New Roman" w:cs="Times New Roman"/>
          <w:color w:val="000000" w:themeColor="text1"/>
          <w:sz w:val="18"/>
          <w:szCs w:val="18"/>
        </w:rPr>
        <w:t>mtDNA</w:t>
      </w:r>
      <w:proofErr w:type="spellEnd"/>
      <w:r w:rsidRPr="00D60A99">
        <w:rPr>
          <w:rFonts w:ascii="Times New Roman" w:hAnsi="Times New Roman" w:cs="Times New Roman"/>
          <w:color w:val="000000" w:themeColor="text1"/>
          <w:sz w:val="18"/>
          <w:szCs w:val="18"/>
        </w:rPr>
        <w:t xml:space="preserve"> mutations during ibrutinib treatment in CLL6 and CLL7. </w:t>
      </w:r>
      <w:r w:rsidRPr="00D60A99">
        <w:rPr>
          <w:rFonts w:ascii="Times New Roman" w:hAnsi="Times New Roman" w:cs="Times New Roman"/>
          <w:color w:val="000000" w:themeColor="text1"/>
          <w:sz w:val="18"/>
          <w:szCs w:val="18"/>
        </w:rPr>
        <w:br/>
      </w:r>
      <w:r w:rsidRPr="00D60A99">
        <w:rPr>
          <w:rFonts w:ascii="Times New Roman" w:hAnsi="Times New Roman" w:cs="Times New Roman"/>
          <w:b/>
          <w:bCs/>
          <w:color w:val="000000" w:themeColor="text1"/>
          <w:sz w:val="18"/>
          <w:szCs w:val="18"/>
        </w:rPr>
        <w:t>(B, C)</w:t>
      </w:r>
      <w:r w:rsidRPr="00D60A99">
        <w:rPr>
          <w:rFonts w:ascii="Times New Roman" w:hAnsi="Times New Roman" w:cs="Times New Roman"/>
          <w:color w:val="000000" w:themeColor="text1"/>
          <w:sz w:val="18"/>
          <w:szCs w:val="18"/>
        </w:rPr>
        <w:t xml:space="preserve"> Mitochondrial DNA mutations and inferred copy number changes from </w:t>
      </w:r>
      <w:proofErr w:type="spellStart"/>
      <w:r w:rsidRPr="00D60A99">
        <w:rPr>
          <w:rFonts w:ascii="Times New Roman" w:hAnsi="Times New Roman" w:cs="Times New Roman"/>
          <w:color w:val="000000" w:themeColor="text1"/>
          <w:sz w:val="18"/>
          <w:szCs w:val="18"/>
        </w:rPr>
        <w:t>scATAC</w:t>
      </w:r>
      <w:proofErr w:type="spellEnd"/>
      <w:r w:rsidRPr="00D60A99">
        <w:rPr>
          <w:rFonts w:ascii="Times New Roman" w:hAnsi="Times New Roman" w:cs="Times New Roman"/>
          <w:color w:val="000000" w:themeColor="text1"/>
          <w:sz w:val="18"/>
          <w:szCs w:val="18"/>
        </w:rPr>
        <w:t>-seq data in CLL cells (CLL7 and CLL8) before and during ibrutinib treatment. Only cells with at least one detectable mutation are shown.</w:t>
      </w:r>
      <w:r w:rsidRPr="00D60A99">
        <w:rPr>
          <w:rFonts w:ascii="Times New Roman" w:hAnsi="Times New Roman" w:cs="Times New Roman"/>
          <w:color w:val="000000" w:themeColor="text1"/>
          <w:sz w:val="18"/>
          <w:szCs w:val="18"/>
        </w:rPr>
        <w:br/>
      </w:r>
    </w:p>
    <w:p w14:paraId="7655DC14" w14:textId="77777777" w:rsidR="008C7E98" w:rsidRPr="00D60A99" w:rsidRDefault="008C7E98" w:rsidP="008C7E98">
      <w:pPr>
        <w:pStyle w:val="Paragraph"/>
        <w:ind w:firstLine="0"/>
        <w:rPr>
          <w:color w:val="000000" w:themeColor="text1"/>
        </w:rPr>
      </w:pPr>
      <w:r w:rsidRPr="00D60A99">
        <w:rPr>
          <w:b/>
          <w:bCs/>
          <w:color w:val="000000" w:themeColor="text1"/>
        </w:rPr>
        <w:br w:type="page"/>
      </w:r>
    </w:p>
    <w:p w14:paraId="56E8EEFD" w14:textId="0CA76CA8" w:rsidR="008C7E98" w:rsidRPr="00D60A99" w:rsidRDefault="008C7E98" w:rsidP="008C7E98">
      <w:pPr>
        <w:pStyle w:val="Paragraph"/>
        <w:ind w:firstLine="0"/>
        <w:rPr>
          <w:color w:val="000000" w:themeColor="text1"/>
        </w:rPr>
      </w:pPr>
      <w:r w:rsidRPr="00D60A99">
        <w:rPr>
          <w:b/>
          <w:bCs/>
          <w:color w:val="000000" w:themeColor="text1"/>
        </w:rPr>
        <w:lastRenderedPageBreak/>
        <w:t xml:space="preserve">Suppl. Fig. </w:t>
      </w:r>
      <w:r w:rsidR="00627F88" w:rsidRPr="00D60A99">
        <w:rPr>
          <w:b/>
          <w:bCs/>
          <w:color w:val="000000" w:themeColor="text1"/>
        </w:rPr>
        <w:t>7</w:t>
      </w:r>
      <w:r w:rsidRPr="00D60A99">
        <w:rPr>
          <w:b/>
          <w:bCs/>
          <w:color w:val="000000" w:themeColor="text1"/>
        </w:rPr>
        <w:t xml:space="preserve">. </w:t>
      </w:r>
      <w:r w:rsidRPr="00D60A99">
        <w:rPr>
          <w:color w:val="000000" w:themeColor="text1"/>
        </w:rPr>
        <w:t xml:space="preserve">Gene expression and chromatin state changes during ibrutinib treatment. </w:t>
      </w:r>
    </w:p>
    <w:p w14:paraId="41254656" w14:textId="77777777" w:rsidR="008C7E98" w:rsidRPr="00D60A99" w:rsidRDefault="008C7E98" w:rsidP="008C7E98">
      <w:pPr>
        <w:pStyle w:val="Paragraph"/>
        <w:ind w:firstLine="0"/>
        <w:rPr>
          <w:color w:val="000000" w:themeColor="text1"/>
        </w:rPr>
      </w:pPr>
    </w:p>
    <w:p w14:paraId="4E0836B2" w14:textId="77777777" w:rsidR="008C7E98" w:rsidRPr="00D60A99" w:rsidRDefault="008C7E98" w:rsidP="008C7E98">
      <w:pPr>
        <w:pStyle w:val="Paragraph"/>
        <w:ind w:firstLine="0"/>
        <w:rPr>
          <w:color w:val="000000" w:themeColor="text1"/>
        </w:rPr>
      </w:pPr>
      <w:r w:rsidRPr="00D60A99">
        <w:rPr>
          <w:noProof/>
          <w:color w:val="000000" w:themeColor="text1"/>
        </w:rPr>
        <w:drawing>
          <wp:inline distT="0" distB="0" distL="0" distR="0" wp14:anchorId="5660CEE3" wp14:editId="26381DD1">
            <wp:extent cx="5880444" cy="394398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80444" cy="3943984"/>
                    </a:xfrm>
                    <a:prstGeom prst="rect">
                      <a:avLst/>
                    </a:prstGeom>
                  </pic:spPr>
                </pic:pic>
              </a:graphicData>
            </a:graphic>
          </wp:inline>
        </w:drawing>
      </w:r>
    </w:p>
    <w:p w14:paraId="2C272242" w14:textId="77777777" w:rsidR="008C7E98" w:rsidRPr="00D60A99" w:rsidRDefault="008C7E98" w:rsidP="008C7E98">
      <w:pPr>
        <w:pStyle w:val="Paragraph"/>
        <w:ind w:firstLine="0"/>
        <w:rPr>
          <w:color w:val="000000" w:themeColor="text1"/>
        </w:rPr>
      </w:pPr>
    </w:p>
    <w:p w14:paraId="7459FE69" w14:textId="320323B7" w:rsidR="008C7E98" w:rsidRPr="00D60A99" w:rsidRDefault="008C7E98" w:rsidP="008C7E98">
      <w:pPr>
        <w:pStyle w:val="Paragraph"/>
        <w:ind w:firstLine="0"/>
        <w:rPr>
          <w:color w:val="000000" w:themeColor="text1"/>
          <w:sz w:val="22"/>
          <w:szCs w:val="22"/>
        </w:rPr>
      </w:pPr>
      <w:r w:rsidRPr="00D60A99">
        <w:rPr>
          <w:b/>
          <w:bCs/>
          <w:color w:val="000000" w:themeColor="text1"/>
          <w:sz w:val="18"/>
          <w:szCs w:val="18"/>
        </w:rPr>
        <w:t xml:space="preserve">(A) </w:t>
      </w:r>
      <w:r w:rsidRPr="00D60A99">
        <w:rPr>
          <w:color w:val="000000" w:themeColor="text1"/>
          <w:sz w:val="18"/>
          <w:szCs w:val="18"/>
        </w:rPr>
        <w:t xml:space="preserve">UMAP plots based on </w:t>
      </w:r>
      <w:r w:rsidR="00E31984">
        <w:rPr>
          <w:color w:val="000000" w:themeColor="text1"/>
          <w:sz w:val="18"/>
          <w:szCs w:val="18"/>
        </w:rPr>
        <w:t xml:space="preserve">single cell </w:t>
      </w:r>
      <w:r w:rsidRPr="00D60A99">
        <w:rPr>
          <w:color w:val="000000" w:themeColor="text1"/>
          <w:sz w:val="18"/>
          <w:szCs w:val="18"/>
        </w:rPr>
        <w:t xml:space="preserve">chromatin </w:t>
      </w:r>
      <w:r w:rsidR="00E31984">
        <w:rPr>
          <w:color w:val="000000" w:themeColor="text1"/>
          <w:sz w:val="18"/>
          <w:szCs w:val="18"/>
        </w:rPr>
        <w:t xml:space="preserve">accessibility </w:t>
      </w:r>
      <w:r w:rsidRPr="00D60A99">
        <w:rPr>
          <w:color w:val="000000" w:themeColor="text1"/>
          <w:sz w:val="18"/>
          <w:szCs w:val="18"/>
        </w:rPr>
        <w:t xml:space="preserve">profiles (CLL6-8) showing cell types (top) and time of sampling (bottom). </w:t>
      </w:r>
      <w:r w:rsidRPr="00D60A99">
        <w:rPr>
          <w:color w:val="000000" w:themeColor="text1"/>
          <w:sz w:val="18"/>
          <w:szCs w:val="18"/>
        </w:rPr>
        <w:br/>
      </w:r>
      <w:r w:rsidRPr="00D60A99">
        <w:rPr>
          <w:b/>
          <w:bCs/>
          <w:color w:val="000000" w:themeColor="text1"/>
          <w:sz w:val="18"/>
          <w:szCs w:val="18"/>
        </w:rPr>
        <w:t>(B)</w:t>
      </w:r>
      <w:r w:rsidRPr="00D60A99">
        <w:rPr>
          <w:color w:val="000000" w:themeColor="text1"/>
          <w:sz w:val="18"/>
          <w:szCs w:val="18"/>
        </w:rPr>
        <w:t xml:space="preserve"> NFKB1 transcription factor motif binding before ibrutinib treatment (red), after 20-211 days (blue) and after 419-656 days (green)</w:t>
      </w:r>
      <w:r w:rsidR="00875DC8">
        <w:rPr>
          <w:color w:val="000000" w:themeColor="text1"/>
          <w:sz w:val="18"/>
          <w:szCs w:val="18"/>
        </w:rPr>
        <w:t xml:space="preserve"> </w:t>
      </w:r>
      <w:r w:rsidR="00AE01C3">
        <w:rPr>
          <w:color w:val="000000" w:themeColor="text1"/>
          <w:sz w:val="18"/>
          <w:szCs w:val="18"/>
        </w:rPr>
        <w:t>of</w:t>
      </w:r>
      <w:r w:rsidR="00875DC8" w:rsidRPr="00D60A99">
        <w:rPr>
          <w:color w:val="000000" w:themeColor="text1"/>
          <w:sz w:val="18"/>
          <w:szCs w:val="18"/>
        </w:rPr>
        <w:t xml:space="preserve"> ibrutinib treatment</w:t>
      </w:r>
      <w:r w:rsidRPr="00D60A99">
        <w:rPr>
          <w:color w:val="000000" w:themeColor="text1"/>
          <w:sz w:val="18"/>
          <w:szCs w:val="18"/>
        </w:rPr>
        <w:t xml:space="preserve">. </w:t>
      </w:r>
      <w:r w:rsidRPr="00D60A99">
        <w:rPr>
          <w:color w:val="000000" w:themeColor="text1"/>
          <w:sz w:val="18"/>
          <w:szCs w:val="18"/>
        </w:rPr>
        <w:br/>
      </w:r>
      <w:r w:rsidRPr="00D60A99">
        <w:rPr>
          <w:b/>
          <w:bCs/>
          <w:color w:val="000000" w:themeColor="text1"/>
          <w:sz w:val="18"/>
          <w:szCs w:val="18"/>
        </w:rPr>
        <w:t>(C, D)</w:t>
      </w:r>
      <w:r w:rsidRPr="00D60A99">
        <w:rPr>
          <w:color w:val="000000" w:themeColor="text1"/>
          <w:sz w:val="18"/>
          <w:szCs w:val="18"/>
        </w:rPr>
        <w:t xml:space="preserve"> Differential gene expression analysis (</w:t>
      </w:r>
      <w:proofErr w:type="spellStart"/>
      <w:r w:rsidRPr="00D60A99">
        <w:rPr>
          <w:color w:val="000000" w:themeColor="text1"/>
          <w:sz w:val="18"/>
          <w:szCs w:val="18"/>
        </w:rPr>
        <w:t>scRNA</w:t>
      </w:r>
      <w:proofErr w:type="spellEnd"/>
      <w:r w:rsidRPr="00D60A99">
        <w:rPr>
          <w:color w:val="000000" w:themeColor="text1"/>
          <w:sz w:val="18"/>
          <w:szCs w:val="18"/>
        </w:rPr>
        <w:t xml:space="preserve">-seq) of CLL/B cells during ibrutinib treatment comparing baseline samples with samples obtained after 20-211 days. </w:t>
      </w:r>
      <w:r w:rsidRPr="00D60A99">
        <w:rPr>
          <w:color w:val="000000" w:themeColor="text1"/>
          <w:sz w:val="18"/>
          <w:szCs w:val="18"/>
        </w:rPr>
        <w:br/>
      </w:r>
      <w:r w:rsidRPr="00D60A99">
        <w:rPr>
          <w:b/>
          <w:bCs/>
          <w:color w:val="000000" w:themeColor="text1"/>
          <w:sz w:val="18"/>
          <w:szCs w:val="18"/>
        </w:rPr>
        <w:t>(E, F)</w:t>
      </w:r>
      <w:r w:rsidRPr="00D60A99">
        <w:rPr>
          <w:color w:val="000000" w:themeColor="text1"/>
          <w:sz w:val="18"/>
          <w:szCs w:val="18"/>
        </w:rPr>
        <w:t xml:space="preserve"> Gene expression in CLL/B cells before, during ibrutinib treatment (day 20) and at relapse (day 656) (CLL6).</w:t>
      </w:r>
    </w:p>
    <w:p w14:paraId="3B820A71" w14:textId="77777777" w:rsidR="008C7E98" w:rsidRPr="00D60A99" w:rsidRDefault="008C7E98" w:rsidP="008C7E98">
      <w:pPr>
        <w:rPr>
          <w:rFonts w:ascii="Times New Roman" w:eastAsia="Times New Roman" w:hAnsi="Times New Roman" w:cs="Times New Roman"/>
          <w:b/>
          <w:bCs/>
          <w:color w:val="000000" w:themeColor="text1"/>
        </w:rPr>
      </w:pPr>
      <w:r w:rsidRPr="00D60A99">
        <w:rPr>
          <w:rFonts w:ascii="Times New Roman" w:hAnsi="Times New Roman" w:cs="Times New Roman"/>
          <w:b/>
          <w:bCs/>
          <w:color w:val="000000" w:themeColor="text1"/>
        </w:rPr>
        <w:br w:type="page"/>
      </w:r>
    </w:p>
    <w:p w14:paraId="06D7541E" w14:textId="7A654326" w:rsidR="008C7E98" w:rsidRPr="00D60A99" w:rsidRDefault="008C7E98" w:rsidP="008C7E98">
      <w:pPr>
        <w:pStyle w:val="Paragraph"/>
        <w:ind w:firstLine="0"/>
        <w:rPr>
          <w:b/>
          <w:bCs/>
          <w:color w:val="000000" w:themeColor="text1"/>
        </w:rPr>
      </w:pPr>
      <w:r w:rsidRPr="00D60A99">
        <w:rPr>
          <w:b/>
          <w:bCs/>
          <w:color w:val="000000" w:themeColor="text1"/>
        </w:rPr>
        <w:lastRenderedPageBreak/>
        <w:t xml:space="preserve">Suppl. Fig. </w:t>
      </w:r>
      <w:r w:rsidR="00627F88" w:rsidRPr="00D60A99">
        <w:rPr>
          <w:b/>
          <w:bCs/>
          <w:color w:val="000000" w:themeColor="text1"/>
        </w:rPr>
        <w:t>8</w:t>
      </w:r>
      <w:r w:rsidRPr="00D60A99">
        <w:rPr>
          <w:b/>
          <w:bCs/>
          <w:color w:val="000000" w:themeColor="text1"/>
        </w:rPr>
        <w:t xml:space="preserve">. </w:t>
      </w:r>
      <w:r w:rsidRPr="00D60A99">
        <w:rPr>
          <w:color w:val="000000" w:themeColor="text1"/>
        </w:rPr>
        <w:t xml:space="preserve">Distribution of disease-specific </w:t>
      </w:r>
      <w:proofErr w:type="spellStart"/>
      <w:r w:rsidRPr="00D60A99">
        <w:rPr>
          <w:color w:val="000000" w:themeColor="text1"/>
        </w:rPr>
        <w:t>mtDNA</w:t>
      </w:r>
      <w:proofErr w:type="spellEnd"/>
      <w:r w:rsidRPr="00D60A99">
        <w:rPr>
          <w:color w:val="000000" w:themeColor="text1"/>
        </w:rPr>
        <w:t xml:space="preserve"> mutations within CLL and RS cells in CLL9.</w:t>
      </w:r>
    </w:p>
    <w:p w14:paraId="0DC2A5D2" w14:textId="77777777" w:rsidR="008C7E98" w:rsidRPr="00D60A99" w:rsidRDefault="008C7E98" w:rsidP="008C7E98">
      <w:pPr>
        <w:pStyle w:val="Paragraph"/>
        <w:ind w:firstLine="0"/>
        <w:rPr>
          <w:b/>
          <w:bCs/>
          <w:color w:val="000000" w:themeColor="text1"/>
        </w:rPr>
      </w:pPr>
    </w:p>
    <w:p w14:paraId="7F600F20" w14:textId="3B88CF3B" w:rsidR="008C7E98" w:rsidRPr="00D60A99" w:rsidRDefault="00FA5D6E" w:rsidP="008C7E98">
      <w:pPr>
        <w:pStyle w:val="Paragraph"/>
        <w:ind w:firstLine="0"/>
        <w:rPr>
          <w:b/>
          <w:bCs/>
          <w:color w:val="000000" w:themeColor="text1"/>
        </w:rPr>
      </w:pPr>
      <w:r w:rsidRPr="00D60A99">
        <w:rPr>
          <w:b/>
          <w:bCs/>
          <w:noProof/>
          <w:color w:val="000000" w:themeColor="text1"/>
        </w:rPr>
        <w:drawing>
          <wp:inline distT="0" distB="0" distL="0" distR="0" wp14:anchorId="0A82EFBD" wp14:editId="67B5F6C5">
            <wp:extent cx="5935951" cy="4571365"/>
            <wp:effectExtent l="0" t="0" r="0" b="635"/>
            <wp:docPr id="2" name="Wu Livius 1-26-21-Supp7.L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u Livius 1-26-21-Supp7.LP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5951" cy="4571365"/>
                    </a:xfrm>
                    <a:prstGeom prst="rect">
                      <a:avLst/>
                    </a:prstGeom>
                  </pic:spPr>
                </pic:pic>
              </a:graphicData>
            </a:graphic>
          </wp:inline>
        </w:drawing>
      </w:r>
    </w:p>
    <w:p w14:paraId="2331346A" w14:textId="77777777" w:rsidR="008C7E98" w:rsidRPr="00D60A99" w:rsidRDefault="008C7E98" w:rsidP="008C7E98">
      <w:pPr>
        <w:pStyle w:val="Paragraph"/>
        <w:ind w:firstLine="0"/>
        <w:rPr>
          <w:b/>
          <w:bCs/>
          <w:color w:val="000000" w:themeColor="text1"/>
        </w:rPr>
      </w:pPr>
    </w:p>
    <w:p w14:paraId="31B48EAA" w14:textId="3471B10A" w:rsidR="008C7E98" w:rsidRPr="00D60A99" w:rsidRDefault="008C7E98" w:rsidP="008C7E98">
      <w:pPr>
        <w:pStyle w:val="Paragraph"/>
        <w:ind w:firstLine="0"/>
        <w:rPr>
          <w:color w:val="000000" w:themeColor="text1"/>
          <w:sz w:val="18"/>
          <w:szCs w:val="18"/>
        </w:rPr>
      </w:pPr>
      <w:r w:rsidRPr="00D60A99">
        <w:rPr>
          <w:b/>
          <w:bCs/>
          <w:color w:val="000000" w:themeColor="text1"/>
          <w:sz w:val="18"/>
          <w:szCs w:val="18"/>
        </w:rPr>
        <w:t xml:space="preserve">(A-D) </w:t>
      </w:r>
      <w:r w:rsidRPr="00D60A99">
        <w:rPr>
          <w:color w:val="000000" w:themeColor="text1"/>
          <w:sz w:val="18"/>
          <w:szCs w:val="18"/>
        </w:rPr>
        <w:t>Distribution of 3412G&gt;A, 9553G&gt;A and 2343G&gt;A across CLL (yellow), Richter’s (blue) and immune cells (grey) in CLL9.</w:t>
      </w:r>
      <w:r w:rsidRPr="00D60A99">
        <w:rPr>
          <w:color w:val="000000" w:themeColor="text1"/>
          <w:sz w:val="18"/>
          <w:szCs w:val="18"/>
        </w:rPr>
        <w:br/>
      </w:r>
      <w:r w:rsidRPr="00D60A99">
        <w:rPr>
          <w:b/>
          <w:bCs/>
          <w:color w:val="000000" w:themeColor="text1"/>
          <w:sz w:val="18"/>
          <w:szCs w:val="18"/>
        </w:rPr>
        <w:t>(E, F)</w:t>
      </w:r>
      <w:r w:rsidRPr="00D60A99">
        <w:rPr>
          <w:color w:val="000000" w:themeColor="text1"/>
          <w:sz w:val="18"/>
          <w:szCs w:val="18"/>
        </w:rPr>
        <w:t xml:space="preserve"> Copy number alterations calculated from whole</w:t>
      </w:r>
      <w:r w:rsidR="001F3441" w:rsidRPr="00D60A99">
        <w:rPr>
          <w:color w:val="000000" w:themeColor="text1"/>
          <w:sz w:val="18"/>
          <w:szCs w:val="18"/>
        </w:rPr>
        <w:t>-</w:t>
      </w:r>
      <w:r w:rsidRPr="00D60A99">
        <w:rPr>
          <w:color w:val="000000" w:themeColor="text1"/>
          <w:sz w:val="18"/>
          <w:szCs w:val="18"/>
        </w:rPr>
        <w:t xml:space="preserve">exome sequencing </w:t>
      </w:r>
      <w:r w:rsidR="00F73B9F" w:rsidRPr="00D60A99">
        <w:rPr>
          <w:color w:val="000000" w:themeColor="text1"/>
          <w:sz w:val="18"/>
          <w:szCs w:val="18"/>
        </w:rPr>
        <w:t xml:space="preserve">(WES) </w:t>
      </w:r>
      <w:r w:rsidRPr="00D60A99">
        <w:rPr>
          <w:color w:val="000000" w:themeColor="text1"/>
          <w:sz w:val="18"/>
          <w:szCs w:val="18"/>
        </w:rPr>
        <w:t>data of CLL and Richter’s cells.</w:t>
      </w:r>
      <w:r w:rsidR="00FA5D6E" w:rsidRPr="00D60A99">
        <w:rPr>
          <w:color w:val="000000" w:themeColor="text1"/>
          <w:sz w:val="18"/>
          <w:szCs w:val="18"/>
        </w:rPr>
        <w:br/>
      </w:r>
      <w:r w:rsidR="00FA5D6E" w:rsidRPr="00D60A99">
        <w:rPr>
          <w:b/>
          <w:bCs/>
          <w:color w:val="000000" w:themeColor="text1"/>
          <w:sz w:val="18"/>
          <w:szCs w:val="18"/>
        </w:rPr>
        <w:t>(G)</w:t>
      </w:r>
      <w:r w:rsidR="00FA5D6E" w:rsidRPr="00D60A99">
        <w:rPr>
          <w:color w:val="000000" w:themeColor="text1"/>
          <w:sz w:val="18"/>
          <w:szCs w:val="18"/>
        </w:rPr>
        <w:t xml:space="preserve"> </w:t>
      </w:r>
      <w:r w:rsidR="00F85B0E" w:rsidRPr="00D60A99">
        <w:rPr>
          <w:color w:val="000000" w:themeColor="text1"/>
          <w:sz w:val="18"/>
          <w:szCs w:val="18"/>
        </w:rPr>
        <w:t xml:space="preserve">Clonal dynamics inferred from nuclear somatic mutations from </w:t>
      </w:r>
      <w:r w:rsidR="00C615AC" w:rsidRPr="00D60A99">
        <w:rPr>
          <w:color w:val="000000" w:themeColor="text1"/>
          <w:sz w:val="18"/>
          <w:szCs w:val="18"/>
        </w:rPr>
        <w:t>WES</w:t>
      </w:r>
      <w:r w:rsidR="00F85B0E" w:rsidRPr="00D60A99">
        <w:rPr>
          <w:color w:val="000000" w:themeColor="text1"/>
          <w:sz w:val="18"/>
          <w:szCs w:val="18"/>
        </w:rPr>
        <w:t xml:space="preserve">. </w:t>
      </w:r>
      <w:r w:rsidR="00B328DB">
        <w:rPr>
          <w:color w:val="000000" w:themeColor="text1"/>
          <w:sz w:val="18"/>
          <w:szCs w:val="18"/>
        </w:rPr>
        <w:t>RS – Richter’s syndrome.</w:t>
      </w:r>
      <w:r w:rsidRPr="00D60A99">
        <w:rPr>
          <w:color w:val="000000" w:themeColor="text1"/>
          <w:sz w:val="18"/>
          <w:szCs w:val="18"/>
        </w:rPr>
        <w:br/>
      </w:r>
      <w:r w:rsidRPr="00D60A99">
        <w:rPr>
          <w:b/>
          <w:bCs/>
          <w:color w:val="000000" w:themeColor="text1"/>
          <w:sz w:val="18"/>
          <w:szCs w:val="18"/>
        </w:rPr>
        <w:t>(</w:t>
      </w:r>
      <w:r w:rsidR="00FA5D6E" w:rsidRPr="00D60A99">
        <w:rPr>
          <w:b/>
          <w:bCs/>
          <w:color w:val="000000" w:themeColor="text1"/>
          <w:sz w:val="18"/>
          <w:szCs w:val="18"/>
        </w:rPr>
        <w:t>H</w:t>
      </w:r>
      <w:r w:rsidRPr="00D60A99">
        <w:rPr>
          <w:b/>
          <w:bCs/>
          <w:color w:val="000000" w:themeColor="text1"/>
          <w:sz w:val="18"/>
          <w:szCs w:val="18"/>
        </w:rPr>
        <w:t>)</w:t>
      </w:r>
      <w:r w:rsidRPr="00D60A99">
        <w:rPr>
          <w:color w:val="000000" w:themeColor="text1"/>
          <w:sz w:val="18"/>
          <w:szCs w:val="18"/>
        </w:rPr>
        <w:t xml:space="preserve"> Distribution of </w:t>
      </w:r>
      <w:proofErr w:type="spellStart"/>
      <w:r w:rsidRPr="00D60A99">
        <w:rPr>
          <w:color w:val="000000" w:themeColor="text1"/>
          <w:sz w:val="18"/>
          <w:szCs w:val="18"/>
        </w:rPr>
        <w:t>mtDNA</w:t>
      </w:r>
      <w:proofErr w:type="spellEnd"/>
      <w:r w:rsidRPr="00D60A99">
        <w:rPr>
          <w:color w:val="000000" w:themeColor="text1"/>
          <w:sz w:val="18"/>
          <w:szCs w:val="18"/>
        </w:rPr>
        <w:t xml:space="preserve"> coverage in cells without detectable 3412G&gt;A and 9553G&gt;A mutation in CLL (yellow and orange) and Richter’s cells (light blue and dark blue).</w:t>
      </w:r>
      <w:r w:rsidRPr="00D60A99">
        <w:rPr>
          <w:color w:val="000000" w:themeColor="text1"/>
          <w:sz w:val="18"/>
          <w:szCs w:val="18"/>
        </w:rPr>
        <w:br/>
      </w:r>
      <w:r w:rsidRPr="00D60A99">
        <w:rPr>
          <w:b/>
          <w:bCs/>
          <w:color w:val="000000" w:themeColor="text1"/>
          <w:sz w:val="18"/>
          <w:szCs w:val="18"/>
        </w:rPr>
        <w:t>(</w:t>
      </w:r>
      <w:r w:rsidR="00FA5D6E" w:rsidRPr="00D60A99">
        <w:rPr>
          <w:b/>
          <w:bCs/>
          <w:color w:val="000000" w:themeColor="text1"/>
          <w:sz w:val="18"/>
          <w:szCs w:val="18"/>
        </w:rPr>
        <w:t>I</w:t>
      </w:r>
      <w:r w:rsidRPr="00D60A99">
        <w:rPr>
          <w:b/>
          <w:bCs/>
          <w:color w:val="000000" w:themeColor="text1"/>
          <w:sz w:val="18"/>
          <w:szCs w:val="18"/>
        </w:rPr>
        <w:t>)</w:t>
      </w:r>
      <w:r w:rsidRPr="00D60A99">
        <w:rPr>
          <w:color w:val="000000" w:themeColor="text1"/>
          <w:sz w:val="18"/>
          <w:szCs w:val="18"/>
        </w:rPr>
        <w:t xml:space="preserve"> Differential gene expression (</w:t>
      </w:r>
      <w:proofErr w:type="spellStart"/>
      <w:r w:rsidRPr="00D60A99">
        <w:rPr>
          <w:color w:val="000000" w:themeColor="text1"/>
          <w:sz w:val="18"/>
          <w:szCs w:val="18"/>
        </w:rPr>
        <w:t>scRNA</w:t>
      </w:r>
      <w:proofErr w:type="spellEnd"/>
      <w:r w:rsidRPr="00D60A99">
        <w:rPr>
          <w:color w:val="000000" w:themeColor="text1"/>
          <w:sz w:val="18"/>
          <w:szCs w:val="18"/>
        </w:rPr>
        <w:t>-seq) of CLL/B cells from peripheral blood (PB) during CLL phase versus PB and bone marrow (BM) during transformation to Richter’s syndrome.</w:t>
      </w:r>
      <w:r w:rsidRPr="00D60A99">
        <w:rPr>
          <w:b/>
          <w:bCs/>
          <w:color w:val="000000" w:themeColor="text1"/>
          <w:sz w:val="18"/>
          <w:szCs w:val="18"/>
        </w:rPr>
        <w:br/>
        <w:t>(</w:t>
      </w:r>
      <w:r w:rsidR="00FA5D6E" w:rsidRPr="00D60A99">
        <w:rPr>
          <w:b/>
          <w:bCs/>
          <w:color w:val="000000" w:themeColor="text1"/>
          <w:sz w:val="18"/>
          <w:szCs w:val="18"/>
        </w:rPr>
        <w:t>J</w:t>
      </w:r>
      <w:r w:rsidRPr="00D60A99">
        <w:rPr>
          <w:b/>
          <w:bCs/>
          <w:color w:val="000000" w:themeColor="text1"/>
          <w:sz w:val="18"/>
          <w:szCs w:val="18"/>
        </w:rPr>
        <w:t xml:space="preserve">) </w:t>
      </w:r>
      <w:r w:rsidRPr="00D60A99">
        <w:rPr>
          <w:color w:val="000000" w:themeColor="text1"/>
          <w:sz w:val="18"/>
          <w:szCs w:val="18"/>
        </w:rPr>
        <w:t xml:space="preserve">UMAP of </w:t>
      </w:r>
      <w:proofErr w:type="spellStart"/>
      <w:r w:rsidRPr="00D60A99">
        <w:rPr>
          <w:color w:val="000000" w:themeColor="text1"/>
          <w:sz w:val="18"/>
          <w:szCs w:val="18"/>
        </w:rPr>
        <w:t>scRNA</w:t>
      </w:r>
      <w:proofErr w:type="spellEnd"/>
      <w:r w:rsidRPr="00D60A99">
        <w:rPr>
          <w:color w:val="000000" w:themeColor="text1"/>
          <w:sz w:val="18"/>
          <w:szCs w:val="18"/>
        </w:rPr>
        <w:t>-seq profiles of CLL cells from CLL PB (yellow), Richter’s PB (red) or Richter’s BM (brown).</w:t>
      </w:r>
      <w:r w:rsidRPr="00D60A99">
        <w:rPr>
          <w:color w:val="000000" w:themeColor="text1"/>
          <w:sz w:val="18"/>
          <w:szCs w:val="18"/>
        </w:rPr>
        <w:br/>
      </w:r>
      <w:r w:rsidRPr="00D60A99">
        <w:rPr>
          <w:color w:val="000000" w:themeColor="text1"/>
          <w:sz w:val="18"/>
          <w:szCs w:val="18"/>
        </w:rPr>
        <w:br/>
      </w:r>
    </w:p>
    <w:p w14:paraId="76D1E686" w14:textId="77777777" w:rsidR="008C7E98" w:rsidRPr="00D60A99" w:rsidRDefault="008C7E98" w:rsidP="008C7E98">
      <w:pPr>
        <w:rPr>
          <w:rFonts w:ascii="Times New Roman" w:eastAsia="Times New Roman" w:hAnsi="Times New Roman" w:cs="Times New Roman"/>
          <w:b/>
          <w:bCs/>
          <w:color w:val="000000" w:themeColor="text1"/>
          <w:sz w:val="18"/>
          <w:szCs w:val="18"/>
        </w:rPr>
      </w:pPr>
      <w:r w:rsidRPr="00D60A99">
        <w:rPr>
          <w:rFonts w:ascii="Times New Roman" w:hAnsi="Times New Roman" w:cs="Times New Roman"/>
          <w:b/>
          <w:bCs/>
          <w:color w:val="000000" w:themeColor="text1"/>
          <w:sz w:val="18"/>
          <w:szCs w:val="18"/>
        </w:rPr>
        <w:br w:type="page"/>
      </w:r>
    </w:p>
    <w:p w14:paraId="6D85898E" w14:textId="44DEFBD0" w:rsidR="008C7E98" w:rsidRPr="00D60A99" w:rsidRDefault="008C7E98" w:rsidP="008C7E98">
      <w:pPr>
        <w:rPr>
          <w:rFonts w:ascii="Times New Roman" w:hAnsi="Times New Roman" w:cs="Times New Roman"/>
          <w:color w:val="000000" w:themeColor="text1"/>
        </w:rPr>
      </w:pPr>
      <w:r w:rsidRPr="00D60A99">
        <w:rPr>
          <w:rFonts w:ascii="Times New Roman" w:hAnsi="Times New Roman" w:cs="Times New Roman"/>
          <w:b/>
          <w:bCs/>
          <w:color w:val="000000" w:themeColor="text1"/>
        </w:rPr>
        <w:lastRenderedPageBreak/>
        <w:t xml:space="preserve">Suppl. Fig. </w:t>
      </w:r>
      <w:r w:rsidR="00627F88" w:rsidRPr="00D60A99">
        <w:rPr>
          <w:rFonts w:ascii="Times New Roman" w:hAnsi="Times New Roman" w:cs="Times New Roman"/>
          <w:b/>
          <w:bCs/>
          <w:color w:val="000000" w:themeColor="text1"/>
        </w:rPr>
        <w:t>9</w:t>
      </w:r>
      <w:r w:rsidRPr="00D60A99">
        <w:rPr>
          <w:rFonts w:ascii="Times New Roman" w:hAnsi="Times New Roman" w:cs="Times New Roman"/>
          <w:b/>
          <w:bCs/>
          <w:color w:val="000000" w:themeColor="text1"/>
        </w:rPr>
        <w:t xml:space="preserve">. </w:t>
      </w:r>
      <w:r w:rsidRPr="00D60A99">
        <w:rPr>
          <w:rFonts w:ascii="Times New Roman" w:hAnsi="Times New Roman" w:cs="Times New Roman"/>
          <w:color w:val="000000" w:themeColor="text1"/>
        </w:rPr>
        <w:t xml:space="preserve">Phenotypes of lymph node-associated T cells and </w:t>
      </w:r>
      <w:proofErr w:type="spellStart"/>
      <w:r w:rsidRPr="00D60A99">
        <w:rPr>
          <w:rFonts w:ascii="Times New Roman" w:hAnsi="Times New Roman" w:cs="Times New Roman"/>
          <w:color w:val="000000" w:themeColor="text1"/>
        </w:rPr>
        <w:t>mtDNA</w:t>
      </w:r>
      <w:proofErr w:type="spellEnd"/>
      <w:r w:rsidRPr="00D60A99">
        <w:rPr>
          <w:rFonts w:ascii="Times New Roman" w:hAnsi="Times New Roman" w:cs="Times New Roman"/>
          <w:color w:val="000000" w:themeColor="text1"/>
        </w:rPr>
        <w:t xml:space="preserve"> mutations as markers of clonal T cell expansion.</w:t>
      </w:r>
    </w:p>
    <w:p w14:paraId="36FAF590" w14:textId="77777777" w:rsidR="008C7E98" w:rsidRPr="00D60A99" w:rsidRDefault="008C7E98" w:rsidP="008C7E98">
      <w:pPr>
        <w:rPr>
          <w:rFonts w:ascii="Times New Roman" w:hAnsi="Times New Roman" w:cs="Times New Roman"/>
          <w:b/>
          <w:bCs/>
          <w:color w:val="000000" w:themeColor="text1"/>
        </w:rPr>
      </w:pPr>
    </w:p>
    <w:p w14:paraId="54AB5B38" w14:textId="77777777" w:rsidR="008C7E98" w:rsidRPr="00D60A99" w:rsidRDefault="008C7E98" w:rsidP="008C7E98">
      <w:pPr>
        <w:rPr>
          <w:rFonts w:ascii="Times New Roman" w:hAnsi="Times New Roman" w:cs="Times New Roman"/>
          <w:b/>
          <w:bCs/>
          <w:color w:val="000000" w:themeColor="text1"/>
        </w:rPr>
      </w:pPr>
      <w:r w:rsidRPr="00D60A99">
        <w:rPr>
          <w:rFonts w:ascii="Times New Roman" w:hAnsi="Times New Roman" w:cs="Times New Roman"/>
          <w:noProof/>
          <w:color w:val="000000" w:themeColor="text1"/>
        </w:rPr>
        <w:drawing>
          <wp:inline distT="0" distB="0" distL="0" distR="0" wp14:anchorId="26EB4175" wp14:editId="01E6D147">
            <wp:extent cx="5880845" cy="6464299"/>
            <wp:effectExtent l="0" t="0" r="0" b="635"/>
            <wp:docPr id="7" name="Wu Livius 1-26-21-Supp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u Livius 1-26-21-Supp8.tif"/>
                    <pic:cNvPicPr/>
                  </pic:nvPicPr>
                  <pic:blipFill>
                    <a:blip r:embed="rId15" r:link="rId16" cstate="print">
                      <a:extLst>
                        <a:ext uri="{28A0092B-C50C-407E-A947-70E740481C1C}">
                          <a14:useLocalDpi xmlns:a14="http://schemas.microsoft.com/office/drawing/2010/main" val="0"/>
                        </a:ext>
                      </a:extLst>
                    </a:blip>
                    <a:stretch>
                      <a:fillRect/>
                    </a:stretch>
                  </pic:blipFill>
                  <pic:spPr>
                    <a:xfrm>
                      <a:off x="0" y="0"/>
                      <a:ext cx="5880845" cy="6464299"/>
                    </a:xfrm>
                    <a:prstGeom prst="rect">
                      <a:avLst/>
                    </a:prstGeom>
                  </pic:spPr>
                </pic:pic>
              </a:graphicData>
            </a:graphic>
          </wp:inline>
        </w:drawing>
      </w:r>
    </w:p>
    <w:p w14:paraId="4CD75F3D" w14:textId="77777777" w:rsidR="008C7E98" w:rsidRPr="00D60A99" w:rsidRDefault="008C7E98" w:rsidP="008C7E98">
      <w:pPr>
        <w:rPr>
          <w:rFonts w:ascii="Times New Roman" w:hAnsi="Times New Roman" w:cs="Times New Roman"/>
          <w:b/>
          <w:bCs/>
          <w:color w:val="000000" w:themeColor="text1"/>
        </w:rPr>
      </w:pPr>
    </w:p>
    <w:p w14:paraId="7D6D9693" w14:textId="77777777" w:rsidR="008C7E98" w:rsidRPr="00D60A99" w:rsidRDefault="008C7E98" w:rsidP="008C7E98">
      <w:pPr>
        <w:rPr>
          <w:rFonts w:ascii="Times New Roman" w:hAnsi="Times New Roman" w:cs="Times New Roman"/>
          <w:bCs/>
          <w:color w:val="000000" w:themeColor="text1"/>
          <w:sz w:val="18"/>
          <w:szCs w:val="18"/>
        </w:rPr>
      </w:pPr>
      <w:r w:rsidRPr="00D60A99">
        <w:rPr>
          <w:rFonts w:ascii="Times New Roman" w:hAnsi="Times New Roman" w:cs="Times New Roman"/>
          <w:b/>
          <w:bCs/>
          <w:color w:val="000000" w:themeColor="text1"/>
          <w:sz w:val="18"/>
          <w:szCs w:val="18"/>
        </w:rPr>
        <w:t>(A)</w:t>
      </w:r>
      <w:r w:rsidRPr="00D60A99">
        <w:rPr>
          <w:rFonts w:ascii="Times New Roman" w:hAnsi="Times New Roman" w:cs="Times New Roman"/>
          <w:color w:val="000000" w:themeColor="text1"/>
          <w:sz w:val="18"/>
          <w:szCs w:val="18"/>
        </w:rPr>
        <w:t xml:space="preserve"> Cluster annotation of UMAP plot showing 33,573 </w:t>
      </w:r>
      <w:proofErr w:type="spellStart"/>
      <w:r w:rsidRPr="00D60A99">
        <w:rPr>
          <w:rFonts w:ascii="Times New Roman" w:hAnsi="Times New Roman" w:cs="Times New Roman"/>
          <w:color w:val="000000" w:themeColor="text1"/>
          <w:sz w:val="18"/>
          <w:szCs w:val="18"/>
        </w:rPr>
        <w:t>scATAC</w:t>
      </w:r>
      <w:proofErr w:type="spellEnd"/>
      <w:r w:rsidRPr="00D60A99">
        <w:rPr>
          <w:rFonts w:ascii="Times New Roman" w:hAnsi="Times New Roman" w:cs="Times New Roman"/>
          <w:color w:val="000000" w:themeColor="text1"/>
          <w:sz w:val="18"/>
          <w:szCs w:val="18"/>
        </w:rPr>
        <w:t xml:space="preserve">-seq profiles of T cells from CLL1-9. </w:t>
      </w:r>
      <w:proofErr w:type="spellStart"/>
      <w:r w:rsidRPr="00D60A99">
        <w:rPr>
          <w:rFonts w:ascii="Times New Roman" w:hAnsi="Times New Roman" w:cs="Times New Roman"/>
          <w:color w:val="000000" w:themeColor="text1"/>
          <w:sz w:val="18"/>
          <w:szCs w:val="18"/>
        </w:rPr>
        <w:t>Tfh</w:t>
      </w:r>
      <w:proofErr w:type="spellEnd"/>
      <w:r w:rsidRPr="00D60A99">
        <w:rPr>
          <w:rFonts w:ascii="Times New Roman" w:hAnsi="Times New Roman" w:cs="Times New Roman"/>
          <w:color w:val="000000" w:themeColor="text1"/>
          <w:sz w:val="18"/>
          <w:szCs w:val="18"/>
        </w:rPr>
        <w:t xml:space="preserve"> - T follicular helper cell, Treg - regulatory T cell</w:t>
      </w:r>
    </w:p>
    <w:p w14:paraId="7036896C" w14:textId="77777777" w:rsidR="008C7E98" w:rsidRPr="00D60A99" w:rsidRDefault="008C7E98" w:rsidP="008C7E98">
      <w:pPr>
        <w:rPr>
          <w:rFonts w:ascii="Times New Roman" w:hAnsi="Times New Roman" w:cs="Times New Roman"/>
          <w:color w:val="000000" w:themeColor="text1"/>
          <w:sz w:val="18"/>
          <w:szCs w:val="18"/>
        </w:rPr>
      </w:pPr>
      <w:r w:rsidRPr="00D60A99">
        <w:rPr>
          <w:rFonts w:ascii="Times New Roman" w:hAnsi="Times New Roman" w:cs="Times New Roman"/>
          <w:b/>
          <w:bCs/>
          <w:color w:val="000000" w:themeColor="text1"/>
          <w:sz w:val="18"/>
          <w:szCs w:val="18"/>
        </w:rPr>
        <w:t>(B)</w:t>
      </w:r>
      <w:r w:rsidRPr="00D60A99">
        <w:rPr>
          <w:rFonts w:ascii="Times New Roman" w:hAnsi="Times New Roman" w:cs="Times New Roman"/>
          <w:color w:val="000000" w:themeColor="text1"/>
          <w:sz w:val="18"/>
          <w:szCs w:val="18"/>
        </w:rPr>
        <w:t xml:space="preserve"> Identification of clonally expanded CD8</w:t>
      </w:r>
      <w:r w:rsidRPr="00D60A99">
        <w:rPr>
          <w:rFonts w:ascii="Times New Roman" w:hAnsi="Times New Roman" w:cs="Times New Roman"/>
          <w:color w:val="000000" w:themeColor="text1"/>
          <w:sz w:val="18"/>
          <w:szCs w:val="18"/>
          <w:vertAlign w:val="superscript"/>
        </w:rPr>
        <w:t>+</w:t>
      </w:r>
      <w:r w:rsidRPr="00D60A99">
        <w:rPr>
          <w:rFonts w:ascii="Times New Roman" w:hAnsi="Times New Roman" w:cs="Times New Roman"/>
          <w:color w:val="000000" w:themeColor="text1"/>
          <w:sz w:val="18"/>
          <w:szCs w:val="18"/>
        </w:rPr>
        <w:t xml:space="preserve"> T cells marked by 1918G&gt;A (CLL4). </w:t>
      </w:r>
    </w:p>
    <w:p w14:paraId="7742F688" w14:textId="5394F044" w:rsidR="008C7E98" w:rsidRPr="00D60A99" w:rsidRDefault="008C7E98" w:rsidP="008C7E98">
      <w:pPr>
        <w:rPr>
          <w:rFonts w:ascii="Times New Roman" w:hAnsi="Times New Roman" w:cs="Times New Roman"/>
          <w:color w:val="000000" w:themeColor="text1"/>
          <w:sz w:val="18"/>
          <w:szCs w:val="18"/>
        </w:rPr>
      </w:pPr>
      <w:r w:rsidRPr="00D60A99">
        <w:rPr>
          <w:rFonts w:ascii="Times New Roman" w:hAnsi="Times New Roman" w:cs="Times New Roman"/>
          <w:b/>
          <w:bCs/>
          <w:color w:val="000000" w:themeColor="text1"/>
          <w:sz w:val="18"/>
          <w:szCs w:val="18"/>
        </w:rPr>
        <w:t xml:space="preserve">(C) </w:t>
      </w:r>
      <w:r w:rsidRPr="00D60A99">
        <w:rPr>
          <w:rFonts w:ascii="Times New Roman" w:hAnsi="Times New Roman" w:cs="Times New Roman"/>
          <w:color w:val="000000" w:themeColor="text1"/>
          <w:sz w:val="18"/>
          <w:szCs w:val="18"/>
        </w:rPr>
        <w:t>Identification of two CD8</w:t>
      </w:r>
      <w:r w:rsidRPr="00D60A99">
        <w:rPr>
          <w:rFonts w:ascii="Times New Roman" w:hAnsi="Times New Roman" w:cs="Times New Roman"/>
          <w:color w:val="000000" w:themeColor="text1"/>
          <w:sz w:val="18"/>
          <w:szCs w:val="18"/>
          <w:vertAlign w:val="superscript"/>
        </w:rPr>
        <w:t>+</w:t>
      </w:r>
      <w:r w:rsidRPr="00D60A99">
        <w:rPr>
          <w:rFonts w:ascii="Times New Roman" w:hAnsi="Times New Roman" w:cs="Times New Roman"/>
          <w:color w:val="000000" w:themeColor="text1"/>
          <w:sz w:val="18"/>
          <w:szCs w:val="18"/>
        </w:rPr>
        <w:t xml:space="preserve"> T cell clones marked by 2647G&gt;A (clone 1; yellow) and 10408T&gt;C (clone 2; brown) in CLL6.</w:t>
      </w:r>
      <w:r w:rsidRPr="00D60A99">
        <w:rPr>
          <w:rFonts w:ascii="Times New Roman" w:hAnsi="Times New Roman" w:cs="Times New Roman"/>
          <w:color w:val="000000" w:themeColor="text1"/>
          <w:sz w:val="18"/>
          <w:szCs w:val="18"/>
        </w:rPr>
        <w:br/>
      </w:r>
      <w:r w:rsidRPr="00D60A99">
        <w:rPr>
          <w:rFonts w:ascii="Times New Roman" w:hAnsi="Times New Roman" w:cs="Times New Roman"/>
          <w:b/>
          <w:bCs/>
          <w:color w:val="000000" w:themeColor="text1"/>
          <w:sz w:val="18"/>
          <w:szCs w:val="18"/>
        </w:rPr>
        <w:t>(D)</w:t>
      </w:r>
      <w:r w:rsidRPr="00D60A99">
        <w:rPr>
          <w:rFonts w:ascii="Times New Roman" w:hAnsi="Times New Roman" w:cs="Times New Roman"/>
          <w:color w:val="000000" w:themeColor="text1"/>
          <w:sz w:val="18"/>
          <w:szCs w:val="18"/>
        </w:rPr>
        <w:t xml:space="preserve"> Identification of two CD8</w:t>
      </w:r>
      <w:r w:rsidRPr="00D60A99">
        <w:rPr>
          <w:rFonts w:ascii="Times New Roman" w:hAnsi="Times New Roman" w:cs="Times New Roman"/>
          <w:color w:val="000000" w:themeColor="text1"/>
          <w:sz w:val="18"/>
          <w:szCs w:val="18"/>
          <w:vertAlign w:val="superscript"/>
        </w:rPr>
        <w:t>+</w:t>
      </w:r>
      <w:r w:rsidRPr="00D60A99">
        <w:rPr>
          <w:rFonts w:ascii="Times New Roman" w:hAnsi="Times New Roman" w:cs="Times New Roman"/>
          <w:color w:val="000000" w:themeColor="text1"/>
          <w:sz w:val="18"/>
          <w:szCs w:val="18"/>
        </w:rPr>
        <w:t xml:space="preserve"> T cell clones marked by 2464G&gt;A </w:t>
      </w:r>
      <w:r w:rsidR="00D17175" w:rsidRPr="00D60A99">
        <w:rPr>
          <w:rFonts w:ascii="Times New Roman" w:hAnsi="Times New Roman" w:cs="Times New Roman"/>
          <w:color w:val="000000" w:themeColor="text1"/>
          <w:sz w:val="18"/>
          <w:szCs w:val="18"/>
        </w:rPr>
        <w:t>and</w:t>
      </w:r>
      <w:r w:rsidR="00D17175" w:rsidRPr="00D60A99">
        <w:rPr>
          <w:rFonts w:ascii="Times New Roman" w:hAnsi="Times New Roman" w:cs="Times New Roman"/>
          <w:color w:val="000000" w:themeColor="text1"/>
          <w:sz w:val="18"/>
          <w:szCs w:val="18"/>
        </w:rPr>
        <w:t xml:space="preserve"> </w:t>
      </w:r>
      <w:r w:rsidR="00D17175" w:rsidRPr="00D60A99">
        <w:rPr>
          <w:rFonts w:ascii="Times New Roman" w:hAnsi="Times New Roman" w:cs="Times New Roman"/>
          <w:color w:val="000000" w:themeColor="text1"/>
          <w:sz w:val="18"/>
          <w:szCs w:val="18"/>
        </w:rPr>
        <w:t xml:space="preserve">4573T&gt;C </w:t>
      </w:r>
      <w:r w:rsidRPr="00D60A99">
        <w:rPr>
          <w:rFonts w:ascii="Times New Roman" w:hAnsi="Times New Roman" w:cs="Times New Roman"/>
          <w:color w:val="000000" w:themeColor="text1"/>
          <w:sz w:val="18"/>
          <w:szCs w:val="18"/>
        </w:rPr>
        <w:t xml:space="preserve">(clone 1) or 7762G&gt;A (clone 2) in CLLA. </w:t>
      </w:r>
    </w:p>
    <w:p w14:paraId="5EF8BAD0" w14:textId="77777777" w:rsidR="008C7E98" w:rsidRPr="00D60A99" w:rsidRDefault="008C7E98" w:rsidP="008C7E98">
      <w:pPr>
        <w:rPr>
          <w:rFonts w:ascii="Times New Roman" w:hAnsi="Times New Roman" w:cs="Times New Roman"/>
          <w:color w:val="000000" w:themeColor="text1"/>
          <w:sz w:val="18"/>
          <w:szCs w:val="18"/>
        </w:rPr>
      </w:pPr>
      <w:r w:rsidRPr="00D60A99">
        <w:rPr>
          <w:rFonts w:ascii="Times New Roman" w:hAnsi="Times New Roman" w:cs="Times New Roman"/>
          <w:b/>
          <w:bCs/>
          <w:color w:val="000000" w:themeColor="text1"/>
          <w:sz w:val="18"/>
          <w:szCs w:val="18"/>
        </w:rPr>
        <w:t xml:space="preserve">(E) </w:t>
      </w:r>
      <w:r w:rsidRPr="00D60A99">
        <w:rPr>
          <w:rFonts w:ascii="Times New Roman" w:hAnsi="Times New Roman" w:cs="Times New Roman"/>
          <w:color w:val="000000" w:themeColor="text1"/>
          <w:sz w:val="18"/>
          <w:szCs w:val="18"/>
        </w:rPr>
        <w:t xml:space="preserve">Chromatin tracks of </w:t>
      </w:r>
      <w:r w:rsidRPr="00D60A99">
        <w:rPr>
          <w:rFonts w:ascii="Times New Roman" w:hAnsi="Times New Roman" w:cs="Times New Roman"/>
          <w:i/>
          <w:iCs/>
          <w:color w:val="000000" w:themeColor="text1"/>
          <w:sz w:val="18"/>
          <w:szCs w:val="18"/>
        </w:rPr>
        <w:t>CD28</w:t>
      </w:r>
      <w:r w:rsidRPr="00D60A99">
        <w:rPr>
          <w:rFonts w:ascii="Times New Roman" w:hAnsi="Times New Roman" w:cs="Times New Roman"/>
          <w:color w:val="000000" w:themeColor="text1"/>
          <w:sz w:val="18"/>
          <w:szCs w:val="18"/>
        </w:rPr>
        <w:t xml:space="preserve"> across T cell clones defined by </w:t>
      </w:r>
      <w:proofErr w:type="spellStart"/>
      <w:r w:rsidRPr="00D60A99">
        <w:rPr>
          <w:rFonts w:ascii="Times New Roman" w:hAnsi="Times New Roman" w:cs="Times New Roman"/>
          <w:color w:val="000000" w:themeColor="text1"/>
          <w:sz w:val="18"/>
          <w:szCs w:val="18"/>
        </w:rPr>
        <w:t>mtDNA</w:t>
      </w:r>
      <w:proofErr w:type="spellEnd"/>
      <w:r w:rsidRPr="00D60A99">
        <w:rPr>
          <w:rFonts w:ascii="Times New Roman" w:hAnsi="Times New Roman" w:cs="Times New Roman"/>
          <w:color w:val="000000" w:themeColor="text1"/>
          <w:sz w:val="18"/>
          <w:szCs w:val="18"/>
        </w:rPr>
        <w:t xml:space="preserve"> mutations in CLLA.</w:t>
      </w:r>
    </w:p>
    <w:p w14:paraId="07239DB3" w14:textId="77777777" w:rsidR="008C7E98" w:rsidRPr="00D60A99" w:rsidRDefault="008C7E98" w:rsidP="008C7E98">
      <w:pPr>
        <w:rPr>
          <w:rFonts w:ascii="Times New Roman" w:hAnsi="Times New Roman" w:cs="Times New Roman"/>
          <w:bCs/>
          <w:color w:val="000000" w:themeColor="text1"/>
          <w:sz w:val="18"/>
          <w:szCs w:val="18"/>
        </w:rPr>
      </w:pPr>
      <w:r w:rsidRPr="00D60A99">
        <w:rPr>
          <w:rFonts w:ascii="Times New Roman" w:hAnsi="Times New Roman" w:cs="Times New Roman"/>
          <w:b/>
          <w:color w:val="000000" w:themeColor="text1"/>
          <w:sz w:val="18"/>
          <w:szCs w:val="18"/>
        </w:rPr>
        <w:t xml:space="preserve">(F, G) </w:t>
      </w:r>
      <w:r w:rsidRPr="00D60A99">
        <w:rPr>
          <w:rFonts w:ascii="Times New Roman" w:hAnsi="Times New Roman" w:cs="Times New Roman"/>
          <w:bCs/>
          <w:color w:val="000000" w:themeColor="text1"/>
          <w:sz w:val="18"/>
          <w:szCs w:val="18"/>
        </w:rPr>
        <w:t xml:space="preserve">Gene activity scores of </w:t>
      </w:r>
      <w:r w:rsidRPr="00D60A99">
        <w:rPr>
          <w:rFonts w:ascii="Times New Roman" w:hAnsi="Times New Roman" w:cs="Times New Roman"/>
          <w:bCs/>
          <w:i/>
          <w:iCs/>
          <w:color w:val="000000" w:themeColor="text1"/>
          <w:sz w:val="18"/>
          <w:szCs w:val="18"/>
        </w:rPr>
        <w:t>EOMES</w:t>
      </w:r>
      <w:r w:rsidRPr="00D60A99">
        <w:rPr>
          <w:rFonts w:ascii="Times New Roman" w:hAnsi="Times New Roman" w:cs="Times New Roman"/>
          <w:bCs/>
          <w:color w:val="000000" w:themeColor="text1"/>
          <w:sz w:val="18"/>
          <w:szCs w:val="18"/>
        </w:rPr>
        <w:t xml:space="preserve">, </w:t>
      </w:r>
      <w:r w:rsidRPr="00D60A99">
        <w:rPr>
          <w:rFonts w:ascii="Times New Roman" w:hAnsi="Times New Roman" w:cs="Times New Roman"/>
          <w:bCs/>
          <w:i/>
          <w:iCs/>
          <w:color w:val="000000" w:themeColor="text1"/>
          <w:sz w:val="18"/>
          <w:szCs w:val="18"/>
        </w:rPr>
        <w:t>GZMK</w:t>
      </w:r>
      <w:r w:rsidRPr="00D60A99">
        <w:rPr>
          <w:rFonts w:ascii="Times New Roman" w:hAnsi="Times New Roman" w:cs="Times New Roman"/>
          <w:bCs/>
          <w:color w:val="000000" w:themeColor="text1"/>
          <w:sz w:val="18"/>
          <w:szCs w:val="18"/>
        </w:rPr>
        <w:t xml:space="preserve">, </w:t>
      </w:r>
      <w:r w:rsidRPr="00D60A99">
        <w:rPr>
          <w:rFonts w:ascii="Times New Roman" w:hAnsi="Times New Roman" w:cs="Times New Roman"/>
          <w:bCs/>
          <w:i/>
          <w:iCs/>
          <w:color w:val="000000" w:themeColor="text1"/>
          <w:sz w:val="18"/>
          <w:szCs w:val="18"/>
        </w:rPr>
        <w:t>TBX21</w:t>
      </w:r>
      <w:r w:rsidRPr="00D60A99">
        <w:rPr>
          <w:rFonts w:ascii="Times New Roman" w:hAnsi="Times New Roman" w:cs="Times New Roman"/>
          <w:bCs/>
          <w:color w:val="000000" w:themeColor="text1"/>
          <w:sz w:val="18"/>
          <w:szCs w:val="18"/>
        </w:rPr>
        <w:t xml:space="preserve">, </w:t>
      </w:r>
      <w:r w:rsidRPr="00D60A99">
        <w:rPr>
          <w:rFonts w:ascii="Times New Roman" w:hAnsi="Times New Roman" w:cs="Times New Roman"/>
          <w:bCs/>
          <w:i/>
          <w:iCs/>
          <w:color w:val="000000" w:themeColor="text1"/>
          <w:sz w:val="18"/>
          <w:szCs w:val="18"/>
        </w:rPr>
        <w:t>GZMB</w:t>
      </w:r>
      <w:r w:rsidRPr="00D60A99">
        <w:rPr>
          <w:rFonts w:ascii="Times New Roman" w:hAnsi="Times New Roman" w:cs="Times New Roman"/>
          <w:bCs/>
          <w:color w:val="000000" w:themeColor="text1"/>
          <w:sz w:val="18"/>
          <w:szCs w:val="18"/>
        </w:rPr>
        <w:t xml:space="preserve">, </w:t>
      </w:r>
      <w:r w:rsidRPr="00D60A99">
        <w:rPr>
          <w:rFonts w:ascii="Times New Roman" w:hAnsi="Times New Roman" w:cs="Times New Roman"/>
          <w:bCs/>
          <w:i/>
          <w:iCs/>
          <w:color w:val="000000" w:themeColor="text1"/>
          <w:sz w:val="18"/>
          <w:szCs w:val="18"/>
        </w:rPr>
        <w:t>PDCD1</w:t>
      </w:r>
      <w:r w:rsidRPr="00D60A99">
        <w:rPr>
          <w:rFonts w:ascii="Times New Roman" w:hAnsi="Times New Roman" w:cs="Times New Roman"/>
          <w:bCs/>
          <w:color w:val="000000" w:themeColor="text1"/>
          <w:sz w:val="18"/>
          <w:szCs w:val="18"/>
        </w:rPr>
        <w:t xml:space="preserve"> (encoding for PD-1) and </w:t>
      </w:r>
      <w:r w:rsidRPr="00D60A99">
        <w:rPr>
          <w:rFonts w:ascii="Times New Roman" w:hAnsi="Times New Roman" w:cs="Times New Roman"/>
          <w:bCs/>
          <w:i/>
          <w:iCs/>
          <w:color w:val="000000" w:themeColor="text1"/>
          <w:sz w:val="18"/>
          <w:szCs w:val="18"/>
        </w:rPr>
        <w:t>HAVCR2</w:t>
      </w:r>
      <w:r w:rsidRPr="00D60A99">
        <w:rPr>
          <w:rFonts w:ascii="Times New Roman" w:hAnsi="Times New Roman" w:cs="Times New Roman"/>
          <w:bCs/>
          <w:color w:val="000000" w:themeColor="text1"/>
          <w:sz w:val="18"/>
          <w:szCs w:val="18"/>
        </w:rPr>
        <w:t xml:space="preserve"> (TIM-3) in CLL1-9.</w:t>
      </w:r>
    </w:p>
    <w:p w14:paraId="712FA099" w14:textId="2E388492" w:rsidR="00AD2F3F" w:rsidRPr="00D60A99" w:rsidRDefault="00C30419">
      <w:pPr>
        <w:rPr>
          <w:rFonts w:ascii="Times New Roman" w:hAnsi="Times New Roman" w:cs="Times New Roman"/>
          <w:b/>
          <w:bCs/>
          <w:color w:val="000000" w:themeColor="text1"/>
        </w:rPr>
      </w:pPr>
      <w:r w:rsidRPr="00D60A99">
        <w:rPr>
          <w:rFonts w:ascii="Times New Roman" w:hAnsi="Times New Roman" w:cs="Times New Roman"/>
          <w:b/>
          <w:bCs/>
          <w:color w:val="000000" w:themeColor="text1"/>
        </w:rPr>
        <w:lastRenderedPageBreak/>
        <w:t>Supplementary References</w:t>
      </w:r>
    </w:p>
    <w:p w14:paraId="4942B000" w14:textId="1E66DD79" w:rsidR="00C742D9" w:rsidRPr="00D60A99" w:rsidRDefault="00C742D9">
      <w:pPr>
        <w:rPr>
          <w:rFonts w:ascii="Times New Roman" w:hAnsi="Times New Roman" w:cs="Times New Roman"/>
          <w:b/>
          <w:bCs/>
          <w:color w:val="000000" w:themeColor="text1"/>
        </w:rPr>
      </w:pPr>
    </w:p>
    <w:p w14:paraId="05BDAAC8" w14:textId="77777777" w:rsidR="00B240F5" w:rsidRPr="00D60A99" w:rsidRDefault="00C67ECC" w:rsidP="00B240F5">
      <w:pPr>
        <w:pStyle w:val="Bibliography"/>
        <w:rPr>
          <w:rFonts w:ascii="Times New Roman" w:hAnsi="Times New Roman" w:cs="Times New Roman"/>
          <w:color w:val="000000" w:themeColor="text1"/>
        </w:rPr>
      </w:pPr>
      <w:r w:rsidRPr="00D60A99">
        <w:rPr>
          <w:b/>
          <w:bCs/>
          <w:color w:val="000000" w:themeColor="text1"/>
        </w:rPr>
        <w:fldChar w:fldCharType="begin"/>
      </w:r>
      <w:r w:rsidR="00240494" w:rsidRPr="00D60A99">
        <w:rPr>
          <w:b/>
          <w:bCs/>
          <w:color w:val="000000" w:themeColor="text1"/>
        </w:rPr>
        <w:instrText xml:space="preserve"> ADDIN ZOTERO_BIBL {"uncited":[],"omitted":[],"custom":[]} CSL_BIBLIOGRAPHY </w:instrText>
      </w:r>
      <w:r w:rsidRPr="00D60A99">
        <w:rPr>
          <w:b/>
          <w:bCs/>
          <w:color w:val="000000" w:themeColor="text1"/>
        </w:rPr>
        <w:fldChar w:fldCharType="separate"/>
      </w:r>
      <w:r w:rsidR="00B240F5" w:rsidRPr="00D60A99">
        <w:rPr>
          <w:rFonts w:ascii="Times New Roman" w:hAnsi="Times New Roman" w:cs="Times New Roman"/>
          <w:color w:val="000000" w:themeColor="text1"/>
        </w:rPr>
        <w:t xml:space="preserve">1. </w:t>
      </w:r>
      <w:r w:rsidR="00B240F5" w:rsidRPr="00D60A99">
        <w:rPr>
          <w:rFonts w:ascii="Times New Roman" w:hAnsi="Times New Roman" w:cs="Times New Roman"/>
          <w:color w:val="000000" w:themeColor="text1"/>
        </w:rPr>
        <w:tab/>
        <w:t xml:space="preserve">Gruber M, Bozic I, Leshchiner I, Livitz D, Stevenson K, Rassenti L, et al. Growth dynamics in naturally progressing chronic lymphocytic leukaemia. Nature. 2019;570:474–9. </w:t>
      </w:r>
    </w:p>
    <w:p w14:paraId="584D6417" w14:textId="77777777" w:rsidR="00B240F5" w:rsidRPr="00D60A99" w:rsidRDefault="00B240F5" w:rsidP="00B240F5">
      <w:pPr>
        <w:pStyle w:val="Bibliography"/>
        <w:rPr>
          <w:rFonts w:ascii="Times New Roman" w:hAnsi="Times New Roman" w:cs="Times New Roman"/>
          <w:color w:val="000000" w:themeColor="text1"/>
        </w:rPr>
      </w:pPr>
      <w:r w:rsidRPr="00D60A99">
        <w:rPr>
          <w:rFonts w:ascii="Times New Roman" w:hAnsi="Times New Roman" w:cs="Times New Roman"/>
          <w:color w:val="000000" w:themeColor="text1"/>
        </w:rPr>
        <w:t xml:space="preserve">2. </w:t>
      </w:r>
      <w:r w:rsidRPr="00D60A99">
        <w:rPr>
          <w:rFonts w:ascii="Times New Roman" w:hAnsi="Times New Roman" w:cs="Times New Roman"/>
          <w:color w:val="000000" w:themeColor="text1"/>
        </w:rPr>
        <w:tab/>
        <w:t xml:space="preserve">Lareau CA, Ludwig LS, Sankaran VG. Longitudinal assessment of clonal mosaicism in human hematopoiesis via mitochondrial mutation tracking. Blood Adv. American Society of Hematology; 2019;3:4161–5. </w:t>
      </w:r>
    </w:p>
    <w:p w14:paraId="2C05B15B" w14:textId="77777777" w:rsidR="00B240F5" w:rsidRPr="00D60A99" w:rsidRDefault="00B240F5" w:rsidP="00B240F5">
      <w:pPr>
        <w:pStyle w:val="Bibliography"/>
        <w:rPr>
          <w:rFonts w:ascii="Times New Roman" w:hAnsi="Times New Roman" w:cs="Times New Roman"/>
          <w:color w:val="000000" w:themeColor="text1"/>
        </w:rPr>
      </w:pPr>
      <w:r w:rsidRPr="00D60A99">
        <w:rPr>
          <w:rFonts w:ascii="Times New Roman" w:hAnsi="Times New Roman" w:cs="Times New Roman"/>
          <w:color w:val="000000" w:themeColor="text1"/>
        </w:rPr>
        <w:t xml:space="preserve">3. </w:t>
      </w:r>
      <w:r w:rsidRPr="00D60A99">
        <w:rPr>
          <w:rFonts w:ascii="Times New Roman" w:hAnsi="Times New Roman" w:cs="Times New Roman"/>
          <w:color w:val="000000" w:themeColor="text1"/>
        </w:rPr>
        <w:tab/>
        <w:t xml:space="preserve">Langmead B, Salzberg SL. Fast gapped-read alignment with Bowtie 2. Nat Methods. 2012;9:357–9. </w:t>
      </w:r>
    </w:p>
    <w:p w14:paraId="7171B238" w14:textId="77777777" w:rsidR="00B240F5" w:rsidRPr="00D60A99" w:rsidRDefault="00B240F5" w:rsidP="00B240F5">
      <w:pPr>
        <w:pStyle w:val="Bibliography"/>
        <w:rPr>
          <w:rFonts w:ascii="Times New Roman" w:hAnsi="Times New Roman" w:cs="Times New Roman"/>
          <w:color w:val="000000" w:themeColor="text1"/>
        </w:rPr>
      </w:pPr>
      <w:r w:rsidRPr="00D60A99">
        <w:rPr>
          <w:rFonts w:ascii="Times New Roman" w:hAnsi="Times New Roman" w:cs="Times New Roman"/>
          <w:color w:val="000000" w:themeColor="text1"/>
        </w:rPr>
        <w:t xml:space="preserve">4. </w:t>
      </w:r>
      <w:r w:rsidRPr="00D60A99">
        <w:rPr>
          <w:rFonts w:ascii="Times New Roman" w:hAnsi="Times New Roman" w:cs="Times New Roman"/>
          <w:color w:val="000000" w:themeColor="text1"/>
        </w:rPr>
        <w:tab/>
        <w:t xml:space="preserve">Li H, Handsaker B, Wysoker A, Fennell T, Ruan J, Homer N, et al. The Sequence Alignment/Map format and SAMtools. Bioinformatics. 2009;25:2078–9. </w:t>
      </w:r>
    </w:p>
    <w:p w14:paraId="31CEF718" w14:textId="77777777" w:rsidR="00B240F5" w:rsidRPr="00D60A99" w:rsidRDefault="00B240F5" w:rsidP="00B240F5">
      <w:pPr>
        <w:pStyle w:val="Bibliography"/>
        <w:rPr>
          <w:rFonts w:ascii="Times New Roman" w:hAnsi="Times New Roman" w:cs="Times New Roman"/>
          <w:color w:val="000000" w:themeColor="text1"/>
        </w:rPr>
      </w:pPr>
      <w:r w:rsidRPr="00D60A99">
        <w:rPr>
          <w:rFonts w:ascii="Times New Roman" w:hAnsi="Times New Roman" w:cs="Times New Roman"/>
          <w:color w:val="000000" w:themeColor="text1"/>
        </w:rPr>
        <w:t xml:space="preserve">5. </w:t>
      </w:r>
      <w:r w:rsidRPr="00D60A99">
        <w:rPr>
          <w:rFonts w:ascii="Times New Roman" w:hAnsi="Times New Roman" w:cs="Times New Roman"/>
          <w:color w:val="000000" w:themeColor="text1"/>
        </w:rPr>
        <w:tab/>
        <w:t xml:space="preserve">Ludwig LS, Lareau CA, Ulirsch JC, Christian E, Muus C, Li LH, et al. Lineage Tracing in Humans Enabled by Mitochondrial Mutations and Single-Cell Genomics. Cell. 2019;176:1325-1339.e22. </w:t>
      </w:r>
    </w:p>
    <w:p w14:paraId="6BEA2B28" w14:textId="77777777" w:rsidR="00B240F5" w:rsidRPr="00D60A99" w:rsidRDefault="00B240F5" w:rsidP="00B240F5">
      <w:pPr>
        <w:pStyle w:val="Bibliography"/>
        <w:rPr>
          <w:rFonts w:ascii="Times New Roman" w:hAnsi="Times New Roman" w:cs="Times New Roman"/>
          <w:color w:val="000000" w:themeColor="text1"/>
        </w:rPr>
      </w:pPr>
      <w:r w:rsidRPr="00D60A99">
        <w:rPr>
          <w:rFonts w:ascii="Times New Roman" w:hAnsi="Times New Roman" w:cs="Times New Roman"/>
          <w:color w:val="000000" w:themeColor="text1"/>
        </w:rPr>
        <w:t xml:space="preserve">6. </w:t>
      </w:r>
      <w:r w:rsidRPr="00D60A99">
        <w:rPr>
          <w:rFonts w:ascii="Times New Roman" w:hAnsi="Times New Roman" w:cs="Times New Roman"/>
          <w:color w:val="000000" w:themeColor="text1"/>
        </w:rPr>
        <w:tab/>
        <w:t xml:space="preserve">Granja JM, Corces MR, Pierce SE, Bagdatli ST, Choudhry H, Chang HY, et al. ArchR is a scalable software package for integrative single-cell chromatin accessibility analysis. Nature Genetics. 2021;53:403–11. </w:t>
      </w:r>
    </w:p>
    <w:p w14:paraId="6B4B2CE4" w14:textId="213728CA" w:rsidR="00C742D9" w:rsidRPr="00D60A99" w:rsidRDefault="00C67ECC">
      <w:pPr>
        <w:rPr>
          <w:rFonts w:ascii="Times New Roman" w:hAnsi="Times New Roman" w:cs="Times New Roman"/>
          <w:b/>
          <w:bCs/>
          <w:color w:val="000000" w:themeColor="text1"/>
        </w:rPr>
      </w:pPr>
      <w:r w:rsidRPr="00D60A99">
        <w:rPr>
          <w:rFonts w:ascii="Times New Roman" w:hAnsi="Times New Roman" w:cs="Times New Roman"/>
          <w:b/>
          <w:bCs/>
          <w:color w:val="000000" w:themeColor="text1"/>
        </w:rPr>
        <w:fldChar w:fldCharType="end"/>
      </w:r>
    </w:p>
    <w:p w14:paraId="323D66DD" w14:textId="77777777" w:rsidR="00C30419" w:rsidRPr="00D60A99" w:rsidRDefault="00C30419">
      <w:pPr>
        <w:rPr>
          <w:rFonts w:ascii="Times New Roman" w:hAnsi="Times New Roman" w:cs="Times New Roman"/>
          <w:color w:val="000000" w:themeColor="text1"/>
        </w:rPr>
      </w:pPr>
    </w:p>
    <w:sectPr w:rsidR="00C30419" w:rsidRPr="00D60A99" w:rsidSect="003D5695">
      <w:headerReference w:type="default" r:id="rId17"/>
      <w:footerReference w:type="even"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2168E4" w14:textId="77777777" w:rsidR="007D3162" w:rsidRDefault="007D3162" w:rsidP="00A1230E">
      <w:r>
        <w:separator/>
      </w:r>
    </w:p>
  </w:endnote>
  <w:endnote w:type="continuationSeparator" w:id="0">
    <w:p w14:paraId="7FAF816E" w14:textId="77777777" w:rsidR="007D3162" w:rsidRDefault="007D3162" w:rsidP="00A12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84327848"/>
      <w:docPartObj>
        <w:docPartGallery w:val="Page Numbers (Bottom of Page)"/>
        <w:docPartUnique/>
      </w:docPartObj>
    </w:sdtPr>
    <w:sdtEndPr>
      <w:rPr>
        <w:rStyle w:val="PageNumber"/>
      </w:rPr>
    </w:sdtEndPr>
    <w:sdtContent>
      <w:p w14:paraId="03C1896E" w14:textId="52EB5F77" w:rsidR="00A1230E" w:rsidRDefault="00A1230E" w:rsidP="00C8307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D98333" w14:textId="77777777" w:rsidR="00A1230E" w:rsidRDefault="00A123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New Roman" w:hAnsi="Times New Roman" w:cs="Times New Roman"/>
      </w:rPr>
      <w:id w:val="551123813"/>
      <w:docPartObj>
        <w:docPartGallery w:val="Page Numbers (Bottom of Page)"/>
        <w:docPartUnique/>
      </w:docPartObj>
    </w:sdtPr>
    <w:sdtEndPr>
      <w:rPr>
        <w:rStyle w:val="PageNumber"/>
      </w:rPr>
    </w:sdtEndPr>
    <w:sdtContent>
      <w:p w14:paraId="2E5A0FED" w14:textId="3976416C" w:rsidR="00A1230E" w:rsidRPr="00321F1A" w:rsidRDefault="00A1230E" w:rsidP="00C83075">
        <w:pPr>
          <w:pStyle w:val="Footer"/>
          <w:framePr w:wrap="none" w:vAnchor="text" w:hAnchor="margin" w:xAlign="center" w:y="1"/>
          <w:rPr>
            <w:rStyle w:val="PageNumber"/>
            <w:rFonts w:ascii="Times New Roman" w:hAnsi="Times New Roman" w:cs="Times New Roman"/>
          </w:rPr>
        </w:pPr>
        <w:r w:rsidRPr="00321F1A">
          <w:rPr>
            <w:rStyle w:val="PageNumber"/>
            <w:rFonts w:ascii="Times New Roman" w:hAnsi="Times New Roman" w:cs="Times New Roman"/>
          </w:rPr>
          <w:fldChar w:fldCharType="begin"/>
        </w:r>
        <w:r w:rsidRPr="00321F1A">
          <w:rPr>
            <w:rStyle w:val="PageNumber"/>
            <w:rFonts w:ascii="Times New Roman" w:hAnsi="Times New Roman" w:cs="Times New Roman"/>
          </w:rPr>
          <w:instrText xml:space="preserve"> PAGE </w:instrText>
        </w:r>
        <w:r w:rsidRPr="00321F1A">
          <w:rPr>
            <w:rStyle w:val="PageNumber"/>
            <w:rFonts w:ascii="Times New Roman" w:hAnsi="Times New Roman" w:cs="Times New Roman"/>
          </w:rPr>
          <w:fldChar w:fldCharType="separate"/>
        </w:r>
        <w:r w:rsidRPr="00321F1A">
          <w:rPr>
            <w:rStyle w:val="PageNumber"/>
            <w:rFonts w:ascii="Times New Roman" w:hAnsi="Times New Roman" w:cs="Times New Roman"/>
            <w:noProof/>
          </w:rPr>
          <w:t>1</w:t>
        </w:r>
        <w:r w:rsidRPr="00321F1A">
          <w:rPr>
            <w:rStyle w:val="PageNumber"/>
            <w:rFonts w:ascii="Times New Roman" w:hAnsi="Times New Roman" w:cs="Times New Roman"/>
          </w:rPr>
          <w:fldChar w:fldCharType="end"/>
        </w:r>
      </w:p>
    </w:sdtContent>
  </w:sdt>
  <w:p w14:paraId="39A2F5A0" w14:textId="77777777" w:rsidR="00A1230E" w:rsidRPr="00321F1A" w:rsidRDefault="00A1230E">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29F01B" w14:textId="77777777" w:rsidR="007D3162" w:rsidRDefault="007D3162" w:rsidP="00A1230E">
      <w:r>
        <w:separator/>
      </w:r>
    </w:p>
  </w:footnote>
  <w:footnote w:type="continuationSeparator" w:id="0">
    <w:p w14:paraId="4938DDE5" w14:textId="77777777" w:rsidR="007D3162" w:rsidRDefault="007D3162" w:rsidP="00A12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8BB06" w14:textId="2BAF8325" w:rsidR="00A1230E" w:rsidRPr="00185E9E" w:rsidRDefault="00A1230E" w:rsidP="00A1230E">
    <w:pPr>
      <w:pStyle w:val="Header"/>
      <w:jc w:val="right"/>
      <w:rPr>
        <w:rFonts w:ascii="Times New Roman" w:hAnsi="Times New Roman" w:cs="Times New Roman"/>
      </w:rPr>
    </w:pPr>
    <w:r w:rsidRPr="00185E9E">
      <w:rPr>
        <w:rFonts w:ascii="Times New Roman" w:hAnsi="Times New Roman" w:cs="Times New Roman"/>
      </w:rPr>
      <w:t>Supplementa</w:t>
    </w:r>
    <w:r w:rsidR="00F30A87" w:rsidRPr="00185E9E">
      <w:rPr>
        <w:rFonts w:ascii="Times New Roman" w:hAnsi="Times New Roman" w:cs="Times New Roman"/>
      </w:rPr>
      <w:t xml:space="preserve">ry information </w:t>
    </w:r>
    <w:proofErr w:type="spellStart"/>
    <w:r w:rsidRPr="00185E9E">
      <w:rPr>
        <w:rFonts w:ascii="Times New Roman" w:hAnsi="Times New Roman" w:cs="Times New Roman"/>
      </w:rPr>
      <w:t>Penter</w:t>
    </w:r>
    <w:proofErr w:type="spellEnd"/>
    <w:r w:rsidRPr="00185E9E">
      <w:rPr>
        <w:rFonts w:ascii="Times New Roman" w:hAnsi="Times New Roman" w:cs="Times New Roman"/>
      </w:rPr>
      <w:t xml:space="preserve"> et al.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A76"/>
    <w:rsid w:val="000001B5"/>
    <w:rsid w:val="00010BBF"/>
    <w:rsid w:val="00032AE1"/>
    <w:rsid w:val="0003317B"/>
    <w:rsid w:val="00042A2B"/>
    <w:rsid w:val="00044DF3"/>
    <w:rsid w:val="00050723"/>
    <w:rsid w:val="00081D49"/>
    <w:rsid w:val="000942CD"/>
    <w:rsid w:val="000B5833"/>
    <w:rsid w:val="000B7D20"/>
    <w:rsid w:val="000D36C1"/>
    <w:rsid w:val="000F63D1"/>
    <w:rsid w:val="001008B1"/>
    <w:rsid w:val="00101954"/>
    <w:rsid w:val="00123FBB"/>
    <w:rsid w:val="00126E8B"/>
    <w:rsid w:val="001308CA"/>
    <w:rsid w:val="001309BA"/>
    <w:rsid w:val="0018100B"/>
    <w:rsid w:val="00185E9E"/>
    <w:rsid w:val="00195870"/>
    <w:rsid w:val="001A45CA"/>
    <w:rsid w:val="001B56A1"/>
    <w:rsid w:val="001C4B52"/>
    <w:rsid w:val="001C7D45"/>
    <w:rsid w:val="001E6FC4"/>
    <w:rsid w:val="001F3441"/>
    <w:rsid w:val="001F4AE0"/>
    <w:rsid w:val="002130EC"/>
    <w:rsid w:val="00222C97"/>
    <w:rsid w:val="00227C89"/>
    <w:rsid w:val="00240494"/>
    <w:rsid w:val="002429B1"/>
    <w:rsid w:val="00246255"/>
    <w:rsid w:val="00255893"/>
    <w:rsid w:val="002565E8"/>
    <w:rsid w:val="00274BBE"/>
    <w:rsid w:val="002965C6"/>
    <w:rsid w:val="00296F51"/>
    <w:rsid w:val="002B7B5F"/>
    <w:rsid w:val="002C0F35"/>
    <w:rsid w:val="002D04F4"/>
    <w:rsid w:val="002D3A9F"/>
    <w:rsid w:val="002E3268"/>
    <w:rsid w:val="002E3A68"/>
    <w:rsid w:val="002F7D38"/>
    <w:rsid w:val="0030211B"/>
    <w:rsid w:val="00303C03"/>
    <w:rsid w:val="003079CA"/>
    <w:rsid w:val="00316ED1"/>
    <w:rsid w:val="00321F1A"/>
    <w:rsid w:val="003335EE"/>
    <w:rsid w:val="00341612"/>
    <w:rsid w:val="003611DE"/>
    <w:rsid w:val="00362418"/>
    <w:rsid w:val="0036304B"/>
    <w:rsid w:val="00373520"/>
    <w:rsid w:val="003750AA"/>
    <w:rsid w:val="003D5695"/>
    <w:rsid w:val="003E0A46"/>
    <w:rsid w:val="003E5BAE"/>
    <w:rsid w:val="003F793D"/>
    <w:rsid w:val="004264FA"/>
    <w:rsid w:val="00430D0C"/>
    <w:rsid w:val="00446D2C"/>
    <w:rsid w:val="00460682"/>
    <w:rsid w:val="0046280D"/>
    <w:rsid w:val="004727D5"/>
    <w:rsid w:val="004821A2"/>
    <w:rsid w:val="004951A0"/>
    <w:rsid w:val="00496912"/>
    <w:rsid w:val="004B1933"/>
    <w:rsid w:val="004B4FB5"/>
    <w:rsid w:val="004C5AE8"/>
    <w:rsid w:val="004D3E11"/>
    <w:rsid w:val="004E7C6C"/>
    <w:rsid w:val="004F0134"/>
    <w:rsid w:val="004F4B3D"/>
    <w:rsid w:val="005166F9"/>
    <w:rsid w:val="005217AF"/>
    <w:rsid w:val="0054160D"/>
    <w:rsid w:val="00546E8F"/>
    <w:rsid w:val="005525FB"/>
    <w:rsid w:val="005731C6"/>
    <w:rsid w:val="00583725"/>
    <w:rsid w:val="005863DB"/>
    <w:rsid w:val="005B4E31"/>
    <w:rsid w:val="005B6C47"/>
    <w:rsid w:val="005D2AF3"/>
    <w:rsid w:val="005E0FB3"/>
    <w:rsid w:val="005E54EC"/>
    <w:rsid w:val="005F1858"/>
    <w:rsid w:val="006111C0"/>
    <w:rsid w:val="0061300B"/>
    <w:rsid w:val="006200E1"/>
    <w:rsid w:val="00620370"/>
    <w:rsid w:val="00627F88"/>
    <w:rsid w:val="0064253D"/>
    <w:rsid w:val="006513D2"/>
    <w:rsid w:val="0065594E"/>
    <w:rsid w:val="006658C9"/>
    <w:rsid w:val="006718BC"/>
    <w:rsid w:val="006E006D"/>
    <w:rsid w:val="006E59FE"/>
    <w:rsid w:val="006F44D1"/>
    <w:rsid w:val="006F4B36"/>
    <w:rsid w:val="007044D9"/>
    <w:rsid w:val="00712150"/>
    <w:rsid w:val="007145CA"/>
    <w:rsid w:val="007264CF"/>
    <w:rsid w:val="007532E1"/>
    <w:rsid w:val="00762B39"/>
    <w:rsid w:val="00791684"/>
    <w:rsid w:val="007933E4"/>
    <w:rsid w:val="00795949"/>
    <w:rsid w:val="007A0A43"/>
    <w:rsid w:val="007B757D"/>
    <w:rsid w:val="007C5ACA"/>
    <w:rsid w:val="007D3162"/>
    <w:rsid w:val="007E1131"/>
    <w:rsid w:val="007E3847"/>
    <w:rsid w:val="007E4F05"/>
    <w:rsid w:val="00826CD9"/>
    <w:rsid w:val="00844BA5"/>
    <w:rsid w:val="00853177"/>
    <w:rsid w:val="008652AD"/>
    <w:rsid w:val="0086712A"/>
    <w:rsid w:val="00875DC8"/>
    <w:rsid w:val="00890EC5"/>
    <w:rsid w:val="0089498B"/>
    <w:rsid w:val="008C3525"/>
    <w:rsid w:val="008C5CDF"/>
    <w:rsid w:val="008C7E98"/>
    <w:rsid w:val="008D1A4F"/>
    <w:rsid w:val="008D35A4"/>
    <w:rsid w:val="008E04AD"/>
    <w:rsid w:val="008E70F1"/>
    <w:rsid w:val="008F74A9"/>
    <w:rsid w:val="00901EC1"/>
    <w:rsid w:val="0092279E"/>
    <w:rsid w:val="009310E9"/>
    <w:rsid w:val="0093478B"/>
    <w:rsid w:val="0095092E"/>
    <w:rsid w:val="0096278B"/>
    <w:rsid w:val="009678CC"/>
    <w:rsid w:val="009768FB"/>
    <w:rsid w:val="00984571"/>
    <w:rsid w:val="009A7FA7"/>
    <w:rsid w:val="009B2A76"/>
    <w:rsid w:val="009C4CF6"/>
    <w:rsid w:val="009F0995"/>
    <w:rsid w:val="00A1230E"/>
    <w:rsid w:val="00A22422"/>
    <w:rsid w:val="00A23A47"/>
    <w:rsid w:val="00A2649D"/>
    <w:rsid w:val="00A301DB"/>
    <w:rsid w:val="00A72CF2"/>
    <w:rsid w:val="00A7725B"/>
    <w:rsid w:val="00A81CEE"/>
    <w:rsid w:val="00A8216E"/>
    <w:rsid w:val="00A84010"/>
    <w:rsid w:val="00AB5546"/>
    <w:rsid w:val="00AD2F3F"/>
    <w:rsid w:val="00AE01C3"/>
    <w:rsid w:val="00AE35A3"/>
    <w:rsid w:val="00AE651D"/>
    <w:rsid w:val="00AF1060"/>
    <w:rsid w:val="00B1493E"/>
    <w:rsid w:val="00B205D0"/>
    <w:rsid w:val="00B240F5"/>
    <w:rsid w:val="00B3148E"/>
    <w:rsid w:val="00B328DB"/>
    <w:rsid w:val="00B32D57"/>
    <w:rsid w:val="00B41217"/>
    <w:rsid w:val="00B415ED"/>
    <w:rsid w:val="00B53FF4"/>
    <w:rsid w:val="00B660B1"/>
    <w:rsid w:val="00B73B23"/>
    <w:rsid w:val="00B85B2B"/>
    <w:rsid w:val="00BA5536"/>
    <w:rsid w:val="00BA5F2C"/>
    <w:rsid w:val="00BD1B18"/>
    <w:rsid w:val="00BD61BD"/>
    <w:rsid w:val="00BD7580"/>
    <w:rsid w:val="00BF2312"/>
    <w:rsid w:val="00BF3CC4"/>
    <w:rsid w:val="00C21999"/>
    <w:rsid w:val="00C30419"/>
    <w:rsid w:val="00C615AC"/>
    <w:rsid w:val="00C61F81"/>
    <w:rsid w:val="00C63622"/>
    <w:rsid w:val="00C67ECC"/>
    <w:rsid w:val="00C73AB5"/>
    <w:rsid w:val="00C742D9"/>
    <w:rsid w:val="00C82567"/>
    <w:rsid w:val="00C874EC"/>
    <w:rsid w:val="00C915BB"/>
    <w:rsid w:val="00CA5B53"/>
    <w:rsid w:val="00CC6768"/>
    <w:rsid w:val="00CC6A76"/>
    <w:rsid w:val="00CC6E4C"/>
    <w:rsid w:val="00CD1BFF"/>
    <w:rsid w:val="00CD1D14"/>
    <w:rsid w:val="00CD3789"/>
    <w:rsid w:val="00CE5153"/>
    <w:rsid w:val="00CE68FE"/>
    <w:rsid w:val="00CF0C6E"/>
    <w:rsid w:val="00D03149"/>
    <w:rsid w:val="00D17175"/>
    <w:rsid w:val="00D2446C"/>
    <w:rsid w:val="00D25C4F"/>
    <w:rsid w:val="00D471E2"/>
    <w:rsid w:val="00D57974"/>
    <w:rsid w:val="00D60A99"/>
    <w:rsid w:val="00D71F52"/>
    <w:rsid w:val="00D813A0"/>
    <w:rsid w:val="00D83846"/>
    <w:rsid w:val="00D859C5"/>
    <w:rsid w:val="00DA0441"/>
    <w:rsid w:val="00DB17B1"/>
    <w:rsid w:val="00DC14F4"/>
    <w:rsid w:val="00DC2426"/>
    <w:rsid w:val="00DC77CA"/>
    <w:rsid w:val="00DD5110"/>
    <w:rsid w:val="00DE788A"/>
    <w:rsid w:val="00DF51BC"/>
    <w:rsid w:val="00E0296E"/>
    <w:rsid w:val="00E03939"/>
    <w:rsid w:val="00E1235D"/>
    <w:rsid w:val="00E16CD7"/>
    <w:rsid w:val="00E25B11"/>
    <w:rsid w:val="00E31984"/>
    <w:rsid w:val="00E4418B"/>
    <w:rsid w:val="00E4560E"/>
    <w:rsid w:val="00E5283C"/>
    <w:rsid w:val="00E565A7"/>
    <w:rsid w:val="00E8228A"/>
    <w:rsid w:val="00EA081C"/>
    <w:rsid w:val="00EC0AF5"/>
    <w:rsid w:val="00EE414D"/>
    <w:rsid w:val="00EF4A17"/>
    <w:rsid w:val="00EF6497"/>
    <w:rsid w:val="00EF6B6C"/>
    <w:rsid w:val="00EF6DCD"/>
    <w:rsid w:val="00F025A4"/>
    <w:rsid w:val="00F27BF4"/>
    <w:rsid w:val="00F30A87"/>
    <w:rsid w:val="00F53A12"/>
    <w:rsid w:val="00F553DC"/>
    <w:rsid w:val="00F555FC"/>
    <w:rsid w:val="00F55CF8"/>
    <w:rsid w:val="00F65D76"/>
    <w:rsid w:val="00F73B9F"/>
    <w:rsid w:val="00F75857"/>
    <w:rsid w:val="00F85B0E"/>
    <w:rsid w:val="00F86F45"/>
    <w:rsid w:val="00FA5D6E"/>
    <w:rsid w:val="00FC173D"/>
    <w:rsid w:val="00FC5523"/>
    <w:rsid w:val="00FD7307"/>
    <w:rsid w:val="00FE2D29"/>
    <w:rsid w:val="00FF6D4D"/>
    <w:rsid w:val="00FF77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B079D"/>
  <w15:chartTrackingRefBased/>
  <w15:docId w15:val="{CA590F56-BE67-C346-B999-389CEDFD3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3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230E"/>
    <w:pPr>
      <w:tabs>
        <w:tab w:val="center" w:pos="4680"/>
        <w:tab w:val="right" w:pos="9360"/>
      </w:tabs>
    </w:pPr>
  </w:style>
  <w:style w:type="character" w:customStyle="1" w:styleId="HeaderChar">
    <w:name w:val="Header Char"/>
    <w:basedOn w:val="DefaultParagraphFont"/>
    <w:link w:val="Header"/>
    <w:uiPriority w:val="99"/>
    <w:rsid w:val="00A1230E"/>
  </w:style>
  <w:style w:type="paragraph" w:styleId="Footer">
    <w:name w:val="footer"/>
    <w:basedOn w:val="Normal"/>
    <w:link w:val="FooterChar"/>
    <w:uiPriority w:val="99"/>
    <w:unhideWhenUsed/>
    <w:rsid w:val="00A1230E"/>
    <w:pPr>
      <w:tabs>
        <w:tab w:val="center" w:pos="4680"/>
        <w:tab w:val="right" w:pos="9360"/>
      </w:tabs>
    </w:pPr>
  </w:style>
  <w:style w:type="character" w:customStyle="1" w:styleId="FooterChar">
    <w:name w:val="Footer Char"/>
    <w:basedOn w:val="DefaultParagraphFont"/>
    <w:link w:val="Footer"/>
    <w:uiPriority w:val="99"/>
    <w:rsid w:val="00A1230E"/>
  </w:style>
  <w:style w:type="character" w:styleId="PageNumber">
    <w:name w:val="page number"/>
    <w:basedOn w:val="DefaultParagraphFont"/>
    <w:uiPriority w:val="99"/>
    <w:semiHidden/>
    <w:unhideWhenUsed/>
    <w:rsid w:val="00A1230E"/>
  </w:style>
  <w:style w:type="paragraph" w:customStyle="1" w:styleId="Acknowledgement">
    <w:name w:val="Acknowledgement"/>
    <w:basedOn w:val="Normal"/>
    <w:rsid w:val="00DA0441"/>
    <w:pPr>
      <w:spacing w:before="120"/>
      <w:ind w:left="720" w:hanging="720"/>
    </w:pPr>
    <w:rPr>
      <w:rFonts w:ascii="Times New Roman" w:eastAsia="Times New Roman" w:hAnsi="Times New Roman" w:cs="Times New Roman"/>
    </w:rPr>
  </w:style>
  <w:style w:type="paragraph" w:customStyle="1" w:styleId="Legend">
    <w:name w:val="Legend"/>
    <w:basedOn w:val="Normal"/>
    <w:rsid w:val="00DA0441"/>
    <w:pPr>
      <w:keepNext/>
      <w:spacing w:before="240"/>
      <w:outlineLvl w:val="0"/>
    </w:pPr>
    <w:rPr>
      <w:rFonts w:ascii="Times New Roman" w:eastAsia="Times New Roman" w:hAnsi="Times New Roman" w:cs="Times New Roman"/>
      <w:kern w:val="28"/>
    </w:rPr>
  </w:style>
  <w:style w:type="paragraph" w:customStyle="1" w:styleId="Paragraph">
    <w:name w:val="Paragraph"/>
    <w:basedOn w:val="Normal"/>
    <w:rsid w:val="008C7E98"/>
    <w:pPr>
      <w:spacing w:before="120"/>
      <w:ind w:firstLine="720"/>
    </w:pPr>
    <w:rPr>
      <w:rFonts w:ascii="Times New Roman" w:eastAsia="Times New Roman" w:hAnsi="Times New Roman" w:cs="Times New Roman"/>
    </w:rPr>
  </w:style>
  <w:style w:type="paragraph" w:styleId="Bibliography">
    <w:name w:val="Bibliography"/>
    <w:basedOn w:val="Normal"/>
    <w:next w:val="Normal"/>
    <w:uiPriority w:val="37"/>
    <w:unhideWhenUsed/>
    <w:rsid w:val="00C67ECC"/>
    <w:pPr>
      <w:tabs>
        <w:tab w:val="left" w:pos="260"/>
        <w:tab w:val="left" w:pos="380"/>
      </w:tabs>
      <w:spacing w:after="240"/>
      <w:ind w:left="384" w:hanging="384"/>
    </w:pPr>
  </w:style>
  <w:style w:type="character" w:styleId="CommentReference">
    <w:name w:val="annotation reference"/>
    <w:basedOn w:val="DefaultParagraphFont"/>
    <w:uiPriority w:val="99"/>
    <w:semiHidden/>
    <w:unhideWhenUsed/>
    <w:rsid w:val="004C5AE8"/>
    <w:rPr>
      <w:sz w:val="16"/>
      <w:szCs w:val="16"/>
    </w:rPr>
  </w:style>
  <w:style w:type="paragraph" w:styleId="CommentText">
    <w:name w:val="annotation text"/>
    <w:basedOn w:val="Normal"/>
    <w:link w:val="CommentTextChar"/>
    <w:uiPriority w:val="99"/>
    <w:semiHidden/>
    <w:unhideWhenUsed/>
    <w:rsid w:val="004C5AE8"/>
    <w:rPr>
      <w:sz w:val="20"/>
      <w:szCs w:val="20"/>
    </w:rPr>
  </w:style>
  <w:style w:type="character" w:customStyle="1" w:styleId="CommentTextChar">
    <w:name w:val="Comment Text Char"/>
    <w:basedOn w:val="DefaultParagraphFont"/>
    <w:link w:val="CommentText"/>
    <w:uiPriority w:val="99"/>
    <w:semiHidden/>
    <w:rsid w:val="004C5AE8"/>
    <w:rPr>
      <w:sz w:val="20"/>
      <w:szCs w:val="20"/>
    </w:rPr>
  </w:style>
  <w:style w:type="paragraph" w:styleId="CommentSubject">
    <w:name w:val="annotation subject"/>
    <w:basedOn w:val="CommentText"/>
    <w:next w:val="CommentText"/>
    <w:link w:val="CommentSubjectChar"/>
    <w:uiPriority w:val="99"/>
    <w:semiHidden/>
    <w:unhideWhenUsed/>
    <w:rsid w:val="004C5AE8"/>
    <w:rPr>
      <w:b/>
      <w:bCs/>
    </w:rPr>
  </w:style>
  <w:style w:type="character" w:customStyle="1" w:styleId="CommentSubjectChar">
    <w:name w:val="Comment Subject Char"/>
    <w:basedOn w:val="CommentTextChar"/>
    <w:link w:val="CommentSubject"/>
    <w:uiPriority w:val="99"/>
    <w:semiHidden/>
    <w:rsid w:val="004C5A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5082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Users/liviuspenter/Dropbox%20(Partners%20HealthCare)/papers/STM_mitoatac/Cancer%20Discovery/202104_figures_for_resubmission/Wu%20Livius%201-26-21-Supp1_LP.png" TargetMode="External"/><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file:////Users/liviuspenter/Dropbox%20(Partners%20HealthCare)/papers/STM_mitoatac/Cancer%20Discovery/202104_figures_for_resubmission/Wu%20Livius%201-26-21-Supp8_LP.png"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15</Pages>
  <Words>4726</Words>
  <Characters>26943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Penter, Livius</dc:creator>
  <cp:keywords/>
  <dc:description/>
  <cp:lastModifiedBy>Penter, Livius</cp:lastModifiedBy>
  <cp:revision>45</cp:revision>
  <cp:lastPrinted>2021-02-26T20:31:00Z</cp:lastPrinted>
  <dcterms:created xsi:type="dcterms:W3CDTF">2021-05-28T18:55:00Z</dcterms:created>
  <dcterms:modified xsi:type="dcterms:W3CDTF">2021-05-31T21:24:00Z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id="pIquU8Yu"/&gt;&lt;style id="http://www.zotero.org/styles/cancer-discovery" hasBibliography="1" bibliographyStyleHasBeenSet="1"/&gt;&lt;prefs&gt;&lt;pref name="fieldType" value="Field"/&gt;&lt;/prefs&gt;&lt;/data&gt;</vt:lpwstr>
  </property>
</Properties>
</file>