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B9" w:rsidRPr="00C434B9" w:rsidRDefault="00C434B9" w:rsidP="00C434B9">
      <w:pPr>
        <w:spacing w:after="0" w:line="240" w:lineRule="auto"/>
        <w:jc w:val="center"/>
        <w:rPr>
          <w:rFonts w:ascii="Times New Roman" w:eastAsia="Times New Roman" w:hAnsi="Times New Roman" w:cs="Times New Roman"/>
          <w:b/>
          <w:sz w:val="24"/>
          <w:szCs w:val="24"/>
        </w:rPr>
      </w:pPr>
      <w:r w:rsidRPr="00C434B9">
        <w:rPr>
          <w:rFonts w:ascii="Times New Roman" w:eastAsia="Times New Roman" w:hAnsi="Times New Roman" w:cs="Times New Roman"/>
          <w:b/>
          <w:sz w:val="24"/>
          <w:szCs w:val="24"/>
        </w:rPr>
        <w:t>Pharmacological activation of p53 triggers viral mimicry response thereby abolishing tumor immune evasion and promoting anti-tumor immunity</w:t>
      </w:r>
    </w:p>
    <w:p w:rsidR="00C434B9" w:rsidRPr="00C434B9" w:rsidRDefault="00C434B9" w:rsidP="00C434B9">
      <w:pPr>
        <w:spacing w:after="0" w:line="240" w:lineRule="auto"/>
        <w:jc w:val="center"/>
        <w:rPr>
          <w:rFonts w:ascii="Times New Roman" w:eastAsia="Times New Roman" w:hAnsi="Times New Roman" w:cs="Times New Roman"/>
          <w:bCs/>
          <w:iCs/>
          <w:sz w:val="24"/>
          <w:szCs w:val="24"/>
        </w:rPr>
      </w:pP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rPr>
        <w:t>Xiaolei Zhou</w:t>
      </w:r>
      <w:r w:rsidRPr="00C434B9">
        <w:rPr>
          <w:rFonts w:ascii="Times New Roman" w:eastAsia="Times New Roman" w:hAnsi="Times New Roman" w:cs="Times New Roman"/>
          <w:bCs/>
          <w:iCs/>
          <w:sz w:val="24"/>
          <w:szCs w:val="24"/>
          <w:vertAlign w:val="superscript"/>
        </w:rPr>
        <w:t>1, 4</w:t>
      </w:r>
      <w:r w:rsidRPr="00C434B9">
        <w:rPr>
          <w:rFonts w:ascii="Times New Roman" w:eastAsia="Times New Roman" w:hAnsi="Times New Roman" w:cs="Times New Roman"/>
          <w:bCs/>
          <w:iCs/>
          <w:sz w:val="24"/>
          <w:szCs w:val="24"/>
        </w:rPr>
        <w:t>, Madhurendra Singh</w:t>
      </w:r>
      <w:r w:rsidRPr="00C434B9">
        <w:rPr>
          <w:rFonts w:ascii="Times New Roman" w:eastAsia="Times New Roman" w:hAnsi="Times New Roman" w:cs="Times New Roman"/>
          <w:bCs/>
          <w:iCs/>
          <w:sz w:val="24"/>
          <w:szCs w:val="24"/>
          <w:vertAlign w:val="superscript"/>
        </w:rPr>
        <w:t>1, 4</w:t>
      </w:r>
      <w:r w:rsidRPr="00C434B9">
        <w:rPr>
          <w:rFonts w:ascii="Times New Roman" w:eastAsia="Times New Roman" w:hAnsi="Times New Roman" w:cs="Times New Roman"/>
          <w:bCs/>
          <w:iCs/>
          <w:sz w:val="24"/>
          <w:szCs w:val="24"/>
        </w:rPr>
        <w:t>, Gema Sanz Santos</w:t>
      </w:r>
      <w:r w:rsidRPr="00C434B9">
        <w:rPr>
          <w:rFonts w:ascii="Times New Roman" w:eastAsia="Times New Roman" w:hAnsi="Times New Roman" w:cs="Times New Roman"/>
          <w:bCs/>
          <w:iCs/>
          <w:sz w:val="24"/>
          <w:szCs w:val="24"/>
          <w:vertAlign w:val="superscript"/>
        </w:rPr>
        <w:t>1</w:t>
      </w:r>
      <w:r w:rsidRPr="00C434B9">
        <w:rPr>
          <w:rFonts w:ascii="Times New Roman" w:eastAsia="Times New Roman" w:hAnsi="Times New Roman" w:cs="Times New Roman"/>
          <w:bCs/>
          <w:iCs/>
          <w:sz w:val="24"/>
          <w:szCs w:val="24"/>
        </w:rPr>
        <w:t>, Vincent Guerlavais</w:t>
      </w:r>
      <w:r w:rsidRPr="00C434B9">
        <w:rPr>
          <w:rFonts w:ascii="Times New Roman" w:eastAsia="Times New Roman" w:hAnsi="Times New Roman" w:cs="Times New Roman"/>
          <w:bCs/>
          <w:iCs/>
          <w:sz w:val="24"/>
          <w:szCs w:val="24"/>
          <w:vertAlign w:val="superscript"/>
        </w:rPr>
        <w:t>2</w:t>
      </w:r>
      <w:r w:rsidRPr="00C434B9">
        <w:rPr>
          <w:rFonts w:ascii="Times New Roman" w:eastAsia="Times New Roman" w:hAnsi="Times New Roman" w:cs="Times New Roman"/>
          <w:bCs/>
          <w:iCs/>
          <w:sz w:val="24"/>
          <w:szCs w:val="24"/>
        </w:rPr>
        <w:t>, Luis A. Carvajal</w:t>
      </w:r>
      <w:r w:rsidRPr="00C434B9">
        <w:rPr>
          <w:rFonts w:ascii="Times New Roman" w:eastAsia="Times New Roman" w:hAnsi="Times New Roman" w:cs="Times New Roman"/>
          <w:bCs/>
          <w:iCs/>
          <w:sz w:val="24"/>
          <w:szCs w:val="24"/>
          <w:vertAlign w:val="superscript"/>
        </w:rPr>
        <w:t>2</w:t>
      </w:r>
      <w:r w:rsidRPr="00C434B9">
        <w:rPr>
          <w:rFonts w:ascii="Times New Roman" w:eastAsia="Times New Roman" w:hAnsi="Times New Roman" w:cs="Times New Roman"/>
          <w:bCs/>
          <w:iCs/>
          <w:sz w:val="24"/>
          <w:szCs w:val="24"/>
        </w:rPr>
        <w:t>, Manuel Aivado</w:t>
      </w:r>
      <w:r w:rsidRPr="00C434B9">
        <w:rPr>
          <w:rFonts w:ascii="Times New Roman" w:eastAsia="Times New Roman" w:hAnsi="Times New Roman" w:cs="Times New Roman"/>
          <w:bCs/>
          <w:iCs/>
          <w:sz w:val="24"/>
          <w:szCs w:val="24"/>
          <w:vertAlign w:val="superscript"/>
        </w:rPr>
        <w:t>2</w:t>
      </w:r>
      <w:r w:rsidRPr="00C434B9">
        <w:rPr>
          <w:rFonts w:ascii="Times New Roman" w:eastAsia="Times New Roman" w:hAnsi="Times New Roman" w:cs="Times New Roman"/>
          <w:bCs/>
          <w:iCs/>
          <w:sz w:val="24"/>
          <w:szCs w:val="24"/>
        </w:rPr>
        <w:t>, Yue Zhan</w:t>
      </w:r>
      <w:r w:rsidRPr="00C434B9">
        <w:rPr>
          <w:rFonts w:ascii="Times New Roman" w:eastAsia="Times New Roman" w:hAnsi="Times New Roman" w:cs="Times New Roman"/>
          <w:bCs/>
          <w:iCs/>
          <w:sz w:val="24"/>
          <w:szCs w:val="24"/>
          <w:vertAlign w:val="superscript"/>
        </w:rPr>
        <w:t>1</w:t>
      </w:r>
      <w:r w:rsidRPr="00C434B9">
        <w:rPr>
          <w:rFonts w:ascii="Times New Roman" w:eastAsia="Times New Roman" w:hAnsi="Times New Roman" w:cs="Times New Roman"/>
          <w:bCs/>
          <w:iCs/>
          <w:sz w:val="24"/>
          <w:szCs w:val="24"/>
        </w:rPr>
        <w:t>, Mariana M.S. Oliveira</w:t>
      </w:r>
      <w:r w:rsidRPr="00C434B9">
        <w:rPr>
          <w:rFonts w:ascii="Times New Roman" w:eastAsia="Times New Roman" w:hAnsi="Times New Roman" w:cs="Times New Roman"/>
          <w:bCs/>
          <w:iCs/>
          <w:sz w:val="24"/>
          <w:szCs w:val="24"/>
          <w:vertAlign w:val="superscript"/>
        </w:rPr>
        <w:t>1</w:t>
      </w:r>
      <w:r w:rsidRPr="00C434B9">
        <w:rPr>
          <w:rFonts w:ascii="Times New Roman" w:eastAsia="Times New Roman" w:hAnsi="Times New Roman" w:cs="Times New Roman"/>
          <w:bCs/>
          <w:iCs/>
          <w:sz w:val="24"/>
          <w:szCs w:val="24"/>
        </w:rPr>
        <w:t>, Lisa S. Westerberg</w:t>
      </w:r>
      <w:r w:rsidRPr="00C434B9">
        <w:rPr>
          <w:rFonts w:ascii="Times New Roman" w:eastAsia="Times New Roman" w:hAnsi="Times New Roman" w:cs="Times New Roman"/>
          <w:bCs/>
          <w:iCs/>
          <w:sz w:val="24"/>
          <w:szCs w:val="24"/>
          <w:vertAlign w:val="superscript"/>
        </w:rPr>
        <w:t>1</w:t>
      </w:r>
      <w:r w:rsidRPr="00C434B9">
        <w:rPr>
          <w:rFonts w:ascii="Times New Roman" w:eastAsia="Times New Roman" w:hAnsi="Times New Roman" w:cs="Times New Roman"/>
          <w:bCs/>
          <w:iCs/>
          <w:sz w:val="24"/>
          <w:szCs w:val="24"/>
        </w:rPr>
        <w:t>, D. Allen Annis</w:t>
      </w:r>
      <w:r w:rsidRPr="00C434B9">
        <w:rPr>
          <w:rFonts w:ascii="Times New Roman" w:eastAsia="Times New Roman" w:hAnsi="Times New Roman" w:cs="Times New Roman"/>
          <w:bCs/>
          <w:iCs/>
          <w:sz w:val="24"/>
          <w:szCs w:val="24"/>
          <w:vertAlign w:val="superscript"/>
        </w:rPr>
        <w:t>2</w:t>
      </w:r>
      <w:r w:rsidRPr="00C434B9">
        <w:rPr>
          <w:rFonts w:ascii="Times New Roman" w:eastAsia="Times New Roman" w:hAnsi="Times New Roman" w:cs="Times New Roman"/>
          <w:bCs/>
          <w:iCs/>
          <w:sz w:val="24"/>
          <w:szCs w:val="24"/>
        </w:rPr>
        <w:t>, John Inge Johnsen</w:t>
      </w:r>
      <w:r w:rsidRPr="00C434B9">
        <w:rPr>
          <w:rFonts w:ascii="Times New Roman" w:eastAsia="Times New Roman" w:hAnsi="Times New Roman" w:cs="Times New Roman"/>
          <w:bCs/>
          <w:iCs/>
          <w:sz w:val="24"/>
          <w:szCs w:val="24"/>
          <w:vertAlign w:val="superscript"/>
        </w:rPr>
        <w:t>3</w:t>
      </w:r>
      <w:r w:rsidRPr="00C434B9">
        <w:rPr>
          <w:rFonts w:ascii="Times New Roman" w:eastAsia="Times New Roman" w:hAnsi="Times New Roman" w:cs="Times New Roman"/>
          <w:bCs/>
          <w:iCs/>
          <w:sz w:val="24"/>
          <w:szCs w:val="24"/>
        </w:rPr>
        <w:t xml:space="preserve"> and Galina Selivanova</w:t>
      </w:r>
      <w:r w:rsidRPr="00C434B9">
        <w:rPr>
          <w:rFonts w:ascii="Times New Roman" w:eastAsia="Times New Roman" w:hAnsi="Times New Roman" w:cs="Times New Roman"/>
          <w:bCs/>
          <w:iCs/>
          <w:sz w:val="24"/>
          <w:szCs w:val="24"/>
          <w:vertAlign w:val="superscript"/>
        </w:rPr>
        <w:t>1, 5</w:t>
      </w:r>
    </w:p>
    <w:p w:rsidR="00C434B9" w:rsidRPr="00C434B9" w:rsidRDefault="00C434B9" w:rsidP="00C434B9">
      <w:pPr>
        <w:spacing w:after="0" w:line="240" w:lineRule="auto"/>
        <w:rPr>
          <w:rFonts w:ascii="Times New Roman" w:eastAsia="Times New Roman" w:hAnsi="Times New Roman" w:cs="Times New Roman"/>
          <w:bCs/>
          <w:iCs/>
          <w:sz w:val="24"/>
          <w:szCs w:val="24"/>
        </w:rPr>
      </w:pP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vertAlign w:val="superscript"/>
        </w:rPr>
        <w:t>1</w:t>
      </w:r>
      <w:r w:rsidRPr="00C434B9">
        <w:rPr>
          <w:rFonts w:ascii="Times New Roman" w:eastAsia="Times New Roman" w:hAnsi="Times New Roman" w:cs="Times New Roman"/>
          <w:bCs/>
          <w:iCs/>
          <w:sz w:val="24"/>
          <w:szCs w:val="24"/>
        </w:rPr>
        <w:t>Department of Microbiology, Tumor and Cell Biology, Karolinska Institutet, Stockholm, 171 65, Sweden</w:t>
      </w: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vertAlign w:val="superscript"/>
        </w:rPr>
        <w:t>2</w:t>
      </w:r>
      <w:r w:rsidRPr="00C434B9">
        <w:rPr>
          <w:rFonts w:ascii="Times New Roman" w:eastAsia="Times New Roman" w:hAnsi="Times New Roman" w:cs="Times New Roman"/>
          <w:bCs/>
          <w:iCs/>
          <w:sz w:val="24"/>
          <w:szCs w:val="24"/>
        </w:rPr>
        <w:t>Aileron Therapeutics, Inc. 490 Arsenal Way, Suite 210, Watertown, MA 02472, USA</w:t>
      </w: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vertAlign w:val="superscript"/>
        </w:rPr>
        <w:t>3</w:t>
      </w:r>
      <w:r w:rsidRPr="00C434B9">
        <w:rPr>
          <w:rFonts w:ascii="Times New Roman" w:eastAsia="Times New Roman" w:hAnsi="Times New Roman" w:cs="Times New Roman"/>
          <w:bCs/>
          <w:iCs/>
          <w:sz w:val="24"/>
          <w:szCs w:val="24"/>
        </w:rPr>
        <w:t xml:space="preserve">Department of Women's and Children's Health, Childhood Cancer Research Unit, Karolinska Institutet, Stockholm, </w:t>
      </w:r>
      <w:r w:rsidRPr="00C434B9">
        <w:rPr>
          <w:rFonts w:ascii="Helvetica" w:eastAsia="Times New Roman" w:hAnsi="Helvetica" w:cs="Helvetica"/>
          <w:color w:val="000000"/>
          <w:sz w:val="21"/>
          <w:szCs w:val="21"/>
        </w:rPr>
        <w:t>171 77</w:t>
      </w:r>
      <w:r w:rsidRPr="00C434B9">
        <w:rPr>
          <w:rFonts w:ascii="Times New Roman" w:eastAsia="Times New Roman" w:hAnsi="Times New Roman" w:cs="Times New Roman"/>
          <w:bCs/>
          <w:iCs/>
          <w:sz w:val="24"/>
          <w:szCs w:val="24"/>
        </w:rPr>
        <w:t xml:space="preserve"> Sweden</w:t>
      </w: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vertAlign w:val="superscript"/>
        </w:rPr>
        <w:t>4</w:t>
      </w:r>
      <w:r w:rsidRPr="00C434B9">
        <w:rPr>
          <w:rFonts w:ascii="Times New Roman" w:eastAsia="Times New Roman" w:hAnsi="Times New Roman" w:cs="Times New Roman"/>
          <w:bCs/>
          <w:iCs/>
          <w:sz w:val="24"/>
          <w:szCs w:val="24"/>
        </w:rPr>
        <w:t>These authors contributed equally</w:t>
      </w: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vertAlign w:val="superscript"/>
        </w:rPr>
        <w:t>5</w:t>
      </w:r>
      <w:r w:rsidRPr="00C434B9">
        <w:rPr>
          <w:rFonts w:ascii="Times New Roman" w:eastAsia="Times New Roman" w:hAnsi="Times New Roman" w:cs="Times New Roman"/>
          <w:bCs/>
          <w:iCs/>
          <w:sz w:val="24"/>
          <w:szCs w:val="24"/>
        </w:rPr>
        <w:t xml:space="preserve">Lead author: Galina Selivanova, </w:t>
      </w:r>
      <w:r w:rsidRPr="00C434B9">
        <w:rPr>
          <w:rFonts w:ascii="Times New Roman" w:eastAsia="Times New Roman" w:hAnsi="Times New Roman" w:cs="Times New Roman"/>
          <w:bCs/>
          <w:iCs/>
          <w:color w:val="3B7AF7"/>
          <w:sz w:val="24"/>
          <w:szCs w:val="24"/>
          <w:u w:val="single"/>
        </w:rPr>
        <w:t>galina.selivanova@ki.se</w:t>
      </w:r>
      <w:r w:rsidRPr="00C434B9">
        <w:rPr>
          <w:rFonts w:ascii="Times New Roman" w:eastAsia="Times New Roman" w:hAnsi="Times New Roman" w:cs="Times New Roman"/>
          <w:bCs/>
          <w:iCs/>
          <w:sz w:val="24"/>
          <w:szCs w:val="24"/>
        </w:rPr>
        <w:t>; Department of Microbiology, Tumor and Cell Biology, Biomedicum C8, Karolinska Institutet, 171 65 Stockholm; Sweden; Tel: +46 8 52486302.</w:t>
      </w:r>
    </w:p>
    <w:p w:rsidR="00C434B9" w:rsidRPr="00C434B9" w:rsidRDefault="00C434B9" w:rsidP="00C434B9">
      <w:pPr>
        <w:spacing w:after="0" w:line="240" w:lineRule="auto"/>
        <w:rPr>
          <w:rFonts w:ascii="Times New Roman" w:eastAsia="Times New Roman" w:hAnsi="Times New Roman" w:cs="Times New Roman"/>
          <w:bCs/>
          <w:iCs/>
          <w:sz w:val="24"/>
          <w:szCs w:val="24"/>
        </w:rPr>
      </w:pP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rPr>
        <w:t>Running title: p53 activation of ERVs boosts anti-cancer immune response</w:t>
      </w:r>
    </w:p>
    <w:p w:rsidR="00C434B9" w:rsidRPr="00C434B9" w:rsidRDefault="00C434B9" w:rsidP="00C434B9">
      <w:pPr>
        <w:spacing w:after="0" w:line="240" w:lineRule="auto"/>
        <w:rPr>
          <w:rFonts w:ascii="Times New Roman" w:eastAsia="Times New Roman" w:hAnsi="Times New Roman" w:cs="Times New Roman"/>
          <w:bCs/>
          <w:iCs/>
          <w:sz w:val="24"/>
          <w:szCs w:val="24"/>
        </w:rPr>
      </w:pPr>
    </w:p>
    <w:p w:rsidR="00C434B9" w:rsidRPr="00C434B9" w:rsidRDefault="00C434B9" w:rsidP="00C434B9">
      <w:pPr>
        <w:spacing w:after="0" w:line="240" w:lineRule="auto"/>
        <w:rPr>
          <w:rFonts w:ascii="Times New Roman" w:eastAsia="Times New Roman" w:hAnsi="Times New Roman" w:cs="Times New Roman"/>
          <w:bCs/>
          <w:iCs/>
          <w:sz w:val="24"/>
          <w:szCs w:val="24"/>
        </w:rPr>
      </w:pPr>
      <w:r w:rsidRPr="00C434B9">
        <w:rPr>
          <w:rFonts w:ascii="Times New Roman" w:eastAsia="Times New Roman" w:hAnsi="Times New Roman" w:cs="Times New Roman"/>
          <w:bCs/>
          <w:iCs/>
          <w:sz w:val="24"/>
          <w:szCs w:val="24"/>
        </w:rPr>
        <w:t>Key words: p53, MDM2 inhibitors, endogenous retroviruses, interferon, immunotherapy</w:t>
      </w:r>
    </w:p>
    <w:p w:rsidR="00C434B9" w:rsidRPr="00C434B9" w:rsidRDefault="00C434B9" w:rsidP="00C434B9">
      <w:pPr>
        <w:spacing w:after="0" w:line="240" w:lineRule="auto"/>
        <w:rPr>
          <w:rFonts w:ascii="Times New Roman" w:eastAsia="Times New Roman" w:hAnsi="Times New Roman" w:cs="Times New Roman"/>
          <w:bCs/>
          <w:iCs/>
          <w:sz w:val="24"/>
          <w:szCs w:val="24"/>
        </w:rPr>
      </w:pPr>
    </w:p>
    <w:p w:rsidR="00C434B9" w:rsidRPr="00C434B9" w:rsidRDefault="00C434B9" w:rsidP="00C434B9">
      <w:pPr>
        <w:spacing w:after="0" w:line="240" w:lineRule="auto"/>
        <w:rPr>
          <w:rFonts w:ascii="Times New Roman" w:eastAsia="Times New Roman" w:hAnsi="Times New Roman" w:cs="Times New Roman"/>
          <w:sz w:val="24"/>
          <w:szCs w:val="24"/>
        </w:rPr>
      </w:pPr>
      <w:r w:rsidRPr="00C434B9">
        <w:rPr>
          <w:rFonts w:ascii="Times New Roman" w:eastAsia="Times New Roman" w:hAnsi="Times New Roman" w:cs="Times New Roman"/>
          <w:bCs/>
          <w:iCs/>
          <w:sz w:val="24"/>
          <w:szCs w:val="24"/>
        </w:rPr>
        <w:t>Financing:</w:t>
      </w:r>
      <w:r w:rsidRPr="00C434B9">
        <w:rPr>
          <w:rFonts w:ascii="Times New Roman" w:eastAsia="Times New Roman" w:hAnsi="Times New Roman" w:cs="Times New Roman"/>
          <w:sz w:val="24"/>
          <w:szCs w:val="24"/>
        </w:rPr>
        <w:t xml:space="preserve"> This study was supported by the Sw</w:t>
      </w:r>
      <w:bookmarkStart w:id="0" w:name="_GoBack"/>
      <w:bookmarkEnd w:id="0"/>
      <w:r w:rsidRPr="00C434B9">
        <w:rPr>
          <w:rFonts w:ascii="Times New Roman" w:eastAsia="Times New Roman" w:hAnsi="Times New Roman" w:cs="Times New Roman"/>
          <w:sz w:val="24"/>
          <w:szCs w:val="24"/>
        </w:rPr>
        <w:t>edish Cancer Society (G.S) (20 1127 PjF 01 H), the Swedish Research Council (G.S) (</w:t>
      </w:r>
      <w:r w:rsidRPr="00C434B9">
        <w:rPr>
          <w:rFonts w:ascii="Times New Roman" w:eastAsia="Times New Roman" w:hAnsi="Times New Roman" w:cs="Times New Roman"/>
          <w:color w:val="201F1E"/>
          <w:sz w:val="24"/>
          <w:szCs w:val="24"/>
          <w:shd w:val="clear" w:color="auto" w:fill="FFFFFF"/>
        </w:rPr>
        <w:t>2019-01725</w:t>
      </w:r>
      <w:r w:rsidRPr="00C434B9">
        <w:rPr>
          <w:rFonts w:ascii="Times New Roman" w:eastAsia="Times New Roman" w:hAnsi="Times New Roman" w:cs="Times New Roman"/>
          <w:sz w:val="24"/>
          <w:szCs w:val="24"/>
        </w:rPr>
        <w:t>), and the</w:t>
      </w:r>
      <w:r>
        <w:rPr>
          <w:rFonts w:ascii="Times New Roman" w:eastAsia="Times New Roman" w:hAnsi="Times New Roman" w:cs="Times New Roman"/>
          <w:sz w:val="24"/>
          <w:szCs w:val="24"/>
        </w:rPr>
        <w:t xml:space="preserve"> Karolinska Institutet Research </w:t>
      </w:r>
      <w:r w:rsidRPr="00C434B9">
        <w:rPr>
          <w:rFonts w:ascii="Times New Roman" w:eastAsia="Times New Roman" w:hAnsi="Times New Roman" w:cs="Times New Roman"/>
          <w:sz w:val="24"/>
          <w:szCs w:val="24"/>
        </w:rPr>
        <w:t>foundation (G.S).</w:t>
      </w:r>
    </w:p>
    <w:p w:rsidR="00C434B9" w:rsidRPr="00C434B9" w:rsidRDefault="00C434B9" w:rsidP="00C434B9">
      <w:pPr>
        <w:spacing w:after="0" w:line="240" w:lineRule="auto"/>
        <w:rPr>
          <w:rFonts w:ascii="Times New Roman" w:eastAsia="Times New Roman" w:hAnsi="Times New Roman" w:cs="Times New Roman"/>
          <w:sz w:val="24"/>
          <w:szCs w:val="24"/>
        </w:rPr>
      </w:pPr>
    </w:p>
    <w:p w:rsidR="00C434B9" w:rsidRPr="00C434B9" w:rsidRDefault="00C434B9" w:rsidP="00C434B9">
      <w:pPr>
        <w:spacing w:after="0" w:line="240" w:lineRule="auto"/>
        <w:rPr>
          <w:rFonts w:ascii="Times New Roman" w:eastAsia="Times New Roman" w:hAnsi="Times New Roman" w:cs="Times New Roman"/>
          <w:sz w:val="24"/>
          <w:szCs w:val="24"/>
        </w:rPr>
      </w:pPr>
      <w:r w:rsidRPr="00C434B9">
        <w:rPr>
          <w:rFonts w:ascii="Times New Roman" w:eastAsia="Times New Roman" w:hAnsi="Times New Roman" w:cs="Times New Roman"/>
          <w:sz w:val="24"/>
          <w:szCs w:val="24"/>
        </w:rPr>
        <w:t>Conflict of Interest: V.G., L.A.C., M.A. and D.A.A. are employees of Aileron Therapeutics, Inc. All other authors declare no competing interests.</w:t>
      </w:r>
    </w:p>
    <w:p w:rsidR="00FD2A48" w:rsidRDefault="00FD2A48" w:rsidP="00600F55">
      <w:pPr>
        <w:spacing w:after="240" w:line="360" w:lineRule="auto"/>
        <w:rPr>
          <w:rFonts w:ascii="Times New Roman" w:hAnsi="Times New Roman" w:cs="Times New Roman"/>
          <w:b/>
          <w:color w:val="202020"/>
          <w:sz w:val="24"/>
          <w:szCs w:val="24"/>
          <w:shd w:val="clear" w:color="auto" w:fill="FFFFFF"/>
        </w:rPr>
      </w:pPr>
    </w:p>
    <w:p w:rsidR="00600F55" w:rsidRPr="00CF697B" w:rsidRDefault="00600F55" w:rsidP="00600F55">
      <w:pPr>
        <w:spacing w:after="240" w:line="360" w:lineRule="auto"/>
        <w:rPr>
          <w:rFonts w:ascii="Times New Roman" w:hAnsi="Times New Roman" w:cs="Times New Roman"/>
          <w:b/>
          <w:color w:val="202020"/>
          <w:sz w:val="24"/>
          <w:szCs w:val="24"/>
          <w:shd w:val="clear" w:color="auto" w:fill="FFFFFF"/>
        </w:rPr>
      </w:pPr>
      <w:r w:rsidRPr="00CF697B">
        <w:rPr>
          <w:rFonts w:ascii="Times New Roman" w:hAnsi="Times New Roman" w:cs="Times New Roman"/>
          <w:b/>
          <w:color w:val="202020"/>
          <w:sz w:val="24"/>
          <w:szCs w:val="24"/>
          <w:shd w:val="clear" w:color="auto" w:fill="FFFFFF"/>
        </w:rPr>
        <w:t>REFERENCES</w:t>
      </w:r>
    </w:p>
    <w:p w:rsidR="00600F55" w:rsidRPr="009D2125" w:rsidRDefault="00600F55" w:rsidP="00600F55">
      <w:pPr>
        <w:pStyle w:val="EndNoteBibliography"/>
        <w:spacing w:after="360"/>
      </w:pPr>
      <w:r w:rsidRPr="00CF697B">
        <w:rPr>
          <w:szCs w:val="24"/>
          <w:lang w:val="en-US"/>
        </w:rPr>
        <w:fldChar w:fldCharType="begin"/>
      </w:r>
      <w:r w:rsidRPr="00CF697B">
        <w:rPr>
          <w:szCs w:val="24"/>
          <w:lang w:val="en-US"/>
        </w:rPr>
        <w:instrText xml:space="preserve"> ADDIN EN.REFLIST </w:instrText>
      </w:r>
      <w:r w:rsidRPr="00CF697B">
        <w:rPr>
          <w:szCs w:val="24"/>
          <w:lang w:val="en-US"/>
        </w:rPr>
        <w:fldChar w:fldCharType="separate"/>
      </w:r>
      <w:r w:rsidRPr="009D2125">
        <w:t>1.</w:t>
      </w:r>
      <w:r w:rsidRPr="009D2125">
        <w:tab/>
        <w:t>Andrysik Z, Galbraith MD, Guarnieri AL, Zaccara S, Sullivan KD, Pandey A, et al. Identification of a core TP53 transcriptional program with highly distributed tumor suppressive activity. Genome Res. 2017;27:1645-57.</w:t>
      </w:r>
    </w:p>
    <w:p w:rsidR="00600F55" w:rsidRPr="009D2125" w:rsidRDefault="00600F55" w:rsidP="00600F55">
      <w:pPr>
        <w:pStyle w:val="EndNoteBibliography"/>
        <w:spacing w:after="360"/>
      </w:pPr>
      <w:r w:rsidRPr="009D2125">
        <w:t>2.</w:t>
      </w:r>
      <w:r w:rsidRPr="009D2125">
        <w:tab/>
        <w:t>Peuget S, Zhu J, Sanz G, Singh M, Gaetani M, Chen X, et al. Thermal Proteome Profiling Identifies Oxidative-Dependent Inhibition of the Transcription of Major Oncogenes as a New Therapeutic Mechanism for Select Anticancer Compounds. Cancer research. 2020;80:1538-50.</w:t>
      </w:r>
    </w:p>
    <w:p w:rsidR="00600F55" w:rsidRPr="009D2125" w:rsidRDefault="00600F55" w:rsidP="00600F55">
      <w:pPr>
        <w:pStyle w:val="EndNoteBibliography"/>
        <w:spacing w:after="360"/>
      </w:pPr>
      <w:r w:rsidRPr="009D2125">
        <w:t>3.</w:t>
      </w:r>
      <w:r w:rsidRPr="009D2125">
        <w:tab/>
        <w:t>Goel S, DeCristo MJ, Watt AC, BrinJones H, Sceneay J, Li BB, et al. CDK4/6 inhibition triggers anti-tumour immunity. Nature. 2017;548:471-5.</w:t>
      </w:r>
    </w:p>
    <w:p w:rsidR="00600F55" w:rsidRPr="009D2125" w:rsidRDefault="00600F55" w:rsidP="00600F55">
      <w:pPr>
        <w:pStyle w:val="EndNoteBibliography"/>
        <w:spacing w:after="360"/>
      </w:pPr>
      <w:r w:rsidRPr="009D2125">
        <w:t>4.</w:t>
      </w:r>
      <w:r w:rsidRPr="009D2125">
        <w:tab/>
        <w:t>Sheng W, LaFleur MW, Nguyen TH, Chen S, Chakravarthy A, Conway JR, et al. LSD1 Ablation Stimulates Anti-tumor Immunity and Enables Checkpoint Blockade. Cell. 2018;174:549-63 e19.</w:t>
      </w:r>
    </w:p>
    <w:p w:rsidR="00600F55" w:rsidRPr="009D2125" w:rsidRDefault="00600F55" w:rsidP="00600F55">
      <w:pPr>
        <w:pStyle w:val="EndNoteBibliography"/>
        <w:spacing w:after="360"/>
      </w:pPr>
      <w:r w:rsidRPr="009D2125">
        <w:lastRenderedPageBreak/>
        <w:t>5.</w:t>
      </w:r>
      <w:r w:rsidRPr="009D2125">
        <w:tab/>
        <w:t>Diebold SS, Cotten M, Koch N, Zenke M. MHC class II presentation of endogenously expressed antigens by transfected dendritic cells. Gene Ther. 2001;8:487-93.</w:t>
      </w:r>
    </w:p>
    <w:p w:rsidR="00600F55" w:rsidRPr="009D2125" w:rsidRDefault="00600F55" w:rsidP="00600F55">
      <w:pPr>
        <w:pStyle w:val="EndNoteBibliography"/>
        <w:spacing w:after="360"/>
      </w:pPr>
      <w:r w:rsidRPr="009D2125">
        <w:t>6.</w:t>
      </w:r>
      <w:r w:rsidRPr="009D2125">
        <w:tab/>
        <w:t>Zetsche B, Heidenreich M, Mohanraju P, Fedorova I, Kneppers J, DeGennaro EM, et al. Multiplex gene editing by CRISPR-Cpf1 using a single crRNA array. Nat Biotechnol. 2017;35:31-4.</w:t>
      </w:r>
    </w:p>
    <w:p w:rsidR="00600F55" w:rsidRPr="009D2125" w:rsidRDefault="00600F55" w:rsidP="00600F55">
      <w:pPr>
        <w:pStyle w:val="EndNoteBibliography"/>
        <w:spacing w:after="360"/>
      </w:pPr>
      <w:r w:rsidRPr="009D2125">
        <w:t>7.</w:t>
      </w:r>
      <w:r w:rsidRPr="009D2125">
        <w:tab/>
        <w:t>Li H, Rauch T, Chen ZX, Szabo PE, Riggs AD, Pfeifer GP. The histone methyltransferase SETDB1 and the DNA methyltransferase DNMT3A interact directly and localize to promoters silenced in cancer cells. J Biol Chem. 2006;281:19489-500.</w:t>
      </w:r>
    </w:p>
    <w:p w:rsidR="00600F55" w:rsidRPr="009D2125" w:rsidRDefault="00600F55" w:rsidP="00600F55">
      <w:pPr>
        <w:pStyle w:val="EndNoteBibliography"/>
        <w:spacing w:after="360"/>
      </w:pPr>
      <w:r w:rsidRPr="009D2125">
        <w:t>8.</w:t>
      </w:r>
      <w:r w:rsidRPr="009D2125">
        <w:tab/>
        <w:t>Nowicka M, Krieg C, Crowell HL, Weber LM, Hartmann FJ, Guglietta S, et al. CyTOF workflow: differential discovery in high-throughput high-dimensional cytometry datasets. F1000Res. 2017;6:748.</w:t>
      </w:r>
    </w:p>
    <w:p w:rsidR="00600F55" w:rsidRPr="009D2125" w:rsidRDefault="00600F55" w:rsidP="00600F55">
      <w:pPr>
        <w:pStyle w:val="EndNoteBibliography"/>
        <w:spacing w:after="360"/>
      </w:pPr>
      <w:r w:rsidRPr="009D2125">
        <w:t>9.</w:t>
      </w:r>
      <w:r w:rsidRPr="009D2125">
        <w:tab/>
        <w:t>Kotecha N, Krutzik PO, Irish JM. Web-based analysis and publication of flow cytometry experiments. Curr Protoc Cytom. 2010;Chapter 10:Unit10 7.</w:t>
      </w:r>
    </w:p>
    <w:p w:rsidR="00600F55" w:rsidRPr="009D2125" w:rsidRDefault="00600F55" w:rsidP="00600F55">
      <w:pPr>
        <w:pStyle w:val="EndNoteBibliography"/>
        <w:spacing w:after="360"/>
      </w:pPr>
      <w:r w:rsidRPr="009D2125">
        <w:t>10.</w:t>
      </w:r>
      <w:r w:rsidRPr="009D2125">
        <w:tab/>
        <w:t>Ellis B HP, Hahne F, Le Meur N, Gopalakrishnan N, Spidlen J, Jiang M, Finak G flowCore: Basic structures for flow cytometry data. R package version 1.52.1. 2019.</w:t>
      </w:r>
    </w:p>
    <w:p w:rsidR="00600F55" w:rsidRPr="009D2125" w:rsidRDefault="00600F55" w:rsidP="00600F55">
      <w:pPr>
        <w:pStyle w:val="EndNoteBibliography"/>
        <w:spacing w:after="360"/>
      </w:pPr>
      <w:r w:rsidRPr="009D2125">
        <w:t>11.</w:t>
      </w:r>
      <w:r w:rsidRPr="009D2125">
        <w:tab/>
        <w:t>Van Gassen S, Callebaut B, Van Helden MJ, Lambrecht BN, Demeester P, Dhaene T, et al. FlowSOM: Using self-organizing maps for visualization and interpretation of cytometry data. Cytometry A. 2015;87:636-45.</w:t>
      </w:r>
    </w:p>
    <w:p w:rsidR="00600F55" w:rsidRPr="009D2125" w:rsidRDefault="00600F55" w:rsidP="00600F55">
      <w:pPr>
        <w:pStyle w:val="EndNoteBibliography"/>
        <w:spacing w:after="360"/>
      </w:pPr>
      <w:r w:rsidRPr="009D2125">
        <w:t>12.</w:t>
      </w:r>
      <w:r w:rsidRPr="009D2125">
        <w:tab/>
        <w:t>Wilkerson MD, Hayes DN. ConsensusClusterPlus: a class discovery tool with confidence assessments and item tracking. Bioinformatics. 2010;26:1572-3.</w:t>
      </w:r>
    </w:p>
    <w:p w:rsidR="00600F55" w:rsidRPr="009D2125" w:rsidRDefault="00600F55" w:rsidP="00600F55">
      <w:pPr>
        <w:pStyle w:val="EndNoteBibliography"/>
        <w:spacing w:after="360"/>
      </w:pPr>
      <w:r w:rsidRPr="009D2125">
        <w:t>13.</w:t>
      </w:r>
      <w:r w:rsidRPr="009D2125">
        <w:tab/>
        <w:t>H W. ggplot2: Elegant Graphics for Data Analysis: Springer-Verlag New York; 2016.</w:t>
      </w:r>
    </w:p>
    <w:p w:rsidR="00600F55" w:rsidRPr="009D2125" w:rsidRDefault="00600F55" w:rsidP="00600F55">
      <w:pPr>
        <w:pStyle w:val="EndNoteBibliography"/>
        <w:spacing w:after="360"/>
      </w:pPr>
      <w:r w:rsidRPr="009D2125">
        <w:t>14.</w:t>
      </w:r>
      <w:r w:rsidRPr="009D2125">
        <w:tab/>
        <w:t>Cerami E, Gao J, Dogrusoz U, Gross BE, Sumer SO, Aksoy BA, et al. The cBio cancer genomics portal: an open platform for exploring multidimensional cancer genomics data. Cancer Discov. 2012;2:401-4.</w:t>
      </w:r>
    </w:p>
    <w:p w:rsidR="00600F55" w:rsidRPr="009D2125" w:rsidRDefault="00600F55" w:rsidP="00600F55">
      <w:pPr>
        <w:pStyle w:val="EndNoteBibliography"/>
        <w:spacing w:after="360"/>
      </w:pPr>
      <w:r w:rsidRPr="009D2125">
        <w:t>15.</w:t>
      </w:r>
      <w:r w:rsidRPr="009D2125">
        <w:tab/>
        <w:t>Gao J, Aksoy BA, Dogrusoz U, Dresdner G, Gross B, Sumer SO, et al. Integrative analysis of complex cancer genomics and clinical profiles using the cBioPortal. Sci Signal. 2013;6:pl1.</w:t>
      </w:r>
    </w:p>
    <w:p w:rsidR="00600F55" w:rsidRPr="009D2125" w:rsidRDefault="00600F55" w:rsidP="00600F55">
      <w:pPr>
        <w:pStyle w:val="EndNoteBibliography"/>
        <w:spacing w:after="360"/>
      </w:pPr>
      <w:r w:rsidRPr="009D2125">
        <w:t>16.</w:t>
      </w:r>
      <w:r w:rsidRPr="009D2125">
        <w:tab/>
        <w:t>Love MI, Huber W, Anders S. Moderated estimation of fold change and dispersion for RNA-seq data with DESeq2. Genome Biol. 2014;15:550.</w:t>
      </w:r>
    </w:p>
    <w:p w:rsidR="00600F55" w:rsidRPr="009D2125" w:rsidRDefault="00600F55" w:rsidP="00600F55">
      <w:pPr>
        <w:pStyle w:val="EndNoteBibliography"/>
        <w:spacing w:after="360"/>
      </w:pPr>
      <w:r w:rsidRPr="009D2125">
        <w:lastRenderedPageBreak/>
        <w:t>17.</w:t>
      </w:r>
      <w:r w:rsidRPr="009D2125">
        <w:tab/>
        <w:t>Jin Y, Tam OH, Paniagua E, Hammell M. TEtranscripts: a package for including transposable elements in differential expression analysis of RNA-seq datasets. Bioinformatics. 2015;31:3593-9.</w:t>
      </w:r>
    </w:p>
    <w:p w:rsidR="00600F55" w:rsidRPr="009D2125" w:rsidRDefault="00600F55" w:rsidP="00600F55">
      <w:pPr>
        <w:pStyle w:val="EndNoteBibliography"/>
        <w:spacing w:after="360"/>
      </w:pPr>
      <w:r w:rsidRPr="009D2125">
        <w:t>18.</w:t>
      </w:r>
      <w:r w:rsidRPr="009D2125">
        <w:tab/>
        <w:t>Langmead B, Salzberg SL. Fast gapped-read alignment with Bowtie 2. Nat Methods. 2012;9:357-9.</w:t>
      </w:r>
    </w:p>
    <w:p w:rsidR="00600F55" w:rsidRPr="009D2125" w:rsidRDefault="00600F55" w:rsidP="00600F55">
      <w:pPr>
        <w:pStyle w:val="EndNoteBibliography"/>
        <w:spacing w:after="360"/>
      </w:pPr>
      <w:r w:rsidRPr="009D2125">
        <w:t>19.</w:t>
      </w:r>
      <w:r w:rsidRPr="009D2125">
        <w:tab/>
        <w:t>Bulut-Karslioglu A, De La Rosa-Velazquez IA, Ramirez F, Barenboim M, Onishi-Seebacher M, Arand J, et al. Suv39h-dependent H3K9me3 marks intact retrotransposons and silences LINE elements in mouse embryonic stem cells. Mol Cell. 2014;55:277-90.</w:t>
      </w:r>
    </w:p>
    <w:p w:rsidR="00600F55" w:rsidRPr="009D2125" w:rsidRDefault="00600F55" w:rsidP="00600F55">
      <w:pPr>
        <w:pStyle w:val="EndNoteBibliography"/>
        <w:spacing w:after="360"/>
      </w:pPr>
      <w:r w:rsidRPr="009D2125">
        <w:t>20.</w:t>
      </w:r>
      <w:r w:rsidRPr="009D2125">
        <w:tab/>
        <w:t>Zhang Y, Liu T, Meyer CA, Eeckhoute J, Johnson DS, Bernstein BE, et al. Model-based analysis of ChIP-Seq (MACS). Genome Biol. 2008;9:R137.</w:t>
      </w:r>
    </w:p>
    <w:p w:rsidR="00600F55" w:rsidRPr="009D2125" w:rsidRDefault="00600F55" w:rsidP="00600F55">
      <w:pPr>
        <w:pStyle w:val="EndNoteBibliography"/>
        <w:spacing w:after="360"/>
      </w:pPr>
      <w:r w:rsidRPr="009D2125">
        <w:t>21.</w:t>
      </w:r>
      <w:r w:rsidRPr="009D2125">
        <w:tab/>
        <w:t>Ramirez F, Ryan DP, Gruning B, Bhardwaj V, Kilpert F, Richter AS, et al. deepTools2: a next generation web server for deep-sequencing data analysis. Nucleic Acids Res. 2016;44:W160-5.</w:t>
      </w:r>
    </w:p>
    <w:p w:rsidR="00600F55" w:rsidRPr="009D2125" w:rsidRDefault="00600F55" w:rsidP="00600F55">
      <w:pPr>
        <w:pStyle w:val="EndNoteBibliography"/>
        <w:spacing w:after="360"/>
      </w:pPr>
      <w:r w:rsidRPr="009D2125">
        <w:t>22.</w:t>
      </w:r>
      <w:r w:rsidRPr="009D2125">
        <w:tab/>
        <w:t>Subramanian A, Tamayo P, Mootha VK, Mukherjee S, Ebert BL, Gillette MA, et al. Gene set enrichment analysis: a knowledge-based approach for interpreting genome-wide expression profiles. Proc Natl Acad Sci U S A. 2005;102:15545-50.</w:t>
      </w:r>
    </w:p>
    <w:p w:rsidR="00600F55" w:rsidRPr="009D2125" w:rsidRDefault="00600F55" w:rsidP="00600F55">
      <w:pPr>
        <w:pStyle w:val="EndNoteBibliography"/>
        <w:spacing w:after="360"/>
      </w:pPr>
      <w:r w:rsidRPr="009D2125">
        <w:t>23.</w:t>
      </w:r>
      <w:r w:rsidRPr="009D2125">
        <w:tab/>
        <w:t>Liberzon A, Subramanian A, Pinchback R, Thorvaldsdottir H, Tamayo P, Mesirov JP. Molecular signatures database (MSigDB) 3.0. Bioinformatics. 2011;27:1739-40.</w:t>
      </w:r>
    </w:p>
    <w:p w:rsidR="00600F55" w:rsidRPr="009D2125" w:rsidRDefault="00600F55" w:rsidP="00600F55">
      <w:pPr>
        <w:pStyle w:val="EndNoteBibliography"/>
        <w:spacing w:after="360"/>
      </w:pPr>
      <w:r w:rsidRPr="009D2125">
        <w:t>24.</w:t>
      </w:r>
      <w:r w:rsidRPr="009D2125">
        <w:tab/>
        <w:t>Zhang F, Zakaria SM, Hogqvist Tabor V, Singh M, Tronnersjo S, Goodwin J, et al. MYC and RAS are unable to cooperate in overcoming cellular senescence and apoptosis in normal human fibroblasts. Cell cycle. 2018;17:2697-715.</w:t>
      </w:r>
    </w:p>
    <w:p w:rsidR="00600F55" w:rsidRPr="009D2125" w:rsidRDefault="00600F55" w:rsidP="00600F55">
      <w:pPr>
        <w:pStyle w:val="EndNoteBibliography"/>
        <w:spacing w:after="360"/>
      </w:pPr>
      <w:r w:rsidRPr="009D2125">
        <w:t>25.</w:t>
      </w:r>
      <w:r w:rsidRPr="009D2125">
        <w:tab/>
        <w:t>Javanmoghadam-Kamrani S, Keyomarsi K. Synchronization of the cell cycle using lovastatin. Cell Cycle. 2008;7:2434-40.</w:t>
      </w:r>
    </w:p>
    <w:p w:rsidR="00600F55" w:rsidRPr="009D2125" w:rsidRDefault="00600F55" w:rsidP="00600F55">
      <w:pPr>
        <w:pStyle w:val="EndNoteBibliography"/>
      </w:pPr>
      <w:r w:rsidRPr="009D2125">
        <w:t>26.</w:t>
      </w:r>
      <w:r w:rsidRPr="009D2125">
        <w:tab/>
        <w:t>Chiappinelli KB, Strissel PL, Desrichard A, Li H, Henke C, Akman B, et al. Inhibiting DNA Methylation Causes an Interferon Response in Cancer via dsRNA Including Endogenous Retroviruses. Cell. 2015;162:974-86.</w:t>
      </w:r>
    </w:p>
    <w:p w:rsidR="00315923" w:rsidRDefault="00600F55" w:rsidP="00600F55">
      <w:r w:rsidRPr="00CF697B">
        <w:rPr>
          <w:rFonts w:ascii="Times New Roman" w:hAnsi="Times New Roman" w:cs="Times New Roman"/>
          <w:sz w:val="24"/>
          <w:szCs w:val="24"/>
        </w:rPr>
        <w:fldChar w:fldCharType="end"/>
      </w:r>
    </w:p>
    <w:sectPr w:rsidR="00315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DF" w:rsidRDefault="008932DF" w:rsidP="00600F55">
      <w:pPr>
        <w:spacing w:after="0" w:line="240" w:lineRule="auto"/>
      </w:pPr>
      <w:r>
        <w:separator/>
      </w:r>
    </w:p>
  </w:endnote>
  <w:endnote w:type="continuationSeparator" w:id="0">
    <w:p w:rsidR="008932DF" w:rsidRDefault="008932DF" w:rsidP="0060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DF" w:rsidRDefault="008932DF" w:rsidP="00600F55">
      <w:pPr>
        <w:spacing w:after="0" w:line="240" w:lineRule="auto"/>
      </w:pPr>
      <w:r>
        <w:separator/>
      </w:r>
    </w:p>
  </w:footnote>
  <w:footnote w:type="continuationSeparator" w:id="0">
    <w:p w:rsidR="008932DF" w:rsidRDefault="008932DF" w:rsidP="00600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4F"/>
    <w:rsid w:val="00083C36"/>
    <w:rsid w:val="00283268"/>
    <w:rsid w:val="00370681"/>
    <w:rsid w:val="00600F55"/>
    <w:rsid w:val="00796C78"/>
    <w:rsid w:val="008932DF"/>
    <w:rsid w:val="009A7956"/>
    <w:rsid w:val="00A46C82"/>
    <w:rsid w:val="00AB56DE"/>
    <w:rsid w:val="00C434B9"/>
    <w:rsid w:val="00E14BB8"/>
    <w:rsid w:val="00EC0E4F"/>
    <w:rsid w:val="00F007F0"/>
    <w:rsid w:val="00FD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55"/>
    <w:rPr>
      <w:rFonts w:asciiTheme="minorHAnsi" w:hAnsiTheme="minorHAns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F55"/>
    <w:pPr>
      <w:tabs>
        <w:tab w:val="center" w:pos="4680"/>
        <w:tab w:val="right" w:pos="9360"/>
      </w:tabs>
      <w:spacing w:after="0" w:line="240" w:lineRule="auto"/>
    </w:pPr>
    <w:rPr>
      <w:rFonts w:ascii="Arial" w:hAnsi="Arial"/>
      <w:sz w:val="24"/>
      <w:lang w:eastAsia="zh-CN"/>
    </w:rPr>
  </w:style>
  <w:style w:type="character" w:customStyle="1" w:styleId="Char">
    <w:name w:val="页眉 Char"/>
    <w:basedOn w:val="a0"/>
    <w:link w:val="a3"/>
    <w:uiPriority w:val="99"/>
    <w:rsid w:val="00600F55"/>
  </w:style>
  <w:style w:type="paragraph" w:styleId="a4">
    <w:name w:val="footer"/>
    <w:basedOn w:val="a"/>
    <w:link w:val="Char0"/>
    <w:uiPriority w:val="99"/>
    <w:unhideWhenUsed/>
    <w:rsid w:val="00600F55"/>
    <w:pPr>
      <w:tabs>
        <w:tab w:val="center" w:pos="4680"/>
        <w:tab w:val="right" w:pos="9360"/>
      </w:tabs>
      <w:spacing w:after="0" w:line="240" w:lineRule="auto"/>
    </w:pPr>
    <w:rPr>
      <w:rFonts w:ascii="Arial" w:hAnsi="Arial"/>
      <w:sz w:val="24"/>
      <w:lang w:eastAsia="zh-CN"/>
    </w:rPr>
  </w:style>
  <w:style w:type="character" w:customStyle="1" w:styleId="Char0">
    <w:name w:val="页脚 Char"/>
    <w:basedOn w:val="a0"/>
    <w:link w:val="a4"/>
    <w:uiPriority w:val="99"/>
    <w:rsid w:val="00600F55"/>
  </w:style>
  <w:style w:type="paragraph" w:customStyle="1" w:styleId="EndNoteBibliography">
    <w:name w:val="EndNote Bibliography"/>
    <w:basedOn w:val="a"/>
    <w:link w:val="EndNoteBibliographyChar"/>
    <w:rsid w:val="00600F55"/>
    <w:pPr>
      <w:spacing w:line="240" w:lineRule="auto"/>
    </w:pPr>
    <w:rPr>
      <w:rFonts w:ascii="Times New Roman" w:hAnsi="Times New Roman" w:cs="Times New Roman"/>
      <w:noProof/>
      <w:sz w:val="24"/>
      <w:lang w:val="sv-SE" w:eastAsia="zh-CN"/>
    </w:rPr>
  </w:style>
  <w:style w:type="character" w:customStyle="1" w:styleId="EndNoteBibliographyChar">
    <w:name w:val="EndNote Bibliography Char"/>
    <w:basedOn w:val="a0"/>
    <w:link w:val="EndNoteBibliography"/>
    <w:rsid w:val="00600F55"/>
    <w:rPr>
      <w:rFonts w:ascii="Times New Roman" w:hAnsi="Times New Roman" w:cs="Times New Roman"/>
      <w:noProof/>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55"/>
    <w:rPr>
      <w:rFonts w:asciiTheme="minorHAnsi" w:hAnsiTheme="minorHAns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F55"/>
    <w:pPr>
      <w:tabs>
        <w:tab w:val="center" w:pos="4680"/>
        <w:tab w:val="right" w:pos="9360"/>
      </w:tabs>
      <w:spacing w:after="0" w:line="240" w:lineRule="auto"/>
    </w:pPr>
    <w:rPr>
      <w:rFonts w:ascii="Arial" w:hAnsi="Arial"/>
      <w:sz w:val="24"/>
      <w:lang w:eastAsia="zh-CN"/>
    </w:rPr>
  </w:style>
  <w:style w:type="character" w:customStyle="1" w:styleId="Char">
    <w:name w:val="页眉 Char"/>
    <w:basedOn w:val="a0"/>
    <w:link w:val="a3"/>
    <w:uiPriority w:val="99"/>
    <w:rsid w:val="00600F55"/>
  </w:style>
  <w:style w:type="paragraph" w:styleId="a4">
    <w:name w:val="footer"/>
    <w:basedOn w:val="a"/>
    <w:link w:val="Char0"/>
    <w:uiPriority w:val="99"/>
    <w:unhideWhenUsed/>
    <w:rsid w:val="00600F55"/>
    <w:pPr>
      <w:tabs>
        <w:tab w:val="center" w:pos="4680"/>
        <w:tab w:val="right" w:pos="9360"/>
      </w:tabs>
      <w:spacing w:after="0" w:line="240" w:lineRule="auto"/>
    </w:pPr>
    <w:rPr>
      <w:rFonts w:ascii="Arial" w:hAnsi="Arial"/>
      <w:sz w:val="24"/>
      <w:lang w:eastAsia="zh-CN"/>
    </w:rPr>
  </w:style>
  <w:style w:type="character" w:customStyle="1" w:styleId="Char0">
    <w:name w:val="页脚 Char"/>
    <w:basedOn w:val="a0"/>
    <w:link w:val="a4"/>
    <w:uiPriority w:val="99"/>
    <w:rsid w:val="00600F55"/>
  </w:style>
  <w:style w:type="paragraph" w:customStyle="1" w:styleId="EndNoteBibliography">
    <w:name w:val="EndNote Bibliography"/>
    <w:basedOn w:val="a"/>
    <w:link w:val="EndNoteBibliographyChar"/>
    <w:rsid w:val="00600F55"/>
    <w:pPr>
      <w:spacing w:line="240" w:lineRule="auto"/>
    </w:pPr>
    <w:rPr>
      <w:rFonts w:ascii="Times New Roman" w:hAnsi="Times New Roman" w:cs="Times New Roman"/>
      <w:noProof/>
      <w:sz w:val="24"/>
      <w:lang w:val="sv-SE" w:eastAsia="zh-CN"/>
    </w:rPr>
  </w:style>
  <w:style w:type="character" w:customStyle="1" w:styleId="EndNoteBibliographyChar">
    <w:name w:val="EndNote Bibliography Char"/>
    <w:basedOn w:val="a0"/>
    <w:link w:val="EndNoteBibliography"/>
    <w:rsid w:val="00600F55"/>
    <w:rPr>
      <w:rFonts w:ascii="Times New Roman" w:hAnsi="Times New Roman" w:cs="Times New Roman"/>
      <w:noProof/>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xiaolei</dc:creator>
  <cp:keywords/>
  <dc:description/>
  <cp:lastModifiedBy>zhou xiaolei</cp:lastModifiedBy>
  <cp:revision>4</cp:revision>
  <dcterms:created xsi:type="dcterms:W3CDTF">2021-06-02T12:11:00Z</dcterms:created>
  <dcterms:modified xsi:type="dcterms:W3CDTF">2021-06-05T10:14:00Z</dcterms:modified>
</cp:coreProperties>
</file>