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1CF8" w14:textId="77777777" w:rsidR="00555A09" w:rsidRDefault="00555A09" w:rsidP="00555A09">
      <w:pPr>
        <w:spacing w:after="0" w:line="360" w:lineRule="auto"/>
        <w:rPr>
          <w:rFonts w:cstheme="minorHAnsi"/>
          <w:b/>
          <w:sz w:val="24"/>
          <w:szCs w:val="24"/>
        </w:rPr>
      </w:pPr>
      <w:r>
        <w:rPr>
          <w:rFonts w:cstheme="minorHAnsi"/>
          <w:b/>
          <w:sz w:val="24"/>
          <w:szCs w:val="24"/>
        </w:rPr>
        <w:t>METHODS</w:t>
      </w:r>
      <w:r>
        <w:rPr>
          <w:rFonts w:cstheme="minorHAnsi"/>
          <w:b/>
          <w:sz w:val="24"/>
          <w:szCs w:val="24"/>
        </w:rPr>
        <w:br/>
        <w:t>Study design and patient characteristics</w:t>
      </w:r>
    </w:p>
    <w:p w14:paraId="118D26F2" w14:textId="77777777" w:rsidR="00555A09" w:rsidRPr="009B5E34" w:rsidRDefault="00555A09" w:rsidP="00555A09">
      <w:pPr>
        <w:spacing w:line="360" w:lineRule="auto"/>
        <w:rPr>
          <w:rFonts w:cstheme="minorHAnsi"/>
          <w:sz w:val="24"/>
          <w:szCs w:val="24"/>
        </w:rPr>
      </w:pPr>
      <w:r>
        <w:rPr>
          <w:rFonts w:cstheme="minorHAnsi"/>
          <w:sz w:val="24"/>
          <w:szCs w:val="24"/>
        </w:rPr>
        <w:t>All 3</w:t>
      </w:r>
      <w:r w:rsidRPr="00B05AA2">
        <w:rPr>
          <w:rFonts w:cstheme="minorHAnsi"/>
          <w:sz w:val="24"/>
          <w:szCs w:val="24"/>
        </w:rPr>
        <w:t xml:space="preserve"> clinical studies were </w:t>
      </w:r>
      <w:r>
        <w:rPr>
          <w:rFonts w:cstheme="minorHAnsi"/>
          <w:sz w:val="24"/>
          <w:szCs w:val="24"/>
        </w:rPr>
        <w:t>nonrandomized, open-label trial</w:t>
      </w:r>
      <w:r w:rsidRPr="00B05AA2">
        <w:rPr>
          <w:rFonts w:cstheme="minorHAnsi"/>
          <w:sz w:val="24"/>
          <w:szCs w:val="24"/>
        </w:rPr>
        <w:t>s in patients with nonsquamous NSCLC designed to evaluate the maximum tolerated dose (MTD) or optimal biological dose (OBD) of study drugs, with secondary objectives of assessing safety, pharmacokinetics, immunogenicity, and antitumor activity. Study 1108 was a basket-style study enrolling patients with different malignant solid tumors, including NSCLC, who had failed previous chemotherapy or for whom no standard therapy was available. Patients received durvalumab 10 mg/kg Q2W. ATLANTIC and Study 006 enrolled patients with locally advanced or metastatic NSCLC (Stage IIIB-IV) who had received at least two prior systemic treatment regimens including one platinum-based chemotherapy regimen. Patients in ATLANTIC received durvalumab 10 mg/kg Q2W and those in Study 006 received durvalumab 20 mg/kg plus tremelimumab 1 mg/kg</w:t>
      </w:r>
      <w:r>
        <w:rPr>
          <w:rFonts w:cstheme="minorHAnsi"/>
          <w:sz w:val="24"/>
          <w:szCs w:val="24"/>
        </w:rPr>
        <w:t xml:space="preserve"> Q4W. T</w:t>
      </w:r>
      <w:r w:rsidRPr="00B05AA2">
        <w:rPr>
          <w:rFonts w:cstheme="minorHAnsi"/>
          <w:sz w:val="24"/>
          <w:szCs w:val="24"/>
        </w:rPr>
        <w:t xml:space="preserve">reatment </w:t>
      </w:r>
      <w:r>
        <w:rPr>
          <w:rFonts w:cstheme="minorHAnsi"/>
          <w:sz w:val="24"/>
          <w:szCs w:val="24"/>
        </w:rPr>
        <w:t xml:space="preserve">continued </w:t>
      </w:r>
      <w:r w:rsidRPr="00B05AA2">
        <w:rPr>
          <w:rFonts w:cstheme="minorHAnsi"/>
          <w:sz w:val="24"/>
          <w:szCs w:val="24"/>
        </w:rPr>
        <w:t>until co</w:t>
      </w:r>
      <w:r>
        <w:rPr>
          <w:rFonts w:cstheme="minorHAnsi"/>
          <w:sz w:val="24"/>
          <w:szCs w:val="24"/>
        </w:rPr>
        <w:t>nfirmed progressive disease</w:t>
      </w:r>
      <w:r w:rsidRPr="00B05AA2">
        <w:rPr>
          <w:rFonts w:cstheme="minorHAnsi"/>
          <w:sz w:val="24"/>
          <w:szCs w:val="24"/>
        </w:rPr>
        <w:t>, initiation of alternative cancer therapy, unacceptable toxicity, or other reasons to discontinue treatment.</w:t>
      </w:r>
    </w:p>
    <w:p w14:paraId="6F1BC503" w14:textId="77777777" w:rsidR="00555A09" w:rsidRDefault="00555A09" w:rsidP="00555A09">
      <w:pPr>
        <w:spacing w:line="360" w:lineRule="auto"/>
        <w:rPr>
          <w:b/>
          <w:sz w:val="24"/>
          <w:szCs w:val="24"/>
        </w:rPr>
      </w:pPr>
      <w:r w:rsidRPr="51E3E1CE">
        <w:rPr>
          <w:b/>
          <w:bCs/>
          <w:sz w:val="24"/>
          <w:szCs w:val="24"/>
        </w:rPr>
        <w:t xml:space="preserve">mRNA sequencing on frozen biopsies from clinical specimens </w:t>
      </w:r>
    </w:p>
    <w:p w14:paraId="1761FFA6" w14:textId="77777777" w:rsidR="00555A09" w:rsidRDefault="00555A09" w:rsidP="00555A09">
      <w:pPr>
        <w:spacing w:line="360" w:lineRule="auto"/>
        <w:rPr>
          <w:sz w:val="24"/>
          <w:szCs w:val="24"/>
        </w:rPr>
      </w:pPr>
      <w:r w:rsidRPr="60FD9A75">
        <w:rPr>
          <w:sz w:val="24"/>
          <w:szCs w:val="24"/>
        </w:rPr>
        <w:t xml:space="preserve">To summarize, RNA was extracted utilizing the </w:t>
      </w:r>
      <w:proofErr w:type="spellStart"/>
      <w:r w:rsidRPr="60FD9A75">
        <w:rPr>
          <w:sz w:val="24"/>
          <w:szCs w:val="24"/>
        </w:rPr>
        <w:t>Zymo</w:t>
      </w:r>
      <w:proofErr w:type="spellEnd"/>
      <w:r w:rsidRPr="60FD9A75">
        <w:rPr>
          <w:sz w:val="24"/>
          <w:szCs w:val="24"/>
        </w:rPr>
        <w:t xml:space="preserve"> Quick-RNA </w:t>
      </w:r>
      <w:proofErr w:type="spellStart"/>
      <w:r w:rsidRPr="60FD9A75">
        <w:rPr>
          <w:sz w:val="24"/>
          <w:szCs w:val="24"/>
        </w:rPr>
        <w:t>MicroPrep</w:t>
      </w:r>
      <w:proofErr w:type="spellEnd"/>
      <w:r w:rsidRPr="60FD9A75">
        <w:rPr>
          <w:sz w:val="24"/>
          <w:szCs w:val="24"/>
        </w:rPr>
        <w:t xml:space="preserve"> according to the manufacturer's protocol and checked for quantity and quality via spectrophotometry and Agilent bioanalyzer. Sufficient quality RNA was converted to libraries utilizing </w:t>
      </w:r>
      <w:proofErr w:type="spellStart"/>
      <w:r w:rsidRPr="60FD9A75">
        <w:rPr>
          <w:sz w:val="24"/>
          <w:szCs w:val="24"/>
        </w:rPr>
        <w:t>TruSeq</w:t>
      </w:r>
      <w:proofErr w:type="spellEnd"/>
      <w:r w:rsidRPr="60FD9A75">
        <w:rPr>
          <w:sz w:val="24"/>
          <w:szCs w:val="24"/>
        </w:rPr>
        <w:t xml:space="preserve"> RNA chemistry, and libraries were sequenced on the Illumina </w:t>
      </w:r>
      <w:proofErr w:type="spellStart"/>
      <w:r w:rsidRPr="60FD9A75">
        <w:rPr>
          <w:sz w:val="24"/>
          <w:szCs w:val="24"/>
        </w:rPr>
        <w:t>HiSeq</w:t>
      </w:r>
      <w:proofErr w:type="spellEnd"/>
      <w:r w:rsidRPr="60FD9A75">
        <w:rPr>
          <w:sz w:val="24"/>
          <w:szCs w:val="24"/>
        </w:rPr>
        <w:t xml:space="preserve"> instrument. For all sequencing data, reads were quality checked for read counts, quality values, </w:t>
      </w:r>
      <w:proofErr w:type="spellStart"/>
      <w:r w:rsidRPr="60FD9A75">
        <w:rPr>
          <w:sz w:val="24"/>
          <w:szCs w:val="24"/>
        </w:rPr>
        <w:t>kmer</w:t>
      </w:r>
      <w:proofErr w:type="spellEnd"/>
      <w:r w:rsidRPr="60FD9A75">
        <w:rPr>
          <w:sz w:val="24"/>
          <w:szCs w:val="24"/>
        </w:rPr>
        <w:t xml:space="preserve"> usage, GC content, and all other relevant parameters with </w:t>
      </w:r>
      <w:proofErr w:type="spellStart"/>
      <w:r w:rsidRPr="60FD9A75">
        <w:rPr>
          <w:sz w:val="24"/>
          <w:szCs w:val="24"/>
        </w:rPr>
        <w:t>FastQC</w:t>
      </w:r>
      <w:proofErr w:type="spellEnd"/>
      <w:r w:rsidRPr="60FD9A75">
        <w:rPr>
          <w:sz w:val="24"/>
          <w:szCs w:val="24"/>
        </w:rPr>
        <w:t xml:space="preserve"> (v0.10.1) and custom scripts. A minimum read count of 80 million (100 base pairs, paired end) was required, and reads were mapped to human reference genome (UCSC hg19; February 2009 release; Genome Reference Consortium GRCh37; </w:t>
      </w:r>
      <w:proofErr w:type="spellStart"/>
      <w:r w:rsidRPr="60FD9A75">
        <w:rPr>
          <w:sz w:val="24"/>
          <w:szCs w:val="24"/>
        </w:rPr>
        <w:t>gtf</w:t>
      </w:r>
      <w:proofErr w:type="spellEnd"/>
      <w:r w:rsidRPr="60FD9A75">
        <w:rPr>
          <w:sz w:val="24"/>
          <w:szCs w:val="24"/>
        </w:rPr>
        <w:t xml:space="preserve"> annotation file GRCh37.68), using STAR (v2.5.2) with at least 70% mapping rates and were quantified as transcripts per million using RSEM. RNA-sequencing data from Study 1108 have been deposited into the Gene Expression Omnibus (GEO) repository (ID number GSE110390</w:t>
      </w:r>
      <w:r>
        <w:rPr>
          <w:sz w:val="24"/>
          <w:szCs w:val="24"/>
        </w:rPr>
        <w:t>)</w:t>
      </w:r>
      <w:r w:rsidRPr="60FD9A75">
        <w:rPr>
          <w:sz w:val="24"/>
          <w:szCs w:val="24"/>
        </w:rPr>
        <w:t>. Gene expression profile was analyzed by using R software. Functional annotations of genes differentially expressed were conducted using Ingenuity Pathway Analysis (IPA).</w:t>
      </w:r>
    </w:p>
    <w:p w14:paraId="25994B03" w14:textId="77777777" w:rsidR="00555A09" w:rsidRPr="005D1D0A" w:rsidRDefault="00555A09" w:rsidP="00555A09">
      <w:pPr>
        <w:spacing w:line="360" w:lineRule="auto"/>
        <w:rPr>
          <w:rFonts w:cstheme="minorHAnsi"/>
          <w:b/>
          <w:sz w:val="24"/>
          <w:szCs w:val="24"/>
        </w:rPr>
      </w:pPr>
      <w:r>
        <w:rPr>
          <w:rFonts w:cstheme="minorHAnsi"/>
          <w:b/>
          <w:sz w:val="24"/>
          <w:szCs w:val="24"/>
        </w:rPr>
        <w:t>DNA sequencing and tumor mutation burden a</w:t>
      </w:r>
      <w:r w:rsidRPr="005D1D0A">
        <w:rPr>
          <w:rFonts w:cstheme="minorHAnsi"/>
          <w:b/>
          <w:sz w:val="24"/>
          <w:szCs w:val="24"/>
        </w:rPr>
        <w:t>nalysis</w:t>
      </w:r>
    </w:p>
    <w:p w14:paraId="04DF856A" w14:textId="77777777" w:rsidR="00555A09" w:rsidRPr="009B5E34" w:rsidRDefault="00555A09" w:rsidP="00555A09">
      <w:pPr>
        <w:spacing w:line="360" w:lineRule="auto"/>
        <w:rPr>
          <w:rFonts w:cstheme="minorHAnsi"/>
          <w:sz w:val="24"/>
          <w:szCs w:val="24"/>
          <w:lang w:val="en-GB"/>
        </w:rPr>
      </w:pPr>
      <w:r w:rsidRPr="005D1D0A">
        <w:rPr>
          <w:rFonts w:cstheme="minorHAnsi"/>
          <w:sz w:val="24"/>
          <w:szCs w:val="24"/>
          <w:lang w:val="en-GB"/>
        </w:rPr>
        <w:lastRenderedPageBreak/>
        <w:t xml:space="preserve">Briefly, TMB was defined as the number of somatic, coding base substitutions, and short indels per megabase of genome examined. All base substitutions and indels in the coding region of targeted genes, including synonymous mutations, were filtered for both oncogenic driver events according to COSMIC and germline status according to </w:t>
      </w:r>
      <w:proofErr w:type="spellStart"/>
      <w:r w:rsidRPr="005D1D0A">
        <w:rPr>
          <w:rFonts w:cstheme="minorHAnsi"/>
          <w:sz w:val="24"/>
          <w:szCs w:val="24"/>
          <w:lang w:val="en-GB"/>
        </w:rPr>
        <w:t>dbSNP</w:t>
      </w:r>
      <w:proofErr w:type="spellEnd"/>
      <w:r w:rsidRPr="005D1D0A">
        <w:rPr>
          <w:rFonts w:cstheme="minorHAnsi"/>
          <w:sz w:val="24"/>
          <w:szCs w:val="24"/>
          <w:lang w:val="en-GB"/>
        </w:rPr>
        <w:t xml:space="preserve"> and </w:t>
      </w:r>
      <w:proofErr w:type="spellStart"/>
      <w:r w:rsidRPr="005D1D0A">
        <w:rPr>
          <w:rFonts w:cstheme="minorHAnsi"/>
          <w:sz w:val="24"/>
          <w:szCs w:val="24"/>
          <w:lang w:val="en-GB"/>
        </w:rPr>
        <w:t>ExAC</w:t>
      </w:r>
      <w:proofErr w:type="spellEnd"/>
      <w:r w:rsidRPr="005D1D0A">
        <w:rPr>
          <w:rFonts w:cstheme="minorHAnsi"/>
          <w:sz w:val="24"/>
          <w:szCs w:val="24"/>
          <w:lang w:val="en-GB"/>
        </w:rPr>
        <w:t xml:space="preserve"> databases, in addition to a private database of rare germline events compiled in the Foundation Medicine clinical cohort. Additional filtering based upon a computational assessment of germline status using the SGZ (somatic-germline-zygosity) tool was also performed.</w:t>
      </w:r>
    </w:p>
    <w:p w14:paraId="7A168B7A" w14:textId="34199CB4" w:rsidR="00555A09" w:rsidRDefault="00555A09" w:rsidP="00555A09">
      <w:pPr>
        <w:spacing w:line="360" w:lineRule="auto"/>
        <w:rPr>
          <w:b/>
          <w:bCs/>
          <w:sz w:val="24"/>
          <w:szCs w:val="24"/>
        </w:rPr>
      </w:pPr>
      <w:r w:rsidRPr="31B8C444">
        <w:rPr>
          <w:b/>
          <w:bCs/>
          <w:sz w:val="24"/>
          <w:szCs w:val="24"/>
        </w:rPr>
        <w:t>Flow cytometry-based immunophenotyping</w:t>
      </w:r>
      <w:r w:rsidRPr="3EF800CD">
        <w:rPr>
          <w:b/>
          <w:bCs/>
          <w:sz w:val="24"/>
          <w:szCs w:val="24"/>
        </w:rPr>
        <w:t xml:space="preserve"> on </w:t>
      </w:r>
      <w:r w:rsidRPr="51E3E1CE">
        <w:rPr>
          <w:b/>
          <w:bCs/>
          <w:sz w:val="24"/>
          <w:szCs w:val="24"/>
        </w:rPr>
        <w:t>patients’</w:t>
      </w:r>
      <w:r w:rsidRPr="3EF800CD">
        <w:rPr>
          <w:b/>
          <w:bCs/>
          <w:sz w:val="24"/>
          <w:szCs w:val="24"/>
        </w:rPr>
        <w:t xml:space="preserve"> whole blood</w:t>
      </w:r>
    </w:p>
    <w:p w14:paraId="4DF1C50D" w14:textId="77777777" w:rsidR="00555A09" w:rsidRDefault="00555A09" w:rsidP="00555A09">
      <w:pPr>
        <w:spacing w:line="360" w:lineRule="auto"/>
        <w:rPr>
          <w:sz w:val="24"/>
          <w:szCs w:val="24"/>
        </w:rPr>
      </w:pPr>
      <w:r w:rsidRPr="0D83B9AD">
        <w:rPr>
          <w:sz w:val="24"/>
          <w:szCs w:val="24"/>
        </w:rPr>
        <w:t xml:space="preserve">Fifty </w:t>
      </w:r>
      <w:proofErr w:type="spellStart"/>
      <w:r w:rsidRPr="0D83B9AD">
        <w:rPr>
          <w:sz w:val="24"/>
          <w:szCs w:val="24"/>
        </w:rPr>
        <w:t>μ</w:t>
      </w:r>
      <w:r>
        <w:rPr>
          <w:sz w:val="24"/>
          <w:szCs w:val="24"/>
        </w:rPr>
        <w:t>L</w:t>
      </w:r>
      <w:proofErr w:type="spellEnd"/>
      <w:r w:rsidRPr="0D83B9AD">
        <w:rPr>
          <w:sz w:val="24"/>
          <w:szCs w:val="24"/>
        </w:rPr>
        <w:t xml:space="preserve"> of whole blood was transferred to 12x75 mm polystyrene tubes to which a cocktail of pre-mixed and optimally diluted fluorochrome-conjugated antibodies had been added. After a 20-minute incubation period at room temperature, an erythrocyte lysing solution was added to each tube and incubated for 5 minutes. Samples were run on Becton Dickinson </w:t>
      </w:r>
      <w:proofErr w:type="spellStart"/>
      <w:r w:rsidRPr="0D83B9AD">
        <w:rPr>
          <w:sz w:val="24"/>
          <w:szCs w:val="24"/>
        </w:rPr>
        <w:t>FACSCanto</w:t>
      </w:r>
      <w:proofErr w:type="spellEnd"/>
      <w:r w:rsidRPr="0D83B9AD">
        <w:rPr>
          <w:sz w:val="24"/>
          <w:szCs w:val="24"/>
        </w:rPr>
        <w:t xml:space="preserve"> II instruments with three lasers (405 nm, 488 </w:t>
      </w:r>
      <w:proofErr w:type="gramStart"/>
      <w:r w:rsidRPr="0D83B9AD">
        <w:rPr>
          <w:sz w:val="24"/>
          <w:szCs w:val="24"/>
        </w:rPr>
        <w:t>nm</w:t>
      </w:r>
      <w:proofErr w:type="gramEnd"/>
      <w:r w:rsidRPr="0D83B9AD">
        <w:rPr>
          <w:sz w:val="24"/>
          <w:szCs w:val="24"/>
        </w:rPr>
        <w:t xml:space="preserve"> and 633 nm) and the manufacturer’s standard 4-2-2 optical configuration. All populations were reported as both population percentages and absolute counts in cells/mm</w:t>
      </w:r>
      <w:r w:rsidRPr="00DB2451">
        <w:rPr>
          <w:sz w:val="24"/>
          <w:szCs w:val="24"/>
          <w:vertAlign w:val="superscript"/>
        </w:rPr>
        <w:t>3</w:t>
      </w:r>
      <w:r w:rsidRPr="0D83B9AD">
        <w:rPr>
          <w:sz w:val="24"/>
          <w:szCs w:val="24"/>
        </w:rPr>
        <w:t>. The latter values were calculated by multiplying the population percentage by the absolute count of T cells determined from the T, B, and NK cell assay.</w:t>
      </w:r>
    </w:p>
    <w:p w14:paraId="4F2155C5" w14:textId="77777777" w:rsidR="00555A09" w:rsidRPr="00DE5622" w:rsidRDefault="00555A09" w:rsidP="00555A09">
      <w:pPr>
        <w:spacing w:line="360" w:lineRule="auto"/>
        <w:rPr>
          <w:rFonts w:cstheme="minorHAnsi"/>
          <w:b/>
          <w:sz w:val="24"/>
          <w:szCs w:val="24"/>
        </w:rPr>
      </w:pPr>
      <w:r>
        <w:rPr>
          <w:rFonts w:cstheme="minorHAnsi"/>
          <w:b/>
          <w:sz w:val="24"/>
          <w:szCs w:val="24"/>
        </w:rPr>
        <w:t>Western blot a</w:t>
      </w:r>
      <w:r w:rsidRPr="00DE5622">
        <w:rPr>
          <w:rFonts w:cstheme="minorHAnsi"/>
          <w:b/>
          <w:sz w:val="24"/>
          <w:szCs w:val="24"/>
        </w:rPr>
        <w:t>ssay</w:t>
      </w:r>
    </w:p>
    <w:p w14:paraId="4CE43C6F" w14:textId="638E065D" w:rsidR="00555A09" w:rsidRDefault="0C994817" w:rsidP="7DCEA204">
      <w:pPr>
        <w:spacing w:line="360" w:lineRule="auto"/>
        <w:rPr>
          <w:sz w:val="24"/>
          <w:szCs w:val="24"/>
        </w:rPr>
      </w:pPr>
      <w:r w:rsidRPr="7DCEA204">
        <w:rPr>
          <w:sz w:val="24"/>
          <w:szCs w:val="24"/>
        </w:rPr>
        <w:t xml:space="preserve">Cell pellets were lysed with cell lysis buffer (Cell </w:t>
      </w:r>
      <w:r w:rsidR="2353CD01" w:rsidRPr="7DCEA204">
        <w:rPr>
          <w:sz w:val="24"/>
          <w:szCs w:val="24"/>
        </w:rPr>
        <w:t>S</w:t>
      </w:r>
      <w:r w:rsidRPr="7DCEA204">
        <w:rPr>
          <w:sz w:val="24"/>
          <w:szCs w:val="24"/>
        </w:rPr>
        <w:t>ignaling Technology, catalog #9803) containing protease and phosphatase inhibitors and protein concentrations determined. After reconstitution to 1X sample buffer using concentrated 6X SDS Sample Buffer (Boston Bioproduct, catalog #BP-111R), equal amounts of protein per sample were resolved by 4-12% Bis-Tis gel electrophoresis (Thermo Fisher Scientific, catalog #WG1402BOX) and then transferred to PVDF membranes (Thermo Fisher Scientific, catalog #IB24001). The following antibodies were used for blotting: anti</w:t>
      </w:r>
      <w:r w:rsidRPr="7DCEA204">
        <w:rPr>
          <w:i/>
          <w:iCs/>
          <w:sz w:val="24"/>
          <w:szCs w:val="24"/>
        </w:rPr>
        <w:t>-STK11</w:t>
      </w:r>
      <w:r w:rsidRPr="7DCEA204">
        <w:rPr>
          <w:sz w:val="24"/>
          <w:szCs w:val="24"/>
        </w:rPr>
        <w:t xml:space="preserve"> (Cell Signaling Technology, catalog #3047</w:t>
      </w:r>
      <w:r w:rsidR="32286229" w:rsidRPr="7DCEA204">
        <w:rPr>
          <w:sz w:val="24"/>
          <w:szCs w:val="24"/>
        </w:rPr>
        <w:t>; RRID:AB_2198327</w:t>
      </w:r>
      <w:r w:rsidRPr="7DCEA204">
        <w:rPr>
          <w:sz w:val="24"/>
          <w:szCs w:val="24"/>
        </w:rPr>
        <w:t>), anti-p</w:t>
      </w:r>
      <w:r w:rsidRPr="7DCEA204">
        <w:rPr>
          <w:i/>
          <w:iCs/>
          <w:sz w:val="24"/>
          <w:szCs w:val="24"/>
        </w:rPr>
        <w:t>STK11</w:t>
      </w:r>
      <w:r w:rsidRPr="7DCEA204">
        <w:rPr>
          <w:sz w:val="24"/>
          <w:szCs w:val="24"/>
        </w:rPr>
        <w:t xml:space="preserve"> (Cell Signaling Technology, catalog #3482</w:t>
      </w:r>
      <w:r w:rsidR="1994D283" w:rsidRPr="7DCEA204">
        <w:rPr>
          <w:sz w:val="24"/>
          <w:szCs w:val="24"/>
        </w:rPr>
        <w:t xml:space="preserve">; </w:t>
      </w:r>
      <w:r w:rsidR="1994D283" w:rsidRPr="7DCEA204">
        <w:rPr>
          <w:rFonts w:ascii="Calibri" w:eastAsia="Calibri" w:hAnsi="Calibri" w:cs="Calibri"/>
          <w:color w:val="000000" w:themeColor="text1"/>
          <w:sz w:val="24"/>
          <w:szCs w:val="24"/>
        </w:rPr>
        <w:t>RRID:AB_2198321</w:t>
      </w:r>
      <w:r w:rsidRPr="7DCEA204">
        <w:rPr>
          <w:sz w:val="24"/>
          <w:szCs w:val="24"/>
        </w:rPr>
        <w:t>), anti-AMPK (Cell Signaling Technology, catalog #5831</w:t>
      </w:r>
      <w:r w:rsidR="1D978BF1" w:rsidRPr="7DCEA204">
        <w:rPr>
          <w:sz w:val="24"/>
          <w:szCs w:val="24"/>
        </w:rPr>
        <w:t>; RRID:AB_10622186</w:t>
      </w:r>
      <w:r w:rsidRPr="7DCEA204">
        <w:rPr>
          <w:sz w:val="24"/>
          <w:szCs w:val="24"/>
        </w:rPr>
        <w:t>), anti-phospho-AMPK (Cell Signaling Technology, catalog #2535</w:t>
      </w:r>
      <w:r w:rsidR="49F45D3A" w:rsidRPr="7DCEA204">
        <w:rPr>
          <w:sz w:val="24"/>
          <w:szCs w:val="24"/>
        </w:rPr>
        <w:t xml:space="preserve">; </w:t>
      </w:r>
      <w:r w:rsidR="49F45D3A" w:rsidRPr="7DCEA204">
        <w:rPr>
          <w:rFonts w:ascii="Calibri" w:eastAsia="Calibri" w:hAnsi="Calibri" w:cs="Calibri"/>
          <w:color w:val="000000" w:themeColor="text1"/>
          <w:sz w:val="24"/>
          <w:szCs w:val="24"/>
        </w:rPr>
        <w:t>RRID:AB_331250</w:t>
      </w:r>
      <w:r w:rsidRPr="7DCEA204">
        <w:rPr>
          <w:sz w:val="24"/>
          <w:szCs w:val="24"/>
        </w:rPr>
        <w:t>) and anti-β-actin (Cell Signaling Technology, catalog #5125</w:t>
      </w:r>
      <w:r w:rsidR="57BB424B" w:rsidRPr="7DCEA204">
        <w:rPr>
          <w:sz w:val="24"/>
          <w:szCs w:val="24"/>
        </w:rPr>
        <w:t xml:space="preserve">; </w:t>
      </w:r>
      <w:r w:rsidR="57BB424B" w:rsidRPr="7DCEA204">
        <w:rPr>
          <w:sz w:val="24"/>
          <w:szCs w:val="24"/>
        </w:rPr>
        <w:lastRenderedPageBreak/>
        <w:t>RRID:AB_1903890</w:t>
      </w:r>
      <w:r w:rsidRPr="7DCEA204">
        <w:rPr>
          <w:sz w:val="24"/>
          <w:szCs w:val="24"/>
        </w:rPr>
        <w:t>). HRP conjugated anti-rabbit IgG secondary antibody (GE Healthcare, catalog #NA934</w:t>
      </w:r>
      <w:r w:rsidR="7D335558" w:rsidRPr="7DCEA204">
        <w:rPr>
          <w:sz w:val="24"/>
          <w:szCs w:val="24"/>
        </w:rPr>
        <w:t>; RRID:AB_772206</w:t>
      </w:r>
      <w:r w:rsidRPr="7DCEA204">
        <w:rPr>
          <w:sz w:val="24"/>
          <w:szCs w:val="24"/>
        </w:rPr>
        <w:t xml:space="preserve">) was bound to primary Abs and detected </w:t>
      </w:r>
      <w:r w:rsidRPr="7DCEA204">
        <w:rPr>
          <w:color w:val="000000" w:themeColor="text1"/>
          <w:sz w:val="24"/>
          <w:szCs w:val="24"/>
        </w:rPr>
        <w:t xml:space="preserve">using </w:t>
      </w:r>
      <w:proofErr w:type="spellStart"/>
      <w:r w:rsidRPr="7DCEA204">
        <w:rPr>
          <w:color w:val="000000" w:themeColor="text1"/>
          <w:sz w:val="24"/>
          <w:szCs w:val="24"/>
        </w:rPr>
        <w:t>SuperSignal</w:t>
      </w:r>
      <w:proofErr w:type="spellEnd"/>
      <w:r w:rsidRPr="7DCEA204">
        <w:rPr>
          <w:color w:val="000000" w:themeColor="text1"/>
          <w:sz w:val="24"/>
          <w:szCs w:val="24"/>
        </w:rPr>
        <w:t xml:space="preserve"> West Pico PLUS Chemiluminescent Substrate enhanced chemiluminescence (Thermo </w:t>
      </w:r>
      <w:r w:rsidRPr="7DCEA204">
        <w:rPr>
          <w:sz w:val="24"/>
          <w:szCs w:val="24"/>
        </w:rPr>
        <w:t xml:space="preserve">Fisher Scientific, catalog #34578). Images were captured and quantified by </w:t>
      </w:r>
      <w:proofErr w:type="spellStart"/>
      <w:r w:rsidRPr="7DCEA204">
        <w:rPr>
          <w:sz w:val="24"/>
          <w:szCs w:val="24"/>
        </w:rPr>
        <w:t>ImageQuant</w:t>
      </w:r>
      <w:proofErr w:type="spellEnd"/>
      <w:r w:rsidRPr="7DCEA204">
        <w:rPr>
          <w:sz w:val="24"/>
          <w:szCs w:val="24"/>
        </w:rPr>
        <w:t xml:space="preserve"> software (GE Healthcare, LAS4000mini).</w:t>
      </w:r>
    </w:p>
    <w:p w14:paraId="6AEF4E4E" w14:textId="77777777" w:rsidR="00555A09" w:rsidRPr="009B5E34" w:rsidRDefault="00555A09" w:rsidP="00555A09">
      <w:pPr>
        <w:keepNext/>
        <w:spacing w:line="360" w:lineRule="auto"/>
        <w:rPr>
          <w:b/>
          <w:sz w:val="24"/>
          <w:szCs w:val="24"/>
        </w:rPr>
      </w:pPr>
      <w:r w:rsidRPr="3EF800CD">
        <w:rPr>
          <w:b/>
          <w:sz w:val="24"/>
          <w:szCs w:val="24"/>
        </w:rPr>
        <w:t>RNA extraction, library preparation and sequencing</w:t>
      </w:r>
      <w:r w:rsidRPr="3EF800CD">
        <w:rPr>
          <w:b/>
          <w:bCs/>
          <w:noProof/>
          <w:sz w:val="24"/>
          <w:szCs w:val="24"/>
        </w:rPr>
        <w:t xml:space="preserve"> on mouse models</w:t>
      </w:r>
    </w:p>
    <w:p w14:paraId="799BFA52" w14:textId="53BFAF84" w:rsidR="00555A09" w:rsidRPr="009B5E34" w:rsidRDefault="00555A09" w:rsidP="00555A09">
      <w:pPr>
        <w:spacing w:line="360" w:lineRule="auto"/>
        <w:rPr>
          <w:rFonts w:cstheme="minorHAnsi"/>
          <w:sz w:val="24"/>
          <w:szCs w:val="24"/>
        </w:rPr>
      </w:pPr>
      <w:r w:rsidRPr="003F3244">
        <w:rPr>
          <w:rFonts w:cstheme="minorHAnsi"/>
          <w:sz w:val="24"/>
          <w:szCs w:val="24"/>
        </w:rPr>
        <w:t>The extracted RNA was recovered in 30</w:t>
      </w:r>
      <w:r>
        <w:rPr>
          <w:rFonts w:cstheme="minorHAnsi"/>
          <w:sz w:val="24"/>
          <w:szCs w:val="24"/>
        </w:rPr>
        <w:t xml:space="preserve"> </w:t>
      </w:r>
      <w:r w:rsidRPr="003F3244">
        <w:rPr>
          <w:rFonts w:cstheme="minorHAnsi"/>
          <w:sz w:val="24"/>
          <w:szCs w:val="24"/>
        </w:rPr>
        <w:t>µ</w:t>
      </w:r>
      <w:r>
        <w:rPr>
          <w:rFonts w:cstheme="minorHAnsi"/>
          <w:sz w:val="24"/>
          <w:szCs w:val="24"/>
        </w:rPr>
        <w:t>L</w:t>
      </w:r>
      <w:r w:rsidRPr="003F3244">
        <w:rPr>
          <w:rFonts w:cstheme="minorHAnsi"/>
          <w:sz w:val="24"/>
          <w:szCs w:val="24"/>
        </w:rPr>
        <w:t xml:space="preserve"> and evaluated by Agilent Tape Station 4200 RNA (cat</w:t>
      </w:r>
      <w:r>
        <w:rPr>
          <w:rFonts w:cstheme="minorHAnsi"/>
          <w:sz w:val="24"/>
          <w:szCs w:val="24"/>
        </w:rPr>
        <w:t>alog</w:t>
      </w:r>
      <w:r w:rsidRPr="003F3244">
        <w:rPr>
          <w:rFonts w:cstheme="minorHAnsi"/>
          <w:sz w:val="24"/>
          <w:szCs w:val="24"/>
        </w:rPr>
        <w:t xml:space="preserve"> </w:t>
      </w:r>
      <w:r>
        <w:rPr>
          <w:rFonts w:cstheme="minorHAnsi"/>
          <w:sz w:val="24"/>
          <w:szCs w:val="24"/>
        </w:rPr>
        <w:t>#</w:t>
      </w:r>
      <w:r w:rsidRPr="003F3244">
        <w:rPr>
          <w:rFonts w:cstheme="minorHAnsi"/>
          <w:sz w:val="24"/>
          <w:szCs w:val="24"/>
        </w:rPr>
        <w:t>5067-5576) to determine quality (RIN scores) and quantified by Qubit using Invitrogen’s RNA BR assay (cat</w:t>
      </w:r>
      <w:r>
        <w:rPr>
          <w:rFonts w:cstheme="minorHAnsi"/>
          <w:sz w:val="24"/>
          <w:szCs w:val="24"/>
        </w:rPr>
        <w:t>alog</w:t>
      </w:r>
      <w:r w:rsidRPr="003F3244">
        <w:rPr>
          <w:rFonts w:cstheme="minorHAnsi"/>
          <w:sz w:val="24"/>
          <w:szCs w:val="24"/>
        </w:rPr>
        <w:t xml:space="preserve"> </w:t>
      </w:r>
      <w:r>
        <w:rPr>
          <w:rFonts w:cstheme="minorHAnsi"/>
          <w:sz w:val="24"/>
          <w:szCs w:val="24"/>
        </w:rPr>
        <w:t>#</w:t>
      </w:r>
      <w:r w:rsidRPr="003F3244">
        <w:rPr>
          <w:rFonts w:cstheme="minorHAnsi"/>
          <w:sz w:val="24"/>
          <w:szCs w:val="24"/>
        </w:rPr>
        <w:t xml:space="preserve">Q10211). Library preparation was carried out per manufacturer’s protocol using the reagents provided in the Illumina </w:t>
      </w:r>
      <w:proofErr w:type="spellStart"/>
      <w:r w:rsidRPr="003F3244">
        <w:rPr>
          <w:rFonts w:cstheme="minorHAnsi"/>
          <w:sz w:val="24"/>
          <w:szCs w:val="24"/>
        </w:rPr>
        <w:t>TruSeq</w:t>
      </w:r>
      <w:proofErr w:type="spellEnd"/>
      <w:r w:rsidRPr="003F3244">
        <w:rPr>
          <w:rFonts w:cstheme="minorHAnsi"/>
          <w:sz w:val="24"/>
          <w:szCs w:val="24"/>
        </w:rPr>
        <w:t xml:space="preserve"> Stranded mRNA Library Prep Kit (cat</w:t>
      </w:r>
      <w:r>
        <w:rPr>
          <w:rFonts w:cstheme="minorHAnsi"/>
          <w:sz w:val="24"/>
          <w:szCs w:val="24"/>
        </w:rPr>
        <w:t>alog</w:t>
      </w:r>
      <w:r w:rsidRPr="003F3244">
        <w:rPr>
          <w:rFonts w:cstheme="minorHAnsi"/>
          <w:sz w:val="24"/>
          <w:szCs w:val="24"/>
        </w:rPr>
        <w:t xml:space="preserve"> </w:t>
      </w:r>
      <w:r>
        <w:rPr>
          <w:rFonts w:cstheme="minorHAnsi"/>
          <w:sz w:val="24"/>
          <w:szCs w:val="24"/>
        </w:rPr>
        <w:t>#</w:t>
      </w:r>
      <w:r w:rsidRPr="003F3244">
        <w:rPr>
          <w:rFonts w:cstheme="minorHAnsi"/>
          <w:sz w:val="24"/>
          <w:szCs w:val="24"/>
        </w:rPr>
        <w:t>20020594). A total of 2</w:t>
      </w:r>
      <w:r>
        <w:rPr>
          <w:rFonts w:cstheme="minorHAnsi"/>
          <w:sz w:val="24"/>
          <w:szCs w:val="24"/>
        </w:rPr>
        <w:t xml:space="preserve"> </w:t>
      </w:r>
      <w:r w:rsidRPr="003F3244">
        <w:rPr>
          <w:rFonts w:cstheme="minorHAnsi"/>
          <w:sz w:val="24"/>
          <w:szCs w:val="24"/>
        </w:rPr>
        <w:t>ng RNA starting material was used for library capture, a process that captures coding transcripts with strand information by converting the mRNA in total RNA into polyadenylated fragmented cDNA, which is then copied into first strand cDNA using reverse transcriptase and random primers, followed by second strand synthesis prior to final purification and PCR enrichment. The final library products were then validated by Agilent Tape Station 4200 DNA 1000 HS (cat</w:t>
      </w:r>
      <w:r>
        <w:rPr>
          <w:rFonts w:cstheme="minorHAnsi"/>
          <w:sz w:val="24"/>
          <w:szCs w:val="24"/>
        </w:rPr>
        <w:t>alog</w:t>
      </w:r>
      <w:r w:rsidRPr="003F3244">
        <w:rPr>
          <w:rFonts w:cstheme="minorHAnsi"/>
          <w:sz w:val="24"/>
          <w:szCs w:val="24"/>
        </w:rPr>
        <w:t xml:space="preserve"> </w:t>
      </w:r>
      <w:r>
        <w:rPr>
          <w:rFonts w:cstheme="minorHAnsi"/>
          <w:sz w:val="24"/>
          <w:szCs w:val="24"/>
        </w:rPr>
        <w:t>#</w:t>
      </w:r>
      <w:r w:rsidRPr="003F3244">
        <w:rPr>
          <w:rFonts w:cstheme="minorHAnsi"/>
          <w:sz w:val="24"/>
          <w:szCs w:val="24"/>
        </w:rPr>
        <w:t>5067-5584) to determine fragment size and distribution and quantified by qPCR to accurately calculate the of number of amplifiable molecules using KAPA Illumina Library Quantification Kit (cat</w:t>
      </w:r>
      <w:r>
        <w:rPr>
          <w:rFonts w:cstheme="minorHAnsi"/>
          <w:sz w:val="24"/>
          <w:szCs w:val="24"/>
        </w:rPr>
        <w:t>alog</w:t>
      </w:r>
      <w:r w:rsidRPr="003F3244">
        <w:rPr>
          <w:rFonts w:cstheme="minorHAnsi"/>
          <w:sz w:val="24"/>
          <w:szCs w:val="24"/>
        </w:rPr>
        <w:t xml:space="preserve"> </w:t>
      </w:r>
      <w:r>
        <w:rPr>
          <w:rFonts w:cstheme="minorHAnsi"/>
          <w:sz w:val="24"/>
          <w:szCs w:val="24"/>
        </w:rPr>
        <w:t>#</w:t>
      </w:r>
      <w:r w:rsidRPr="003F3244">
        <w:rPr>
          <w:rFonts w:cstheme="minorHAnsi"/>
          <w:sz w:val="24"/>
          <w:szCs w:val="24"/>
        </w:rPr>
        <w:t>KK4873). Libraries were then normalized to 4</w:t>
      </w:r>
      <w:r>
        <w:rPr>
          <w:rFonts w:cstheme="minorHAnsi"/>
          <w:sz w:val="24"/>
          <w:szCs w:val="24"/>
        </w:rPr>
        <w:t xml:space="preserve"> </w:t>
      </w:r>
      <w:proofErr w:type="spellStart"/>
      <w:r w:rsidRPr="003F3244">
        <w:rPr>
          <w:rFonts w:cstheme="minorHAnsi"/>
          <w:sz w:val="24"/>
          <w:szCs w:val="24"/>
        </w:rPr>
        <w:t>nM</w:t>
      </w:r>
      <w:proofErr w:type="spellEnd"/>
      <w:r w:rsidRPr="003F3244">
        <w:rPr>
          <w:rFonts w:cstheme="minorHAnsi"/>
          <w:sz w:val="24"/>
          <w:szCs w:val="24"/>
        </w:rPr>
        <w:t xml:space="preserve"> for final pooling and denaturing according to manufacturer’s recommendations for paired-end/single-index sequencing on the Illumina NextSeq500 sequencer. </w:t>
      </w:r>
    </w:p>
    <w:p w14:paraId="6FDF22E2" w14:textId="77777777" w:rsidR="00555A09" w:rsidRPr="003F3244" w:rsidRDefault="00555A09" w:rsidP="00555A09">
      <w:pPr>
        <w:pStyle w:val="Paragraph"/>
        <w:spacing w:after="160" w:line="360" w:lineRule="auto"/>
        <w:rPr>
          <w:rFonts w:asciiTheme="minorHAnsi" w:hAnsiTheme="minorHAnsi" w:cstheme="minorHAnsi"/>
          <w:b/>
        </w:rPr>
      </w:pPr>
      <w:r w:rsidRPr="003F3244">
        <w:rPr>
          <w:rFonts w:asciiTheme="minorHAnsi" w:hAnsiTheme="minorHAnsi" w:cstheme="minorHAnsi"/>
          <w:b/>
        </w:rPr>
        <w:t>Mouse tumor models and treatments</w:t>
      </w:r>
    </w:p>
    <w:p w14:paraId="5D8E387B" w14:textId="454541C2" w:rsidR="008353A3" w:rsidRDefault="00555A09" w:rsidP="00555A09">
      <w:pPr>
        <w:spacing w:line="360" w:lineRule="auto"/>
        <w:rPr>
          <w:rFonts w:cstheme="minorHAnsi"/>
          <w:sz w:val="24"/>
          <w:szCs w:val="24"/>
        </w:rPr>
      </w:pPr>
      <w:proofErr w:type="spellStart"/>
      <w:r w:rsidRPr="003F3244">
        <w:rPr>
          <w:rFonts w:cstheme="minorHAnsi"/>
          <w:sz w:val="24"/>
          <w:szCs w:val="24"/>
        </w:rPr>
        <w:t>Balb</w:t>
      </w:r>
      <w:proofErr w:type="spellEnd"/>
      <w:r w:rsidRPr="003F3244">
        <w:rPr>
          <w:rFonts w:cstheme="minorHAnsi"/>
          <w:sz w:val="24"/>
          <w:szCs w:val="24"/>
        </w:rPr>
        <w:t xml:space="preserve">/c mice 6-9 weeks of age </w:t>
      </w:r>
      <w:r w:rsidRPr="003F3244">
        <w:rPr>
          <w:rFonts w:cstheme="minorHAnsi"/>
          <w:color w:val="000000"/>
          <w:sz w:val="24"/>
          <w:szCs w:val="24"/>
        </w:rPr>
        <w:t xml:space="preserve">were purchased from </w:t>
      </w:r>
      <w:proofErr w:type="spellStart"/>
      <w:r w:rsidRPr="003F3244">
        <w:rPr>
          <w:rFonts w:cstheme="minorHAnsi"/>
          <w:color w:val="000000"/>
          <w:sz w:val="24"/>
          <w:szCs w:val="24"/>
        </w:rPr>
        <w:t>Envigo</w:t>
      </w:r>
      <w:proofErr w:type="spellEnd"/>
      <w:r w:rsidRPr="003F3244">
        <w:rPr>
          <w:rFonts w:cstheme="minorHAnsi"/>
          <w:color w:val="000000"/>
          <w:sz w:val="24"/>
          <w:szCs w:val="24"/>
        </w:rPr>
        <w:t xml:space="preserve"> Harlan </w:t>
      </w:r>
      <w:r w:rsidRPr="003F3244">
        <w:rPr>
          <w:rFonts w:cstheme="minorHAnsi"/>
          <w:sz w:val="24"/>
          <w:szCs w:val="24"/>
        </w:rPr>
        <w:t>Laboratories, Inc. (Indianapolis, IN)</w:t>
      </w:r>
      <w:r>
        <w:rPr>
          <w:rFonts w:cstheme="minorHAnsi"/>
          <w:sz w:val="24"/>
          <w:szCs w:val="24"/>
        </w:rPr>
        <w:t>.</w:t>
      </w:r>
      <w:r w:rsidRPr="003F3244">
        <w:rPr>
          <w:rFonts w:cstheme="minorHAnsi"/>
          <w:sz w:val="24"/>
          <w:szCs w:val="24"/>
        </w:rPr>
        <w:t xml:space="preserve"> </w:t>
      </w:r>
      <w:r>
        <w:rPr>
          <w:rFonts w:cstheme="minorHAnsi"/>
          <w:sz w:val="24"/>
          <w:szCs w:val="24"/>
        </w:rPr>
        <w:t xml:space="preserve">NSG mice used for engraftment of human patient-derived xenografts (PDXs) were purchased from The Jackson Laboratory (Bar Harbor, ME). All mice were </w:t>
      </w:r>
      <w:r w:rsidRPr="003F3244">
        <w:rPr>
          <w:rFonts w:cstheme="minorHAnsi"/>
          <w:sz w:val="24"/>
          <w:szCs w:val="24"/>
        </w:rPr>
        <w:t>humanely treated and housed according to Institutional Animal Care and Use Committee approved protocols in the Laboratory Animal Resources facility at AstraZeneca, an Association for Animal Accreditation of Laboratory Animal Care and United States Department of Agriculture-licensed facility</w:t>
      </w:r>
      <w:r>
        <w:rPr>
          <w:rFonts w:cstheme="minorHAnsi"/>
          <w:sz w:val="24"/>
          <w:szCs w:val="24"/>
        </w:rPr>
        <w:t xml:space="preserve">. </w:t>
      </w:r>
      <w:r w:rsidRPr="0057165F">
        <w:rPr>
          <w:sz w:val="24"/>
        </w:rPr>
        <w:t xml:space="preserve">PDX tissues were obtained from AstraZeneca’s </w:t>
      </w:r>
      <w:r w:rsidRPr="0057165F">
        <w:rPr>
          <w:sz w:val="24"/>
        </w:rPr>
        <w:lastRenderedPageBreak/>
        <w:t xml:space="preserve">own internal PDX library. </w:t>
      </w:r>
      <w:r w:rsidRPr="00E206C6">
        <w:rPr>
          <w:rFonts w:cstheme="minorHAnsi"/>
          <w:i/>
          <w:sz w:val="24"/>
          <w:szCs w:val="24"/>
        </w:rPr>
        <w:t>In vivo</w:t>
      </w:r>
      <w:r>
        <w:rPr>
          <w:rFonts w:cstheme="minorHAnsi"/>
          <w:sz w:val="24"/>
          <w:szCs w:val="24"/>
        </w:rPr>
        <w:t xml:space="preserve"> passage number and </w:t>
      </w:r>
      <w:r w:rsidRPr="00E206C6">
        <w:rPr>
          <w:rFonts w:cstheme="minorHAnsi"/>
          <w:i/>
          <w:iCs/>
          <w:sz w:val="24"/>
          <w:szCs w:val="24"/>
        </w:rPr>
        <w:t>STK11</w:t>
      </w:r>
      <w:r>
        <w:rPr>
          <w:rFonts w:cstheme="minorHAnsi"/>
          <w:sz w:val="24"/>
          <w:szCs w:val="24"/>
        </w:rPr>
        <w:t xml:space="preserve"> mutational status are shown in the table below:</w:t>
      </w:r>
    </w:p>
    <w:tbl>
      <w:tblPr>
        <w:tblStyle w:val="TableGrid"/>
        <w:tblW w:w="0" w:type="auto"/>
        <w:tblLook w:val="04A0" w:firstRow="1" w:lastRow="0" w:firstColumn="1" w:lastColumn="0" w:noHBand="0" w:noVBand="1"/>
      </w:tblPr>
      <w:tblGrid>
        <w:gridCol w:w="3001"/>
        <w:gridCol w:w="3004"/>
        <w:gridCol w:w="3011"/>
      </w:tblGrid>
      <w:tr w:rsidR="00555A09" w14:paraId="39446D1F" w14:textId="77777777" w:rsidTr="00F031AD">
        <w:tc>
          <w:tcPr>
            <w:tcW w:w="3116" w:type="dxa"/>
            <w:vAlign w:val="bottom"/>
          </w:tcPr>
          <w:p w14:paraId="5BDD7B1B" w14:textId="77777777" w:rsidR="00555A09" w:rsidRPr="00E206C6" w:rsidRDefault="00555A09" w:rsidP="00F031AD">
            <w:pPr>
              <w:spacing w:line="360" w:lineRule="auto"/>
              <w:rPr>
                <w:rFonts w:cstheme="minorHAnsi"/>
                <w:b/>
                <w:sz w:val="24"/>
                <w:szCs w:val="24"/>
              </w:rPr>
            </w:pPr>
            <w:r w:rsidRPr="00E206C6">
              <w:rPr>
                <w:rFonts w:ascii="Calibri" w:hAnsi="Calibri" w:cs="Calibri"/>
                <w:b/>
                <w:color w:val="000000"/>
              </w:rPr>
              <w:t>PDX Tumor Model</w:t>
            </w:r>
          </w:p>
        </w:tc>
        <w:tc>
          <w:tcPr>
            <w:tcW w:w="3117" w:type="dxa"/>
            <w:vAlign w:val="bottom"/>
          </w:tcPr>
          <w:p w14:paraId="5AC89A31" w14:textId="77777777" w:rsidR="00555A09" w:rsidRPr="00E206C6" w:rsidRDefault="00555A09" w:rsidP="00F031AD">
            <w:pPr>
              <w:spacing w:line="360" w:lineRule="auto"/>
              <w:rPr>
                <w:rFonts w:cstheme="minorHAnsi"/>
                <w:b/>
                <w:sz w:val="24"/>
                <w:szCs w:val="24"/>
              </w:rPr>
            </w:pPr>
            <w:r w:rsidRPr="00E206C6">
              <w:rPr>
                <w:rFonts w:ascii="Calibri" w:hAnsi="Calibri" w:cs="Calibri"/>
                <w:b/>
                <w:color w:val="000000"/>
              </w:rPr>
              <w:t>Passage number</w:t>
            </w:r>
          </w:p>
        </w:tc>
        <w:tc>
          <w:tcPr>
            <w:tcW w:w="3117" w:type="dxa"/>
            <w:vAlign w:val="bottom"/>
          </w:tcPr>
          <w:p w14:paraId="5CD02C68" w14:textId="77777777" w:rsidR="00555A09" w:rsidRPr="00E206C6" w:rsidRDefault="00555A09" w:rsidP="00F031AD">
            <w:pPr>
              <w:spacing w:line="360" w:lineRule="auto"/>
              <w:rPr>
                <w:rFonts w:cstheme="minorHAnsi"/>
                <w:b/>
                <w:sz w:val="24"/>
                <w:szCs w:val="24"/>
              </w:rPr>
            </w:pPr>
            <w:r w:rsidRPr="00E206C6">
              <w:rPr>
                <w:rFonts w:ascii="Calibri" w:hAnsi="Calibri" w:cs="Calibri"/>
                <w:b/>
                <w:i/>
                <w:iCs/>
                <w:color w:val="000000"/>
              </w:rPr>
              <w:t>STK11</w:t>
            </w:r>
            <w:r w:rsidRPr="00E206C6">
              <w:rPr>
                <w:rFonts w:ascii="Calibri" w:hAnsi="Calibri" w:cs="Calibri"/>
                <w:b/>
                <w:color w:val="000000"/>
              </w:rPr>
              <w:t xml:space="preserve"> mutation status</w:t>
            </w:r>
          </w:p>
        </w:tc>
      </w:tr>
      <w:tr w:rsidR="00555A09" w14:paraId="186DF7E4" w14:textId="77777777" w:rsidTr="00F031AD">
        <w:tc>
          <w:tcPr>
            <w:tcW w:w="3116" w:type="dxa"/>
            <w:vAlign w:val="bottom"/>
          </w:tcPr>
          <w:p w14:paraId="111B01DA" w14:textId="77777777" w:rsidR="00555A09" w:rsidRDefault="00555A09" w:rsidP="00F031AD">
            <w:pPr>
              <w:spacing w:line="360" w:lineRule="auto"/>
              <w:rPr>
                <w:rFonts w:cstheme="minorHAnsi"/>
                <w:sz w:val="24"/>
                <w:szCs w:val="24"/>
              </w:rPr>
            </w:pPr>
            <w:r>
              <w:rPr>
                <w:rFonts w:ascii="Calibri" w:hAnsi="Calibri" w:cs="Calibri"/>
                <w:color w:val="000000"/>
              </w:rPr>
              <w:t>LG0645</w:t>
            </w:r>
          </w:p>
        </w:tc>
        <w:tc>
          <w:tcPr>
            <w:tcW w:w="3117" w:type="dxa"/>
            <w:vAlign w:val="bottom"/>
          </w:tcPr>
          <w:p w14:paraId="5422B587" w14:textId="77777777" w:rsidR="00555A09" w:rsidRDefault="00555A09" w:rsidP="00F031AD">
            <w:pPr>
              <w:spacing w:line="360" w:lineRule="auto"/>
              <w:rPr>
                <w:rFonts w:cstheme="minorHAnsi"/>
                <w:sz w:val="24"/>
                <w:szCs w:val="24"/>
              </w:rPr>
            </w:pPr>
            <w:r>
              <w:rPr>
                <w:rFonts w:ascii="Calibri" w:hAnsi="Calibri" w:cs="Calibri"/>
                <w:color w:val="000000"/>
              </w:rPr>
              <w:t>3</w:t>
            </w:r>
          </w:p>
        </w:tc>
        <w:tc>
          <w:tcPr>
            <w:tcW w:w="3117" w:type="dxa"/>
            <w:vAlign w:val="bottom"/>
          </w:tcPr>
          <w:p w14:paraId="529AD1C3" w14:textId="77777777" w:rsidR="00555A09" w:rsidRDefault="00555A09" w:rsidP="00F031AD">
            <w:pPr>
              <w:spacing w:line="360" w:lineRule="auto"/>
              <w:rPr>
                <w:rFonts w:cstheme="minorHAnsi"/>
                <w:sz w:val="24"/>
                <w:szCs w:val="24"/>
              </w:rPr>
            </w:pPr>
            <w:proofErr w:type="spellStart"/>
            <w:r>
              <w:rPr>
                <w:rFonts w:ascii="Calibri" w:hAnsi="Calibri" w:cs="Calibri"/>
                <w:color w:val="000000"/>
              </w:rPr>
              <w:t>DeepDel</w:t>
            </w:r>
            <w:proofErr w:type="spellEnd"/>
          </w:p>
        </w:tc>
      </w:tr>
      <w:tr w:rsidR="00555A09" w14:paraId="3F698F61" w14:textId="77777777" w:rsidTr="00F031AD">
        <w:tc>
          <w:tcPr>
            <w:tcW w:w="3116" w:type="dxa"/>
            <w:vAlign w:val="bottom"/>
          </w:tcPr>
          <w:p w14:paraId="4DCB9555" w14:textId="77777777" w:rsidR="00555A09" w:rsidRDefault="00555A09" w:rsidP="00F031AD">
            <w:pPr>
              <w:spacing w:line="360" w:lineRule="auto"/>
              <w:rPr>
                <w:rFonts w:cstheme="minorHAnsi"/>
                <w:sz w:val="24"/>
                <w:szCs w:val="24"/>
              </w:rPr>
            </w:pPr>
            <w:r>
              <w:rPr>
                <w:rFonts w:ascii="Calibri" w:hAnsi="Calibri" w:cs="Calibri"/>
                <w:color w:val="000000"/>
              </w:rPr>
              <w:t>MEDI-NSCLC-03</w:t>
            </w:r>
          </w:p>
        </w:tc>
        <w:tc>
          <w:tcPr>
            <w:tcW w:w="3117" w:type="dxa"/>
            <w:vAlign w:val="bottom"/>
          </w:tcPr>
          <w:p w14:paraId="162CBDDD" w14:textId="77777777" w:rsidR="00555A09" w:rsidRDefault="00555A09" w:rsidP="00F031AD">
            <w:pPr>
              <w:spacing w:line="360" w:lineRule="auto"/>
              <w:rPr>
                <w:rFonts w:cstheme="minorHAnsi"/>
                <w:sz w:val="24"/>
                <w:szCs w:val="24"/>
              </w:rPr>
            </w:pPr>
            <w:r>
              <w:rPr>
                <w:rFonts w:ascii="Calibri" w:hAnsi="Calibri" w:cs="Calibri"/>
                <w:color w:val="000000"/>
              </w:rPr>
              <w:t>5</w:t>
            </w:r>
          </w:p>
        </w:tc>
        <w:tc>
          <w:tcPr>
            <w:tcW w:w="3117" w:type="dxa"/>
            <w:vAlign w:val="bottom"/>
          </w:tcPr>
          <w:p w14:paraId="4D7C94E9" w14:textId="77777777" w:rsidR="00555A09" w:rsidRDefault="00555A09" w:rsidP="00F031AD">
            <w:pPr>
              <w:spacing w:line="360" w:lineRule="auto"/>
              <w:rPr>
                <w:rFonts w:cstheme="minorHAnsi"/>
                <w:sz w:val="24"/>
                <w:szCs w:val="24"/>
              </w:rPr>
            </w:pPr>
            <w:proofErr w:type="spellStart"/>
            <w:r>
              <w:rPr>
                <w:rFonts w:ascii="Calibri" w:hAnsi="Calibri" w:cs="Calibri"/>
                <w:color w:val="000000"/>
              </w:rPr>
              <w:t>stopgain</w:t>
            </w:r>
            <w:proofErr w:type="spellEnd"/>
            <w:r>
              <w:rPr>
                <w:rFonts w:ascii="Calibri" w:hAnsi="Calibri" w:cs="Calibri"/>
                <w:color w:val="000000"/>
              </w:rPr>
              <w:t>: K41X</w:t>
            </w:r>
          </w:p>
        </w:tc>
      </w:tr>
      <w:tr w:rsidR="00555A09" w14:paraId="2AB405E2" w14:textId="77777777" w:rsidTr="00F031AD">
        <w:tc>
          <w:tcPr>
            <w:tcW w:w="3116" w:type="dxa"/>
            <w:vAlign w:val="bottom"/>
          </w:tcPr>
          <w:p w14:paraId="4FAE42D2" w14:textId="77777777" w:rsidR="00555A09" w:rsidRDefault="00555A09" w:rsidP="00F031AD">
            <w:pPr>
              <w:spacing w:line="360" w:lineRule="auto"/>
              <w:rPr>
                <w:rFonts w:cstheme="minorHAnsi"/>
                <w:sz w:val="24"/>
                <w:szCs w:val="24"/>
              </w:rPr>
            </w:pPr>
            <w:r>
              <w:rPr>
                <w:rFonts w:ascii="Calibri" w:hAnsi="Calibri" w:cs="Calibri"/>
                <w:color w:val="000000"/>
              </w:rPr>
              <w:t>MEDI-NSCLC-04</w:t>
            </w:r>
          </w:p>
        </w:tc>
        <w:tc>
          <w:tcPr>
            <w:tcW w:w="3117" w:type="dxa"/>
            <w:vAlign w:val="bottom"/>
          </w:tcPr>
          <w:p w14:paraId="6B46502C" w14:textId="77777777" w:rsidR="00555A09" w:rsidRDefault="00555A09" w:rsidP="00F031AD">
            <w:pPr>
              <w:spacing w:line="360" w:lineRule="auto"/>
              <w:rPr>
                <w:rFonts w:cstheme="minorHAnsi"/>
                <w:sz w:val="24"/>
                <w:szCs w:val="24"/>
              </w:rPr>
            </w:pPr>
            <w:r>
              <w:rPr>
                <w:rFonts w:ascii="Calibri" w:hAnsi="Calibri" w:cs="Calibri"/>
                <w:color w:val="000000"/>
              </w:rPr>
              <w:t>5</w:t>
            </w:r>
          </w:p>
        </w:tc>
        <w:tc>
          <w:tcPr>
            <w:tcW w:w="3117" w:type="dxa"/>
            <w:vAlign w:val="bottom"/>
          </w:tcPr>
          <w:p w14:paraId="037E98AE" w14:textId="77777777" w:rsidR="00555A09" w:rsidRDefault="00555A09" w:rsidP="00F031AD">
            <w:pPr>
              <w:spacing w:line="360" w:lineRule="auto"/>
              <w:rPr>
                <w:rFonts w:cstheme="minorHAnsi"/>
                <w:sz w:val="24"/>
                <w:szCs w:val="24"/>
              </w:rPr>
            </w:pPr>
            <w:proofErr w:type="spellStart"/>
            <w:r>
              <w:rPr>
                <w:rFonts w:ascii="Calibri" w:hAnsi="Calibri" w:cs="Calibri"/>
                <w:color w:val="000000"/>
              </w:rPr>
              <w:t>stopgain</w:t>
            </w:r>
            <w:proofErr w:type="spellEnd"/>
            <w:r>
              <w:rPr>
                <w:rFonts w:ascii="Calibri" w:hAnsi="Calibri" w:cs="Calibri"/>
                <w:color w:val="000000"/>
              </w:rPr>
              <w:t>: E256X</w:t>
            </w:r>
          </w:p>
        </w:tc>
      </w:tr>
      <w:tr w:rsidR="00555A09" w14:paraId="1310CFD0" w14:textId="77777777" w:rsidTr="00F031AD">
        <w:tc>
          <w:tcPr>
            <w:tcW w:w="3116" w:type="dxa"/>
            <w:vAlign w:val="bottom"/>
          </w:tcPr>
          <w:p w14:paraId="57526B31" w14:textId="77777777" w:rsidR="00555A09" w:rsidRDefault="00555A09" w:rsidP="00F031AD">
            <w:pPr>
              <w:spacing w:line="360" w:lineRule="auto"/>
              <w:rPr>
                <w:rFonts w:cstheme="minorHAnsi"/>
                <w:sz w:val="24"/>
                <w:szCs w:val="24"/>
              </w:rPr>
            </w:pPr>
            <w:r>
              <w:rPr>
                <w:rFonts w:ascii="Calibri" w:hAnsi="Calibri" w:cs="Calibri"/>
                <w:color w:val="000000"/>
              </w:rPr>
              <w:t>MEDI-NSCLC-19</w:t>
            </w:r>
          </w:p>
        </w:tc>
        <w:tc>
          <w:tcPr>
            <w:tcW w:w="3117" w:type="dxa"/>
            <w:vAlign w:val="bottom"/>
          </w:tcPr>
          <w:p w14:paraId="0FE72A91" w14:textId="77777777" w:rsidR="00555A09" w:rsidRDefault="00555A09" w:rsidP="00F031AD">
            <w:pPr>
              <w:spacing w:line="360" w:lineRule="auto"/>
              <w:rPr>
                <w:rFonts w:cstheme="minorHAnsi"/>
                <w:sz w:val="24"/>
                <w:szCs w:val="24"/>
              </w:rPr>
            </w:pPr>
            <w:r>
              <w:rPr>
                <w:rFonts w:ascii="Calibri" w:hAnsi="Calibri" w:cs="Calibri"/>
                <w:color w:val="000000"/>
              </w:rPr>
              <w:t>6</w:t>
            </w:r>
          </w:p>
        </w:tc>
        <w:tc>
          <w:tcPr>
            <w:tcW w:w="3117" w:type="dxa"/>
            <w:vAlign w:val="bottom"/>
          </w:tcPr>
          <w:p w14:paraId="3258C881" w14:textId="77777777" w:rsidR="00555A09" w:rsidRDefault="00555A09" w:rsidP="00F031AD">
            <w:pPr>
              <w:spacing w:line="360" w:lineRule="auto"/>
              <w:rPr>
                <w:rFonts w:cstheme="minorHAnsi"/>
                <w:sz w:val="24"/>
                <w:szCs w:val="24"/>
              </w:rPr>
            </w:pPr>
            <w:r>
              <w:rPr>
                <w:rFonts w:ascii="Calibri" w:hAnsi="Calibri" w:cs="Calibri"/>
                <w:color w:val="000000"/>
              </w:rPr>
              <w:t>M129I, Q302K, E130X</w:t>
            </w:r>
          </w:p>
        </w:tc>
      </w:tr>
      <w:tr w:rsidR="00555A09" w14:paraId="26289DB5" w14:textId="77777777" w:rsidTr="00F031AD">
        <w:tc>
          <w:tcPr>
            <w:tcW w:w="3116" w:type="dxa"/>
            <w:vAlign w:val="bottom"/>
          </w:tcPr>
          <w:p w14:paraId="070114F7" w14:textId="77777777" w:rsidR="00555A09" w:rsidRDefault="00555A09" w:rsidP="00F031AD">
            <w:pPr>
              <w:spacing w:line="360" w:lineRule="auto"/>
              <w:rPr>
                <w:rFonts w:cstheme="minorHAnsi"/>
                <w:sz w:val="24"/>
                <w:szCs w:val="24"/>
              </w:rPr>
            </w:pPr>
            <w:r>
              <w:rPr>
                <w:rFonts w:ascii="Calibri" w:hAnsi="Calibri" w:cs="Calibri"/>
                <w:color w:val="000000"/>
              </w:rPr>
              <w:t>HLXF-23</w:t>
            </w:r>
          </w:p>
        </w:tc>
        <w:tc>
          <w:tcPr>
            <w:tcW w:w="3117" w:type="dxa"/>
            <w:vAlign w:val="bottom"/>
          </w:tcPr>
          <w:p w14:paraId="4F8DF643" w14:textId="77777777" w:rsidR="00555A09" w:rsidRDefault="00555A09" w:rsidP="00F031AD">
            <w:pPr>
              <w:spacing w:line="360" w:lineRule="auto"/>
              <w:rPr>
                <w:rFonts w:cstheme="minorHAnsi"/>
                <w:sz w:val="24"/>
                <w:szCs w:val="24"/>
              </w:rPr>
            </w:pPr>
            <w:r>
              <w:rPr>
                <w:rFonts w:ascii="Calibri" w:hAnsi="Calibri" w:cs="Calibri"/>
                <w:color w:val="000000"/>
              </w:rPr>
              <w:t>3</w:t>
            </w:r>
          </w:p>
        </w:tc>
        <w:tc>
          <w:tcPr>
            <w:tcW w:w="3117" w:type="dxa"/>
            <w:vAlign w:val="bottom"/>
          </w:tcPr>
          <w:p w14:paraId="142D3A77" w14:textId="77777777" w:rsidR="00555A09" w:rsidRDefault="00555A09" w:rsidP="00F031AD">
            <w:pPr>
              <w:spacing w:line="360" w:lineRule="auto"/>
              <w:rPr>
                <w:rFonts w:cstheme="minorHAnsi"/>
                <w:sz w:val="24"/>
                <w:szCs w:val="24"/>
              </w:rPr>
            </w:pPr>
            <w:r>
              <w:rPr>
                <w:rFonts w:ascii="Calibri" w:hAnsi="Calibri" w:cs="Calibri"/>
                <w:color w:val="000000"/>
              </w:rPr>
              <w:t>WT</w:t>
            </w:r>
          </w:p>
        </w:tc>
      </w:tr>
      <w:tr w:rsidR="00555A09" w14:paraId="4FFDF62C" w14:textId="77777777" w:rsidTr="00F031AD">
        <w:tc>
          <w:tcPr>
            <w:tcW w:w="3116" w:type="dxa"/>
            <w:vAlign w:val="bottom"/>
          </w:tcPr>
          <w:p w14:paraId="7F36DE40" w14:textId="77777777" w:rsidR="00555A09" w:rsidRDefault="00555A09" w:rsidP="00F031AD">
            <w:pPr>
              <w:spacing w:line="360" w:lineRule="auto"/>
              <w:rPr>
                <w:rFonts w:cstheme="minorHAnsi"/>
                <w:sz w:val="24"/>
                <w:szCs w:val="24"/>
              </w:rPr>
            </w:pPr>
            <w:r>
              <w:rPr>
                <w:rFonts w:ascii="Calibri" w:hAnsi="Calibri" w:cs="Calibri"/>
                <w:color w:val="000000"/>
              </w:rPr>
              <w:t>MEDI-NSCLC-15</w:t>
            </w:r>
          </w:p>
        </w:tc>
        <w:tc>
          <w:tcPr>
            <w:tcW w:w="3117" w:type="dxa"/>
            <w:vAlign w:val="bottom"/>
          </w:tcPr>
          <w:p w14:paraId="76F9319C" w14:textId="77777777" w:rsidR="00555A09" w:rsidRDefault="00555A09" w:rsidP="00F031AD">
            <w:pPr>
              <w:spacing w:line="360" w:lineRule="auto"/>
              <w:rPr>
                <w:rFonts w:cstheme="minorHAnsi"/>
                <w:sz w:val="24"/>
                <w:szCs w:val="24"/>
              </w:rPr>
            </w:pPr>
            <w:r>
              <w:rPr>
                <w:rFonts w:ascii="Calibri" w:hAnsi="Calibri" w:cs="Calibri"/>
                <w:color w:val="000000"/>
              </w:rPr>
              <w:t>6</w:t>
            </w:r>
          </w:p>
        </w:tc>
        <w:tc>
          <w:tcPr>
            <w:tcW w:w="3117" w:type="dxa"/>
            <w:vAlign w:val="bottom"/>
          </w:tcPr>
          <w:p w14:paraId="50F13152" w14:textId="77777777" w:rsidR="00555A09" w:rsidRDefault="00555A09" w:rsidP="00F031AD">
            <w:pPr>
              <w:spacing w:line="360" w:lineRule="auto"/>
              <w:rPr>
                <w:rFonts w:cstheme="minorHAnsi"/>
                <w:sz w:val="24"/>
                <w:szCs w:val="24"/>
              </w:rPr>
            </w:pPr>
            <w:r>
              <w:rPr>
                <w:rFonts w:ascii="Calibri" w:hAnsi="Calibri" w:cs="Calibri"/>
                <w:color w:val="000000"/>
              </w:rPr>
              <w:t>WT</w:t>
            </w:r>
          </w:p>
        </w:tc>
      </w:tr>
      <w:tr w:rsidR="00555A09" w14:paraId="0194CA73" w14:textId="77777777" w:rsidTr="00F031AD">
        <w:tc>
          <w:tcPr>
            <w:tcW w:w="3116" w:type="dxa"/>
            <w:vAlign w:val="bottom"/>
          </w:tcPr>
          <w:p w14:paraId="5CD9D897" w14:textId="77777777" w:rsidR="00555A09" w:rsidRDefault="00555A09" w:rsidP="00F031AD">
            <w:pPr>
              <w:spacing w:line="360" w:lineRule="auto"/>
              <w:rPr>
                <w:rFonts w:cstheme="minorHAnsi"/>
                <w:sz w:val="24"/>
                <w:szCs w:val="24"/>
              </w:rPr>
            </w:pPr>
            <w:r>
              <w:rPr>
                <w:rFonts w:ascii="Calibri" w:hAnsi="Calibri" w:cs="Calibri"/>
                <w:color w:val="000000"/>
              </w:rPr>
              <w:t>HLFX-036LN</w:t>
            </w:r>
          </w:p>
        </w:tc>
        <w:tc>
          <w:tcPr>
            <w:tcW w:w="3117" w:type="dxa"/>
            <w:vAlign w:val="bottom"/>
          </w:tcPr>
          <w:p w14:paraId="2C56F432" w14:textId="77777777" w:rsidR="00555A09" w:rsidRDefault="00555A09" w:rsidP="00F031AD">
            <w:pPr>
              <w:spacing w:line="360" w:lineRule="auto"/>
              <w:rPr>
                <w:rFonts w:cstheme="minorHAnsi"/>
                <w:sz w:val="24"/>
                <w:szCs w:val="24"/>
              </w:rPr>
            </w:pPr>
            <w:r>
              <w:rPr>
                <w:rFonts w:ascii="Calibri" w:hAnsi="Calibri" w:cs="Calibri"/>
                <w:color w:val="000000"/>
              </w:rPr>
              <w:t>3</w:t>
            </w:r>
          </w:p>
        </w:tc>
        <w:tc>
          <w:tcPr>
            <w:tcW w:w="3117" w:type="dxa"/>
            <w:vAlign w:val="bottom"/>
          </w:tcPr>
          <w:p w14:paraId="1EE2E5C0" w14:textId="77777777" w:rsidR="00555A09" w:rsidRDefault="00555A09" w:rsidP="00F031AD">
            <w:pPr>
              <w:spacing w:line="360" w:lineRule="auto"/>
              <w:rPr>
                <w:rFonts w:cstheme="minorHAnsi"/>
                <w:sz w:val="24"/>
                <w:szCs w:val="24"/>
              </w:rPr>
            </w:pPr>
            <w:r>
              <w:rPr>
                <w:rFonts w:ascii="Calibri" w:hAnsi="Calibri" w:cs="Calibri"/>
                <w:color w:val="000000"/>
              </w:rPr>
              <w:t>WT</w:t>
            </w:r>
          </w:p>
        </w:tc>
      </w:tr>
      <w:tr w:rsidR="00555A09" w14:paraId="33522AEF" w14:textId="77777777" w:rsidTr="00F031AD">
        <w:tc>
          <w:tcPr>
            <w:tcW w:w="3116" w:type="dxa"/>
            <w:vAlign w:val="bottom"/>
          </w:tcPr>
          <w:p w14:paraId="44274D22" w14:textId="77777777" w:rsidR="00555A09" w:rsidRDefault="00555A09" w:rsidP="00F031AD">
            <w:pPr>
              <w:spacing w:line="360" w:lineRule="auto"/>
              <w:rPr>
                <w:rFonts w:cstheme="minorHAnsi"/>
                <w:sz w:val="24"/>
                <w:szCs w:val="24"/>
              </w:rPr>
            </w:pPr>
            <w:r>
              <w:rPr>
                <w:rFonts w:ascii="Calibri" w:hAnsi="Calibri" w:cs="Calibri"/>
                <w:color w:val="000000"/>
              </w:rPr>
              <w:t>HLXF-048</w:t>
            </w:r>
          </w:p>
        </w:tc>
        <w:tc>
          <w:tcPr>
            <w:tcW w:w="3117" w:type="dxa"/>
            <w:vAlign w:val="bottom"/>
          </w:tcPr>
          <w:p w14:paraId="32C6E366" w14:textId="77777777" w:rsidR="00555A09" w:rsidRDefault="00555A09" w:rsidP="00F031AD">
            <w:pPr>
              <w:spacing w:line="360" w:lineRule="auto"/>
              <w:rPr>
                <w:rFonts w:cstheme="minorHAnsi"/>
                <w:sz w:val="24"/>
                <w:szCs w:val="24"/>
              </w:rPr>
            </w:pPr>
            <w:r>
              <w:rPr>
                <w:rFonts w:ascii="Calibri" w:hAnsi="Calibri" w:cs="Calibri"/>
                <w:color w:val="000000"/>
              </w:rPr>
              <w:t>2</w:t>
            </w:r>
          </w:p>
        </w:tc>
        <w:tc>
          <w:tcPr>
            <w:tcW w:w="3117" w:type="dxa"/>
            <w:vAlign w:val="bottom"/>
          </w:tcPr>
          <w:p w14:paraId="130EA164" w14:textId="77777777" w:rsidR="00555A09" w:rsidRDefault="00555A09" w:rsidP="00F031AD">
            <w:pPr>
              <w:spacing w:line="360" w:lineRule="auto"/>
              <w:rPr>
                <w:rFonts w:cstheme="minorHAnsi"/>
                <w:sz w:val="24"/>
                <w:szCs w:val="24"/>
              </w:rPr>
            </w:pPr>
            <w:r>
              <w:rPr>
                <w:rFonts w:ascii="Calibri" w:hAnsi="Calibri" w:cs="Calibri"/>
                <w:color w:val="000000"/>
              </w:rPr>
              <w:t>WT</w:t>
            </w:r>
          </w:p>
        </w:tc>
      </w:tr>
      <w:tr w:rsidR="00555A09" w14:paraId="417CBCBA" w14:textId="77777777" w:rsidTr="00F031AD">
        <w:tc>
          <w:tcPr>
            <w:tcW w:w="3116" w:type="dxa"/>
            <w:vAlign w:val="bottom"/>
          </w:tcPr>
          <w:p w14:paraId="7245CFBD" w14:textId="77777777" w:rsidR="00555A09" w:rsidRDefault="00555A09" w:rsidP="00F031AD">
            <w:pPr>
              <w:spacing w:line="360" w:lineRule="auto"/>
              <w:rPr>
                <w:rFonts w:cstheme="minorHAnsi"/>
                <w:sz w:val="24"/>
                <w:szCs w:val="24"/>
              </w:rPr>
            </w:pPr>
            <w:r>
              <w:rPr>
                <w:rFonts w:ascii="Calibri" w:hAnsi="Calibri" w:cs="Calibri"/>
                <w:color w:val="000000"/>
              </w:rPr>
              <w:t>HLXF-093</w:t>
            </w:r>
          </w:p>
        </w:tc>
        <w:tc>
          <w:tcPr>
            <w:tcW w:w="3117" w:type="dxa"/>
            <w:vAlign w:val="bottom"/>
          </w:tcPr>
          <w:p w14:paraId="7B3F7959" w14:textId="77777777" w:rsidR="00555A09" w:rsidRDefault="00555A09" w:rsidP="00F031AD">
            <w:pPr>
              <w:spacing w:line="360" w:lineRule="auto"/>
              <w:rPr>
                <w:rFonts w:cstheme="minorHAnsi"/>
                <w:sz w:val="24"/>
                <w:szCs w:val="24"/>
              </w:rPr>
            </w:pPr>
            <w:r>
              <w:rPr>
                <w:rFonts w:ascii="Calibri" w:hAnsi="Calibri" w:cs="Calibri"/>
                <w:color w:val="000000"/>
              </w:rPr>
              <w:t>2</w:t>
            </w:r>
          </w:p>
        </w:tc>
        <w:tc>
          <w:tcPr>
            <w:tcW w:w="3117" w:type="dxa"/>
            <w:vAlign w:val="bottom"/>
          </w:tcPr>
          <w:p w14:paraId="4D1F368E" w14:textId="77777777" w:rsidR="00555A09" w:rsidRDefault="00555A09" w:rsidP="00F031AD">
            <w:pPr>
              <w:spacing w:line="360" w:lineRule="auto"/>
              <w:rPr>
                <w:rFonts w:cstheme="minorHAnsi"/>
                <w:sz w:val="24"/>
                <w:szCs w:val="24"/>
              </w:rPr>
            </w:pPr>
            <w:r>
              <w:rPr>
                <w:rFonts w:ascii="Calibri" w:hAnsi="Calibri" w:cs="Calibri"/>
                <w:color w:val="000000"/>
              </w:rPr>
              <w:t>WT</w:t>
            </w:r>
          </w:p>
        </w:tc>
      </w:tr>
      <w:tr w:rsidR="00555A09" w14:paraId="35B32867" w14:textId="77777777" w:rsidTr="00F031AD">
        <w:tc>
          <w:tcPr>
            <w:tcW w:w="3116" w:type="dxa"/>
            <w:vAlign w:val="bottom"/>
          </w:tcPr>
          <w:p w14:paraId="69610EEC" w14:textId="77777777" w:rsidR="00555A09" w:rsidRDefault="00555A09" w:rsidP="00F031AD">
            <w:pPr>
              <w:spacing w:line="360" w:lineRule="auto"/>
              <w:rPr>
                <w:rFonts w:cstheme="minorHAnsi"/>
                <w:sz w:val="24"/>
                <w:szCs w:val="24"/>
              </w:rPr>
            </w:pPr>
            <w:r>
              <w:rPr>
                <w:rFonts w:ascii="Calibri" w:hAnsi="Calibri" w:cs="Calibri"/>
                <w:color w:val="000000"/>
              </w:rPr>
              <w:t>HLXF-16</w:t>
            </w:r>
          </w:p>
        </w:tc>
        <w:tc>
          <w:tcPr>
            <w:tcW w:w="3117" w:type="dxa"/>
            <w:vAlign w:val="bottom"/>
          </w:tcPr>
          <w:p w14:paraId="4B866E64" w14:textId="77777777" w:rsidR="00555A09" w:rsidRDefault="00555A09" w:rsidP="00F031AD">
            <w:pPr>
              <w:spacing w:line="360" w:lineRule="auto"/>
              <w:rPr>
                <w:rFonts w:cstheme="minorHAnsi"/>
                <w:sz w:val="24"/>
                <w:szCs w:val="24"/>
              </w:rPr>
            </w:pPr>
            <w:r>
              <w:rPr>
                <w:rFonts w:ascii="Calibri" w:hAnsi="Calibri" w:cs="Calibri"/>
                <w:color w:val="000000"/>
              </w:rPr>
              <w:t>3</w:t>
            </w:r>
          </w:p>
        </w:tc>
        <w:tc>
          <w:tcPr>
            <w:tcW w:w="3117" w:type="dxa"/>
            <w:vAlign w:val="bottom"/>
          </w:tcPr>
          <w:p w14:paraId="7F45D96D" w14:textId="77777777" w:rsidR="00555A09" w:rsidRDefault="00555A09" w:rsidP="00F031AD">
            <w:pPr>
              <w:spacing w:line="360" w:lineRule="auto"/>
              <w:rPr>
                <w:rFonts w:cstheme="minorHAnsi"/>
                <w:sz w:val="24"/>
                <w:szCs w:val="24"/>
              </w:rPr>
            </w:pPr>
            <w:r>
              <w:rPr>
                <w:rFonts w:ascii="Calibri" w:hAnsi="Calibri" w:cs="Calibri"/>
                <w:color w:val="000000"/>
              </w:rPr>
              <w:t>WT</w:t>
            </w:r>
          </w:p>
        </w:tc>
      </w:tr>
      <w:tr w:rsidR="00555A09" w14:paraId="35241F88" w14:textId="77777777" w:rsidTr="00F031AD">
        <w:tc>
          <w:tcPr>
            <w:tcW w:w="3116" w:type="dxa"/>
            <w:vAlign w:val="bottom"/>
          </w:tcPr>
          <w:p w14:paraId="3521D05C" w14:textId="77777777" w:rsidR="00555A09" w:rsidRDefault="00555A09" w:rsidP="00F031AD">
            <w:pPr>
              <w:spacing w:line="360" w:lineRule="auto"/>
              <w:rPr>
                <w:rFonts w:cstheme="minorHAnsi"/>
                <w:sz w:val="24"/>
                <w:szCs w:val="24"/>
              </w:rPr>
            </w:pPr>
            <w:r>
              <w:rPr>
                <w:rFonts w:ascii="Calibri" w:hAnsi="Calibri" w:cs="Calibri"/>
                <w:color w:val="000000"/>
              </w:rPr>
              <w:t>LG0567</w:t>
            </w:r>
          </w:p>
        </w:tc>
        <w:tc>
          <w:tcPr>
            <w:tcW w:w="3117" w:type="dxa"/>
            <w:vAlign w:val="bottom"/>
          </w:tcPr>
          <w:p w14:paraId="6D432433" w14:textId="77777777" w:rsidR="00555A09" w:rsidRDefault="00555A09" w:rsidP="00F031AD">
            <w:pPr>
              <w:spacing w:line="360" w:lineRule="auto"/>
              <w:rPr>
                <w:rFonts w:cstheme="minorHAnsi"/>
                <w:sz w:val="24"/>
                <w:szCs w:val="24"/>
              </w:rPr>
            </w:pPr>
            <w:r>
              <w:rPr>
                <w:rFonts w:ascii="Calibri" w:hAnsi="Calibri" w:cs="Calibri"/>
                <w:color w:val="000000"/>
              </w:rPr>
              <w:t>4</w:t>
            </w:r>
          </w:p>
        </w:tc>
        <w:tc>
          <w:tcPr>
            <w:tcW w:w="3117" w:type="dxa"/>
            <w:vAlign w:val="bottom"/>
          </w:tcPr>
          <w:p w14:paraId="43D09D02" w14:textId="77777777" w:rsidR="00555A09" w:rsidRDefault="00555A09" w:rsidP="00F031AD">
            <w:pPr>
              <w:spacing w:line="360" w:lineRule="auto"/>
              <w:rPr>
                <w:rFonts w:cstheme="minorHAnsi"/>
                <w:sz w:val="24"/>
                <w:szCs w:val="24"/>
              </w:rPr>
            </w:pPr>
            <w:r>
              <w:rPr>
                <w:rFonts w:ascii="Calibri" w:hAnsi="Calibri" w:cs="Calibri"/>
                <w:color w:val="000000"/>
              </w:rPr>
              <w:t>WT</w:t>
            </w:r>
          </w:p>
        </w:tc>
      </w:tr>
    </w:tbl>
    <w:p w14:paraId="45DA7B06" w14:textId="77777777" w:rsidR="00555A09" w:rsidRDefault="00555A09" w:rsidP="00555A09">
      <w:pPr>
        <w:spacing w:line="360" w:lineRule="auto"/>
        <w:rPr>
          <w:rFonts w:cstheme="minorHAnsi"/>
          <w:sz w:val="24"/>
          <w:szCs w:val="24"/>
        </w:rPr>
      </w:pPr>
    </w:p>
    <w:p w14:paraId="69AE6E1E" w14:textId="77777777" w:rsidR="00555A09" w:rsidRPr="00225AD5" w:rsidRDefault="00555A09" w:rsidP="00555A09">
      <w:pPr>
        <w:pStyle w:val="Paragraph"/>
        <w:spacing w:after="160" w:line="360" w:lineRule="auto"/>
        <w:rPr>
          <w:rFonts w:asciiTheme="minorHAnsi" w:hAnsiTheme="minorHAnsi" w:cstheme="minorBidi"/>
          <w:b/>
          <w:bCs/>
        </w:rPr>
      </w:pPr>
      <w:r w:rsidRPr="00225AD5">
        <w:rPr>
          <w:rFonts w:asciiTheme="minorHAnsi" w:hAnsiTheme="minorHAnsi" w:cstheme="minorBidi"/>
          <w:b/>
          <w:bCs/>
        </w:rPr>
        <w:t xml:space="preserve">Flow cytometry </w:t>
      </w:r>
      <w:r w:rsidRPr="00225AD5">
        <w:rPr>
          <w:rFonts w:ascii="Calibri" w:eastAsia="Calibri" w:hAnsi="Calibri" w:cs="Calibri"/>
          <w:b/>
          <w:bCs/>
        </w:rPr>
        <w:t>of mouse tumor models</w:t>
      </w:r>
    </w:p>
    <w:p w14:paraId="63C3660A" w14:textId="77777777" w:rsidR="00555A09" w:rsidRDefault="00555A09" w:rsidP="00555A09">
      <w:pPr>
        <w:pStyle w:val="Paragraph"/>
        <w:spacing w:after="160" w:line="360" w:lineRule="auto"/>
        <w:rPr>
          <w:rFonts w:asciiTheme="minorHAnsi" w:hAnsiTheme="minorHAnsi" w:cstheme="minorHAnsi"/>
        </w:rPr>
      </w:pPr>
      <w:r w:rsidRPr="00225AD5">
        <w:rPr>
          <w:rFonts w:asciiTheme="minorHAnsi" w:hAnsiTheme="minorHAnsi" w:cstheme="minorHAnsi"/>
        </w:rPr>
        <w:t>Tumor</w:t>
      </w:r>
      <w:r>
        <w:rPr>
          <w:rFonts w:asciiTheme="minorHAnsi" w:hAnsiTheme="minorHAnsi" w:cstheme="minorHAnsi"/>
        </w:rPr>
        <w:t xml:space="preserve"> sample for flow cytometry</w:t>
      </w:r>
      <w:r w:rsidRPr="00225AD5">
        <w:rPr>
          <w:rFonts w:asciiTheme="minorHAnsi" w:hAnsiTheme="minorHAnsi" w:cstheme="minorHAnsi"/>
        </w:rPr>
        <w:t xml:space="preserve"> were digested with a mix of collagenase and other enzymes and dissociated using a </w:t>
      </w:r>
      <w:proofErr w:type="spellStart"/>
      <w:r w:rsidRPr="00225AD5">
        <w:rPr>
          <w:rFonts w:asciiTheme="minorHAnsi" w:hAnsiTheme="minorHAnsi" w:cstheme="minorHAnsi"/>
        </w:rPr>
        <w:t>Miltenyi</w:t>
      </w:r>
      <w:proofErr w:type="spellEnd"/>
      <w:r w:rsidRPr="00225AD5">
        <w:rPr>
          <w:rFonts w:asciiTheme="minorHAnsi" w:hAnsiTheme="minorHAnsi" w:cstheme="minorHAnsi"/>
        </w:rPr>
        <w:t xml:space="preserve"> </w:t>
      </w:r>
      <w:proofErr w:type="spellStart"/>
      <w:r w:rsidRPr="00225AD5">
        <w:rPr>
          <w:rFonts w:asciiTheme="minorHAnsi" w:hAnsiTheme="minorHAnsi" w:cstheme="minorHAnsi"/>
        </w:rPr>
        <w:t>GentleMacs</w:t>
      </w:r>
      <w:proofErr w:type="spellEnd"/>
      <w:r w:rsidRPr="00225AD5">
        <w:rPr>
          <w:rFonts w:asciiTheme="minorHAnsi" w:hAnsiTheme="minorHAnsi" w:cstheme="minorHAnsi"/>
        </w:rPr>
        <w:t xml:space="preserve">™ </w:t>
      </w:r>
      <w:proofErr w:type="spellStart"/>
      <w:r w:rsidRPr="00225AD5">
        <w:rPr>
          <w:rFonts w:asciiTheme="minorHAnsi" w:hAnsiTheme="minorHAnsi" w:cstheme="minorHAnsi"/>
        </w:rPr>
        <w:t>Dissociator</w:t>
      </w:r>
      <w:proofErr w:type="spellEnd"/>
      <w:r w:rsidRPr="00225AD5">
        <w:rPr>
          <w:rFonts w:asciiTheme="minorHAnsi" w:hAnsiTheme="minorHAnsi" w:cstheme="minorHAnsi"/>
        </w:rPr>
        <w:t>; spleens were dissociated using mechanical means; TDLNs were digested using a mix of collagenase and other enzymes then heat. Red cell lysis was performed using ACK lysing buffer (Thermo Fisher</w:t>
      </w:r>
      <w:r>
        <w:rPr>
          <w:rFonts w:asciiTheme="minorHAnsi" w:hAnsiTheme="minorHAnsi" w:cstheme="minorHAnsi"/>
        </w:rPr>
        <w:t xml:space="preserve"> Scientific</w:t>
      </w:r>
      <w:r w:rsidRPr="00225AD5">
        <w:rPr>
          <w:rFonts w:asciiTheme="minorHAnsi" w:hAnsiTheme="minorHAnsi" w:cstheme="minorHAnsi"/>
        </w:rPr>
        <w:t>) on single-cell suspensions of spleen cells. One million viable cells were plated into individual wells of 96-well u bottom plates. Cells were incubated with fixable blue live/dead dye (Thermo Fisher Scientific) and Fc receptors were blocked using purified anti-mouse CD16/CD32 in flow cytometry buffer (PBS plus 2% fetal bovine serum). Flow antibodies binding to extracellular markers were added and incubated at 4</w:t>
      </w:r>
      <w:r w:rsidRPr="00225AD5">
        <w:rPr>
          <w:rFonts w:asciiTheme="minorHAnsi" w:eastAsia="Symbol" w:hAnsiTheme="minorHAnsi" w:cstheme="minorHAnsi"/>
        </w:rPr>
        <w:t>°</w:t>
      </w:r>
      <w:r w:rsidRPr="00225AD5">
        <w:rPr>
          <w:rFonts w:asciiTheme="minorHAnsi" w:hAnsiTheme="minorHAnsi" w:cstheme="minorHAnsi"/>
        </w:rPr>
        <w:t>C for 20 minutes followed by washes in flow cytometry buffer. Cells were then fixed and permeabilized in 1X fix/perm solution (</w:t>
      </w:r>
      <w:proofErr w:type="spellStart"/>
      <w:r w:rsidRPr="00225AD5">
        <w:rPr>
          <w:rFonts w:asciiTheme="minorHAnsi" w:hAnsiTheme="minorHAnsi" w:cstheme="minorHAnsi"/>
        </w:rPr>
        <w:t>EBioscience</w:t>
      </w:r>
      <w:proofErr w:type="spellEnd"/>
      <w:r w:rsidRPr="00225AD5">
        <w:rPr>
          <w:rFonts w:asciiTheme="minorHAnsi" w:hAnsiTheme="minorHAnsi" w:cstheme="minorHAnsi"/>
        </w:rPr>
        <w:t>) for 30 minutes at 4</w:t>
      </w:r>
      <w:r w:rsidRPr="00225AD5">
        <w:rPr>
          <w:rFonts w:asciiTheme="minorHAnsi" w:eastAsia="Symbol" w:hAnsiTheme="minorHAnsi" w:cstheme="minorHAnsi"/>
        </w:rPr>
        <w:t>°</w:t>
      </w:r>
      <w:r w:rsidRPr="00225AD5">
        <w:rPr>
          <w:rFonts w:asciiTheme="minorHAnsi" w:hAnsiTheme="minorHAnsi" w:cstheme="minorHAnsi"/>
        </w:rPr>
        <w:t>C followed by two washes with 1x permeabilization buffer (</w:t>
      </w:r>
      <w:proofErr w:type="spellStart"/>
      <w:r w:rsidRPr="00225AD5">
        <w:rPr>
          <w:rFonts w:asciiTheme="minorHAnsi" w:hAnsiTheme="minorHAnsi" w:cstheme="minorHAnsi"/>
        </w:rPr>
        <w:t>EBioscience</w:t>
      </w:r>
      <w:proofErr w:type="spellEnd"/>
      <w:r w:rsidRPr="00225AD5">
        <w:rPr>
          <w:rFonts w:asciiTheme="minorHAnsi" w:hAnsiTheme="minorHAnsi" w:cstheme="minorHAnsi"/>
        </w:rPr>
        <w:t xml:space="preserve">). Cells were then stained for intracellular markers using ICS flow antibodies for 30 minutes at room temperature. Cells were subsequently washed with permeabilization buffer and analyzed using a Symphony Flow Cytometer (BD </w:t>
      </w:r>
      <w:r w:rsidRPr="00225AD5">
        <w:rPr>
          <w:rFonts w:asciiTheme="minorHAnsi" w:hAnsiTheme="minorHAnsi" w:cstheme="minorHAnsi"/>
        </w:rPr>
        <w:lastRenderedPageBreak/>
        <w:t xml:space="preserve">Biosciences, Franklin Lakes, NJ) and flow cytometry standard (fcs) data analyzed using </w:t>
      </w:r>
      <w:proofErr w:type="spellStart"/>
      <w:r w:rsidRPr="00225AD5">
        <w:rPr>
          <w:rFonts w:asciiTheme="minorHAnsi" w:hAnsiTheme="minorHAnsi" w:cstheme="minorHAnsi"/>
        </w:rPr>
        <w:t>FlowJo</w:t>
      </w:r>
      <w:proofErr w:type="spellEnd"/>
      <w:r w:rsidRPr="00225AD5">
        <w:rPr>
          <w:rFonts w:asciiTheme="minorHAnsi" w:hAnsiTheme="minorHAnsi" w:cstheme="minorHAnsi"/>
        </w:rPr>
        <w:t xml:space="preserve">™ software (BD Biosciences, San Jose, CA). </w:t>
      </w:r>
    </w:p>
    <w:p w14:paraId="5A2E721C" w14:textId="77777777" w:rsidR="00555A09" w:rsidRPr="00225AD5" w:rsidRDefault="00555A09" w:rsidP="00555A09">
      <w:pPr>
        <w:pStyle w:val="Paragraph"/>
        <w:spacing w:after="160" w:line="360" w:lineRule="auto"/>
        <w:rPr>
          <w:rFonts w:asciiTheme="minorHAnsi" w:hAnsiTheme="minorHAnsi" w:cstheme="minorHAnsi"/>
        </w:rPr>
      </w:pPr>
    </w:p>
    <w:p w14:paraId="42DC8C44" w14:textId="77777777" w:rsidR="00555A09" w:rsidRPr="00D973D7" w:rsidRDefault="00555A09" w:rsidP="00555A09">
      <w:pPr>
        <w:spacing w:line="360" w:lineRule="auto"/>
        <w:rPr>
          <w:rFonts w:cstheme="minorHAnsi"/>
          <w:sz w:val="24"/>
          <w:szCs w:val="24"/>
        </w:rPr>
      </w:pPr>
      <w:r w:rsidRPr="00D973D7">
        <w:rPr>
          <w:rFonts w:cstheme="minorHAnsi"/>
          <w:sz w:val="24"/>
          <w:szCs w:val="24"/>
        </w:rPr>
        <w:t xml:space="preserve">Antibodies used for flow cytometry analysis included: </w:t>
      </w:r>
    </w:p>
    <w:p w14:paraId="21FDDC5B" w14:textId="0F7CA04C" w:rsidR="00555A09" w:rsidRPr="00A53CCC" w:rsidRDefault="0C994817" w:rsidP="7DCEA204">
      <w:pPr>
        <w:spacing w:line="360" w:lineRule="auto"/>
        <w:rPr>
          <w:sz w:val="24"/>
          <w:szCs w:val="24"/>
        </w:rPr>
      </w:pPr>
      <w:r w:rsidRPr="7DCEA204">
        <w:rPr>
          <w:sz w:val="24"/>
          <w:szCs w:val="24"/>
        </w:rPr>
        <w:t xml:space="preserve">From </w:t>
      </w:r>
      <w:proofErr w:type="spellStart"/>
      <w:r w:rsidRPr="7DCEA204">
        <w:rPr>
          <w:sz w:val="24"/>
          <w:szCs w:val="24"/>
        </w:rPr>
        <w:t>BioLegend</w:t>
      </w:r>
      <w:proofErr w:type="spellEnd"/>
      <w:r w:rsidRPr="7DCEA204">
        <w:rPr>
          <w:sz w:val="24"/>
          <w:szCs w:val="24"/>
        </w:rPr>
        <w:t xml:space="preserve"> (San Diego, CA): CD64 </w:t>
      </w:r>
      <w:proofErr w:type="spellStart"/>
      <w:r w:rsidRPr="7DCEA204">
        <w:rPr>
          <w:sz w:val="24"/>
          <w:szCs w:val="24"/>
        </w:rPr>
        <w:t>Fitc</w:t>
      </w:r>
      <w:proofErr w:type="spellEnd"/>
      <w:r w:rsidRPr="7DCEA204">
        <w:rPr>
          <w:sz w:val="24"/>
          <w:szCs w:val="24"/>
        </w:rPr>
        <w:t xml:space="preserve"> clone X54-5/7.1</w:t>
      </w:r>
      <w:r w:rsidR="5DFEF4C7" w:rsidRPr="7DCEA204">
        <w:rPr>
          <w:sz w:val="24"/>
          <w:szCs w:val="24"/>
        </w:rPr>
        <w:t xml:space="preserve"> (RRID:AB_2566555)</w:t>
      </w:r>
      <w:r w:rsidRPr="7DCEA204">
        <w:rPr>
          <w:sz w:val="24"/>
          <w:szCs w:val="24"/>
        </w:rPr>
        <w:t>, MHCII PeCy7 clone M5/114-15.2</w:t>
      </w:r>
      <w:r w:rsidR="470A7C30" w:rsidRPr="7DCEA204">
        <w:rPr>
          <w:sz w:val="24"/>
          <w:szCs w:val="24"/>
        </w:rPr>
        <w:t xml:space="preserve"> (RRID: AB_2290801)</w:t>
      </w:r>
      <w:r w:rsidRPr="7DCEA204">
        <w:rPr>
          <w:sz w:val="24"/>
          <w:szCs w:val="24"/>
        </w:rPr>
        <w:t>, CD11C BV421 clone BM8</w:t>
      </w:r>
      <w:r w:rsidR="7C77E420" w:rsidRPr="7DCEA204">
        <w:rPr>
          <w:sz w:val="24"/>
          <w:szCs w:val="24"/>
        </w:rPr>
        <w:t xml:space="preserve"> (</w:t>
      </w:r>
      <w:r w:rsidR="00555A09">
        <w:br/>
      </w:r>
      <w:r w:rsidR="7C77E420" w:rsidRPr="00594A09">
        <w:rPr>
          <w:rFonts w:ascii="Calibri" w:eastAsia="Calibri" w:hAnsi="Calibri" w:cs="Calibri"/>
          <w:color w:val="000000" w:themeColor="text1"/>
          <w:sz w:val="24"/>
          <w:szCs w:val="24"/>
        </w:rPr>
        <w:t>AB_10897814</w:t>
      </w:r>
      <w:r w:rsidR="7C77E420" w:rsidRPr="7DCEA204">
        <w:rPr>
          <w:rFonts w:ascii="Calibri" w:eastAsia="Calibri" w:hAnsi="Calibri" w:cs="Calibri"/>
          <w:color w:val="000000" w:themeColor="text1"/>
          <w:sz w:val="21"/>
          <w:szCs w:val="21"/>
        </w:rPr>
        <w:t>)</w:t>
      </w:r>
      <w:r w:rsidRPr="7DCEA204">
        <w:rPr>
          <w:sz w:val="24"/>
          <w:szCs w:val="24"/>
        </w:rPr>
        <w:t>, CD86 APC clone GL1</w:t>
      </w:r>
      <w:r w:rsidR="68AC2574" w:rsidRPr="7DCEA204">
        <w:rPr>
          <w:sz w:val="24"/>
          <w:szCs w:val="24"/>
        </w:rPr>
        <w:t xml:space="preserve"> (</w:t>
      </w:r>
      <w:r w:rsidR="6018184C" w:rsidRPr="7DCEA204">
        <w:rPr>
          <w:sz w:val="24"/>
          <w:szCs w:val="24"/>
        </w:rPr>
        <w:t>RRID:</w:t>
      </w:r>
      <w:r w:rsidR="6018184C" w:rsidRPr="00594A09">
        <w:rPr>
          <w:rFonts w:ascii="Calibri" w:eastAsia="Calibri" w:hAnsi="Calibri" w:cs="Calibri"/>
          <w:color w:val="000000" w:themeColor="text1"/>
          <w:sz w:val="24"/>
          <w:szCs w:val="24"/>
        </w:rPr>
        <w:t>AB_493343)</w:t>
      </w:r>
      <w:r w:rsidRPr="7DCEA204">
        <w:rPr>
          <w:sz w:val="24"/>
          <w:szCs w:val="24"/>
        </w:rPr>
        <w:t>, CD11B BV650 clone M1/70</w:t>
      </w:r>
      <w:r w:rsidR="622D10B7" w:rsidRPr="7DCEA204">
        <w:rPr>
          <w:sz w:val="24"/>
          <w:szCs w:val="24"/>
        </w:rPr>
        <w:t xml:space="preserve"> </w:t>
      </w:r>
      <w:r w:rsidR="33744D7E" w:rsidRPr="7DCEA204">
        <w:rPr>
          <w:sz w:val="24"/>
          <w:szCs w:val="24"/>
        </w:rPr>
        <w:t>(RRID:AB_11125575)</w:t>
      </w:r>
      <w:r w:rsidRPr="7DCEA204">
        <w:rPr>
          <w:sz w:val="24"/>
          <w:szCs w:val="24"/>
        </w:rPr>
        <w:t>, Ly6C BV711 clone HK1.4</w:t>
      </w:r>
      <w:r w:rsidR="57ECE499" w:rsidRPr="7DCEA204">
        <w:rPr>
          <w:sz w:val="24"/>
          <w:szCs w:val="24"/>
        </w:rPr>
        <w:t xml:space="preserve"> (RRID:AB_2562630)</w:t>
      </w:r>
      <w:r w:rsidRPr="7DCEA204">
        <w:rPr>
          <w:sz w:val="24"/>
          <w:szCs w:val="24"/>
        </w:rPr>
        <w:t>, CD45 BV785 clone 30-F11</w:t>
      </w:r>
      <w:r w:rsidR="7D211DFD" w:rsidRPr="7DCEA204">
        <w:rPr>
          <w:sz w:val="24"/>
          <w:szCs w:val="24"/>
        </w:rPr>
        <w:t xml:space="preserve"> (</w:t>
      </w:r>
      <w:r w:rsidR="268A23D5" w:rsidRPr="7DCEA204">
        <w:rPr>
          <w:sz w:val="24"/>
          <w:szCs w:val="24"/>
        </w:rPr>
        <w:t>RRID:AB_2564590)</w:t>
      </w:r>
      <w:r w:rsidRPr="7DCEA204">
        <w:rPr>
          <w:sz w:val="24"/>
          <w:szCs w:val="24"/>
        </w:rPr>
        <w:t>, PD</w:t>
      </w:r>
      <w:r w:rsidR="76A1CFD4" w:rsidRPr="7DCEA204">
        <w:rPr>
          <w:sz w:val="24"/>
          <w:szCs w:val="24"/>
        </w:rPr>
        <w:t>-</w:t>
      </w:r>
      <w:r w:rsidRPr="7DCEA204">
        <w:rPr>
          <w:sz w:val="24"/>
          <w:szCs w:val="24"/>
        </w:rPr>
        <w:t>L1 BV605 clone 10F9G2</w:t>
      </w:r>
      <w:r w:rsidR="5CD24003" w:rsidRPr="7DCEA204">
        <w:rPr>
          <w:sz w:val="24"/>
          <w:szCs w:val="24"/>
        </w:rPr>
        <w:t xml:space="preserve"> (</w:t>
      </w:r>
      <w:r w:rsidR="0FEEA1E6" w:rsidRPr="7DCEA204">
        <w:rPr>
          <w:sz w:val="24"/>
          <w:szCs w:val="24"/>
        </w:rPr>
        <w:t>RRID:</w:t>
      </w:r>
      <w:r w:rsidR="5CD24003" w:rsidRPr="00594A09">
        <w:rPr>
          <w:rFonts w:ascii="Calibri" w:eastAsia="Calibri" w:hAnsi="Calibri" w:cs="Calibri"/>
          <w:color w:val="000000" w:themeColor="text1"/>
          <w:sz w:val="24"/>
          <w:szCs w:val="24"/>
        </w:rPr>
        <w:t>AB_2563635)</w:t>
      </w:r>
      <w:r w:rsidRPr="7DCEA204">
        <w:rPr>
          <w:sz w:val="24"/>
          <w:szCs w:val="24"/>
        </w:rPr>
        <w:t>, CD25 Per</w:t>
      </w:r>
      <w:r w:rsidR="664E507B" w:rsidRPr="7DCEA204">
        <w:rPr>
          <w:sz w:val="24"/>
          <w:szCs w:val="24"/>
        </w:rPr>
        <w:t>CP</w:t>
      </w:r>
      <w:r w:rsidRPr="7DCEA204">
        <w:rPr>
          <w:sz w:val="24"/>
          <w:szCs w:val="24"/>
        </w:rPr>
        <w:t>cy5.5 clone PC61</w:t>
      </w:r>
      <w:r w:rsidR="1FF3F4DC" w:rsidRPr="7DCEA204">
        <w:rPr>
          <w:sz w:val="24"/>
          <w:szCs w:val="24"/>
        </w:rPr>
        <w:t xml:space="preserve"> (</w:t>
      </w:r>
      <w:r w:rsidR="07F72D2B" w:rsidRPr="7DCEA204">
        <w:rPr>
          <w:sz w:val="24"/>
          <w:szCs w:val="24"/>
        </w:rPr>
        <w:t>RRID:</w:t>
      </w:r>
      <w:r w:rsidR="1FF3F4DC" w:rsidRPr="7DCEA204">
        <w:rPr>
          <w:sz w:val="24"/>
          <w:szCs w:val="24"/>
        </w:rPr>
        <w:t>AB_893291)</w:t>
      </w:r>
      <w:r w:rsidRPr="7DCEA204">
        <w:rPr>
          <w:sz w:val="24"/>
          <w:szCs w:val="24"/>
        </w:rPr>
        <w:t xml:space="preserve"> and CD69 PE clone H1.2F3</w:t>
      </w:r>
      <w:r w:rsidR="5E018004" w:rsidRPr="7DCEA204">
        <w:rPr>
          <w:sz w:val="24"/>
          <w:szCs w:val="24"/>
        </w:rPr>
        <w:t xml:space="preserve"> (RRID:AB_313110)</w:t>
      </w:r>
      <w:r w:rsidRPr="7DCEA204">
        <w:rPr>
          <w:sz w:val="24"/>
          <w:szCs w:val="24"/>
        </w:rPr>
        <w:t>.</w:t>
      </w:r>
    </w:p>
    <w:p w14:paraId="22FB45C2" w14:textId="77777777" w:rsidR="00555A09" w:rsidRPr="00A53CCC" w:rsidRDefault="00555A09" w:rsidP="00555A09">
      <w:pPr>
        <w:spacing w:line="360" w:lineRule="auto"/>
        <w:rPr>
          <w:rFonts w:cstheme="minorHAnsi"/>
          <w:sz w:val="24"/>
          <w:szCs w:val="24"/>
        </w:rPr>
      </w:pPr>
      <w:r w:rsidRPr="00A53CCC">
        <w:rPr>
          <w:rFonts w:cstheme="minorHAnsi"/>
          <w:sz w:val="24"/>
          <w:szCs w:val="24"/>
        </w:rPr>
        <w:t>From Becton Dickinson (Franklin Lakes, NJ): Ly6G BUV395 clone 1A8, B220 BUV661 clone RA36B2, CD24 BUV737 clone MI69, NKP46 BV480 clone 29A1.4, CD4 BUV395 GK1.5,</w:t>
      </w:r>
      <w:r>
        <w:rPr>
          <w:rFonts w:cstheme="minorHAnsi"/>
          <w:sz w:val="24"/>
          <w:szCs w:val="24"/>
        </w:rPr>
        <w:t xml:space="preserve"> </w:t>
      </w:r>
      <w:r w:rsidRPr="00A53CCC">
        <w:rPr>
          <w:rFonts w:cstheme="minorHAnsi"/>
          <w:sz w:val="24"/>
          <w:szCs w:val="24"/>
        </w:rPr>
        <w:t xml:space="preserve">CD8 BUV737 clone 53-6.7, Granzyme b BV421 clone GB11 CD3 BV605 clone 17A2, and </w:t>
      </w:r>
      <w:proofErr w:type="spellStart"/>
      <w:r w:rsidRPr="00A53CCC">
        <w:rPr>
          <w:rFonts w:cstheme="minorHAnsi"/>
          <w:sz w:val="24"/>
          <w:szCs w:val="24"/>
        </w:rPr>
        <w:t>IFNg</w:t>
      </w:r>
      <w:proofErr w:type="spellEnd"/>
      <w:r w:rsidRPr="00A53CCC">
        <w:rPr>
          <w:rFonts w:cstheme="minorHAnsi"/>
          <w:sz w:val="24"/>
          <w:szCs w:val="24"/>
        </w:rPr>
        <w:t xml:space="preserve"> BV711 clone XMG1.2. </w:t>
      </w:r>
    </w:p>
    <w:p w14:paraId="1CAFEDE2" w14:textId="10CA541B" w:rsidR="00555A09" w:rsidRPr="0024354B" w:rsidRDefault="0C994817" w:rsidP="7DCEA204">
      <w:pPr>
        <w:spacing w:line="360" w:lineRule="auto"/>
        <w:rPr>
          <w:sz w:val="24"/>
          <w:szCs w:val="24"/>
        </w:rPr>
      </w:pPr>
      <w:r w:rsidRPr="7DCEA204">
        <w:rPr>
          <w:sz w:val="24"/>
          <w:szCs w:val="24"/>
        </w:rPr>
        <w:t>From R&amp;D Systems (Minneapolis, MN): Arg1 PE sheep polyclonal</w:t>
      </w:r>
      <w:r w:rsidR="4674C0B5" w:rsidRPr="7DCEA204">
        <w:rPr>
          <w:sz w:val="24"/>
          <w:szCs w:val="24"/>
        </w:rPr>
        <w:t xml:space="preserve"> (</w:t>
      </w:r>
      <w:r w:rsidR="4674C0B5" w:rsidRPr="7DCEA204">
        <w:rPr>
          <w:rFonts w:ascii="Calibri" w:eastAsia="Calibri" w:hAnsi="Calibri" w:cs="Calibri"/>
          <w:sz w:val="24"/>
          <w:szCs w:val="24"/>
        </w:rPr>
        <w:t>RRID:AB_10718118)</w:t>
      </w:r>
      <w:r w:rsidRPr="7DCEA204">
        <w:rPr>
          <w:sz w:val="24"/>
          <w:szCs w:val="24"/>
        </w:rPr>
        <w:t>.</w:t>
      </w:r>
    </w:p>
    <w:p w14:paraId="2445B8BE" w14:textId="7B5CF56C" w:rsidR="00555A09" w:rsidRPr="00225AD5" w:rsidRDefault="0C994817" w:rsidP="7DCEA204">
      <w:pPr>
        <w:spacing w:line="360" w:lineRule="auto"/>
      </w:pPr>
      <w:r w:rsidRPr="7DCEA204">
        <w:rPr>
          <w:sz w:val="24"/>
          <w:szCs w:val="24"/>
        </w:rPr>
        <w:t xml:space="preserve">From Thermo Fisher Scientific (Waltham, MA): CD103 </w:t>
      </w:r>
      <w:proofErr w:type="spellStart"/>
      <w:r w:rsidRPr="7DCEA204">
        <w:rPr>
          <w:sz w:val="24"/>
          <w:szCs w:val="24"/>
        </w:rPr>
        <w:t>Per</w:t>
      </w:r>
      <w:r w:rsidR="04BA1023" w:rsidRPr="7DCEA204">
        <w:rPr>
          <w:sz w:val="24"/>
          <w:szCs w:val="24"/>
        </w:rPr>
        <w:t>CP</w:t>
      </w:r>
      <w:proofErr w:type="spellEnd"/>
      <w:r w:rsidR="0FFE6826" w:rsidRPr="7DCEA204">
        <w:rPr>
          <w:sz w:val="24"/>
          <w:szCs w:val="24"/>
        </w:rPr>
        <w:t xml:space="preserve"> </w:t>
      </w:r>
      <w:r w:rsidRPr="7DCEA204">
        <w:rPr>
          <w:sz w:val="24"/>
          <w:szCs w:val="24"/>
        </w:rPr>
        <w:t>cy5.5 clone 2e7</w:t>
      </w:r>
      <w:r w:rsidR="7C529A3F" w:rsidRPr="7DCEA204">
        <w:rPr>
          <w:sz w:val="24"/>
          <w:szCs w:val="24"/>
        </w:rPr>
        <w:t xml:space="preserve"> (RRID:AB_1574957)</w:t>
      </w:r>
      <w:r w:rsidRPr="7DCEA204">
        <w:rPr>
          <w:sz w:val="24"/>
          <w:szCs w:val="24"/>
        </w:rPr>
        <w:t>, INOS APC780 clone CXNFT</w:t>
      </w:r>
      <w:r w:rsidR="1BFEF3C1" w:rsidRPr="7DCEA204">
        <w:rPr>
          <w:sz w:val="24"/>
          <w:szCs w:val="24"/>
        </w:rPr>
        <w:t xml:space="preserve"> (RRID:</w:t>
      </w:r>
      <w:r w:rsidR="1BFEF3C1" w:rsidRPr="00594A09">
        <w:rPr>
          <w:rFonts w:ascii="Calibri" w:eastAsia="Calibri" w:hAnsi="Calibri" w:cs="Calibri"/>
          <w:color w:val="222222"/>
          <w:sz w:val="24"/>
          <w:szCs w:val="24"/>
        </w:rPr>
        <w:t>AB_2716962</w:t>
      </w:r>
      <w:r w:rsidR="1BFEF3C1" w:rsidRPr="7DCEA204">
        <w:rPr>
          <w:rFonts w:ascii="Calibri" w:eastAsia="Calibri" w:hAnsi="Calibri" w:cs="Calibri"/>
          <w:color w:val="222222"/>
          <w:sz w:val="21"/>
          <w:szCs w:val="21"/>
        </w:rPr>
        <w:t>)</w:t>
      </w:r>
      <w:r w:rsidRPr="7DCEA204">
        <w:rPr>
          <w:sz w:val="24"/>
          <w:szCs w:val="24"/>
        </w:rPr>
        <w:t xml:space="preserve">, Fixable blue, LIVE/DEAD, </w:t>
      </w:r>
      <w:proofErr w:type="spellStart"/>
      <w:r w:rsidRPr="7DCEA204">
        <w:rPr>
          <w:sz w:val="24"/>
          <w:szCs w:val="24"/>
        </w:rPr>
        <w:t>TNFa</w:t>
      </w:r>
      <w:proofErr w:type="spellEnd"/>
      <w:r w:rsidRPr="7DCEA204">
        <w:rPr>
          <w:sz w:val="24"/>
          <w:szCs w:val="24"/>
        </w:rPr>
        <w:t xml:space="preserve"> AF488 clone MP6-XT22</w:t>
      </w:r>
      <w:r w:rsidR="7335CE3E" w:rsidRPr="7DCEA204">
        <w:rPr>
          <w:sz w:val="24"/>
          <w:szCs w:val="24"/>
        </w:rPr>
        <w:t xml:space="preserve"> (RRID:AB_469936)</w:t>
      </w:r>
      <w:r w:rsidRPr="7DCEA204">
        <w:rPr>
          <w:sz w:val="24"/>
          <w:szCs w:val="24"/>
        </w:rPr>
        <w:t>, Ki67 Pecy7 clone SolA15</w:t>
      </w:r>
      <w:r w:rsidR="6D5369FC" w:rsidRPr="7DCEA204">
        <w:rPr>
          <w:sz w:val="24"/>
          <w:szCs w:val="24"/>
        </w:rPr>
        <w:t xml:space="preserve"> (RRID:</w:t>
      </w:r>
      <w:r w:rsidR="6D5369FC" w:rsidRPr="00594A09">
        <w:rPr>
          <w:rFonts w:ascii="Calibri" w:eastAsia="Calibri" w:hAnsi="Calibri" w:cs="Calibri"/>
          <w:color w:val="222222"/>
          <w:sz w:val="24"/>
          <w:szCs w:val="24"/>
        </w:rPr>
        <w:t>AB_11220070)</w:t>
      </w:r>
      <w:r w:rsidRPr="7DCEA204">
        <w:rPr>
          <w:sz w:val="24"/>
          <w:szCs w:val="24"/>
        </w:rPr>
        <w:t xml:space="preserve"> and FoxP3 APC clone FJK-16</w:t>
      </w:r>
      <w:r w:rsidR="31DAB370" w:rsidRPr="7DCEA204">
        <w:rPr>
          <w:sz w:val="24"/>
          <w:szCs w:val="24"/>
        </w:rPr>
        <w:t>S (RRID:AB_469457)</w:t>
      </w:r>
      <w:r w:rsidRPr="7DCEA204">
        <w:rPr>
          <w:sz w:val="24"/>
          <w:szCs w:val="24"/>
        </w:rPr>
        <w:t>.</w:t>
      </w:r>
    </w:p>
    <w:p w14:paraId="21CD08FF" w14:textId="77777777" w:rsidR="00555A09" w:rsidRPr="00225AD5" w:rsidRDefault="00555A09" w:rsidP="00555A09">
      <w:pPr>
        <w:spacing w:line="360" w:lineRule="auto"/>
        <w:rPr>
          <w:b/>
          <w:bCs/>
          <w:sz w:val="24"/>
          <w:szCs w:val="24"/>
        </w:rPr>
      </w:pPr>
      <w:r w:rsidRPr="00225AD5">
        <w:rPr>
          <w:b/>
          <w:bCs/>
          <w:sz w:val="24"/>
          <w:szCs w:val="24"/>
        </w:rPr>
        <w:t xml:space="preserve">IHC </w:t>
      </w:r>
      <w:r>
        <w:rPr>
          <w:b/>
          <w:bCs/>
          <w:sz w:val="24"/>
          <w:szCs w:val="24"/>
        </w:rPr>
        <w:t xml:space="preserve">and IF </w:t>
      </w:r>
      <w:r w:rsidRPr="00225AD5">
        <w:rPr>
          <w:b/>
          <w:bCs/>
          <w:sz w:val="24"/>
          <w:szCs w:val="24"/>
        </w:rPr>
        <w:t xml:space="preserve">assay on mouse tumors models </w:t>
      </w:r>
    </w:p>
    <w:p w14:paraId="51DEEC69" w14:textId="21675013" w:rsidR="00555A09" w:rsidRPr="00225AD5" w:rsidRDefault="0C994817" w:rsidP="7DCEA204">
      <w:pPr>
        <w:spacing w:line="360" w:lineRule="auto"/>
        <w:rPr>
          <w:sz w:val="24"/>
          <w:szCs w:val="24"/>
        </w:rPr>
      </w:pPr>
      <w:r w:rsidRPr="7DCEA204">
        <w:rPr>
          <w:sz w:val="24"/>
          <w:szCs w:val="24"/>
        </w:rPr>
        <w:t xml:space="preserve">Anti-mouse CD8, CD4, and FOXP3 rat monoclonal antibodies used in IHC were obtained from </w:t>
      </w:r>
      <w:proofErr w:type="spellStart"/>
      <w:r w:rsidRPr="7DCEA204">
        <w:rPr>
          <w:sz w:val="24"/>
          <w:szCs w:val="24"/>
        </w:rPr>
        <w:t>eBioscience</w:t>
      </w:r>
      <w:proofErr w:type="spellEnd"/>
      <w:r w:rsidRPr="7DCEA204">
        <w:rPr>
          <w:sz w:val="24"/>
          <w:szCs w:val="24"/>
        </w:rPr>
        <w:t>/Thermo Fisher Scientific (CD8 catalog #</w:t>
      </w:r>
      <w:r w:rsidRPr="7DCEA204">
        <w:rPr>
          <w:rFonts w:eastAsia="Times New Roman"/>
          <w:color w:val="000000" w:themeColor="text1"/>
          <w:sz w:val="24"/>
          <w:szCs w:val="24"/>
        </w:rPr>
        <w:t>14-0808-82</w:t>
      </w:r>
      <w:r w:rsidR="7A643667" w:rsidRPr="7DCEA204">
        <w:rPr>
          <w:rFonts w:eastAsia="Times New Roman"/>
          <w:color w:val="000000" w:themeColor="text1"/>
          <w:sz w:val="24"/>
          <w:szCs w:val="24"/>
        </w:rPr>
        <w:t xml:space="preserve"> [RRID:AB_2572861]</w:t>
      </w:r>
      <w:r w:rsidRPr="7DCEA204">
        <w:rPr>
          <w:sz w:val="24"/>
          <w:szCs w:val="24"/>
        </w:rPr>
        <w:t>; CD4 catalog #</w:t>
      </w:r>
      <w:r w:rsidRPr="7DCEA204">
        <w:rPr>
          <w:rFonts w:eastAsia="Times New Roman"/>
          <w:color w:val="000000" w:themeColor="text1"/>
          <w:sz w:val="24"/>
          <w:szCs w:val="24"/>
        </w:rPr>
        <w:t>14-9766-82</w:t>
      </w:r>
      <w:r w:rsidR="066A289C" w:rsidRPr="7DCEA204">
        <w:rPr>
          <w:rFonts w:eastAsia="Times New Roman"/>
          <w:color w:val="000000" w:themeColor="text1"/>
          <w:sz w:val="24"/>
          <w:szCs w:val="24"/>
        </w:rPr>
        <w:t xml:space="preserve"> [</w:t>
      </w:r>
      <w:r w:rsidR="72489E4C" w:rsidRPr="7DCEA204">
        <w:rPr>
          <w:rFonts w:eastAsia="Times New Roman"/>
          <w:color w:val="000000" w:themeColor="text1"/>
          <w:sz w:val="24"/>
          <w:szCs w:val="24"/>
        </w:rPr>
        <w:t>RRID:</w:t>
      </w:r>
      <w:r w:rsidR="066A289C" w:rsidRPr="7DCEA204">
        <w:rPr>
          <w:rFonts w:eastAsia="Times New Roman"/>
          <w:color w:val="000000" w:themeColor="text1"/>
          <w:sz w:val="24"/>
          <w:szCs w:val="24"/>
        </w:rPr>
        <w:t>AB_2573008]</w:t>
      </w:r>
      <w:r w:rsidRPr="7DCEA204">
        <w:rPr>
          <w:sz w:val="24"/>
          <w:szCs w:val="24"/>
        </w:rPr>
        <w:t>; FoxP3 catalog #</w:t>
      </w:r>
      <w:r w:rsidRPr="7DCEA204">
        <w:rPr>
          <w:rFonts w:eastAsia="Times New Roman"/>
          <w:color w:val="000000" w:themeColor="text1"/>
          <w:sz w:val="24"/>
          <w:szCs w:val="24"/>
        </w:rPr>
        <w:t>14-5773-82</w:t>
      </w:r>
      <w:r w:rsidR="74183906" w:rsidRPr="7DCEA204">
        <w:rPr>
          <w:rFonts w:eastAsia="Times New Roman"/>
          <w:color w:val="000000" w:themeColor="text1"/>
          <w:sz w:val="24"/>
          <w:szCs w:val="24"/>
        </w:rPr>
        <w:t xml:space="preserve"> [RRID:AB_467576]</w:t>
      </w:r>
      <w:r w:rsidRPr="7DCEA204">
        <w:rPr>
          <w:sz w:val="24"/>
          <w:szCs w:val="24"/>
        </w:rPr>
        <w:t xml:space="preserve">). </w:t>
      </w:r>
      <w:r w:rsidRPr="7DCEA204">
        <w:rPr>
          <w:rFonts w:eastAsia="Times New Roman"/>
          <w:color w:val="000000" w:themeColor="text1"/>
          <w:sz w:val="24"/>
          <w:szCs w:val="24"/>
        </w:rPr>
        <w:t>The r</w:t>
      </w:r>
      <w:r w:rsidRPr="7DCEA204">
        <w:rPr>
          <w:sz w:val="24"/>
          <w:szCs w:val="24"/>
        </w:rPr>
        <w:t xml:space="preserve">abbit anti-rat secondary antibody used for primary Ab detection was from Thermo Fisher Scientific (catalog #31219). Sections of formalin-fixed paraffin-embedded tissue were cut at 4 µm and placed on </w:t>
      </w:r>
      <w:proofErr w:type="spellStart"/>
      <w:r w:rsidRPr="7DCEA204">
        <w:rPr>
          <w:sz w:val="24"/>
          <w:szCs w:val="24"/>
        </w:rPr>
        <w:t>StarFrost</w:t>
      </w:r>
      <w:proofErr w:type="spellEnd"/>
      <w:r w:rsidRPr="7DCEA204">
        <w:rPr>
          <w:sz w:val="24"/>
          <w:szCs w:val="24"/>
        </w:rPr>
        <w:t xml:space="preserve">® microscope slides. IHC was performed using a Leica Bond™ </w:t>
      </w:r>
      <w:proofErr w:type="spellStart"/>
      <w:r w:rsidRPr="7DCEA204">
        <w:rPr>
          <w:sz w:val="24"/>
          <w:szCs w:val="24"/>
        </w:rPr>
        <w:t>autostainer</w:t>
      </w:r>
      <w:proofErr w:type="spellEnd"/>
      <w:r w:rsidRPr="7DCEA204">
        <w:rPr>
          <w:sz w:val="24"/>
          <w:szCs w:val="24"/>
        </w:rPr>
        <w:t xml:space="preserve"> protocol (Leica Biosystems, </w:t>
      </w:r>
      <w:proofErr w:type="spellStart"/>
      <w:r w:rsidRPr="7DCEA204">
        <w:rPr>
          <w:sz w:val="24"/>
          <w:szCs w:val="24"/>
        </w:rPr>
        <w:t>Heerbrugg</w:t>
      </w:r>
      <w:proofErr w:type="spellEnd"/>
      <w:r w:rsidRPr="7DCEA204">
        <w:rPr>
          <w:sz w:val="24"/>
          <w:szCs w:val="24"/>
        </w:rPr>
        <w:t xml:space="preserve">, Switzerland). Epitope retrieval solution 1 (Leica, catalog #AR9961) was used for antigen retrieval, and CD8, CD4, and FoxP3 </w:t>
      </w:r>
      <w:proofErr w:type="spellStart"/>
      <w:r w:rsidRPr="7DCEA204">
        <w:rPr>
          <w:sz w:val="24"/>
          <w:szCs w:val="24"/>
        </w:rPr>
        <w:t>mAbs</w:t>
      </w:r>
      <w:proofErr w:type="spellEnd"/>
      <w:r w:rsidRPr="7DCEA204">
        <w:rPr>
          <w:sz w:val="24"/>
          <w:szCs w:val="24"/>
        </w:rPr>
        <w:t xml:space="preserve"> were used at 0.1 µg/mL, 0.1 µg/mL, and 0.8 </w:t>
      </w:r>
      <w:r w:rsidRPr="7DCEA204">
        <w:rPr>
          <w:sz w:val="24"/>
          <w:szCs w:val="24"/>
        </w:rPr>
        <w:lastRenderedPageBreak/>
        <w:t>µg/mL, respectively, for primary antigen detection. Secondary antibody was applied at 5 µg/mL and slides were developed and counterstained with the Leica Bond Polymer Refine Detection kit (Leica, catalog #DS9800).</w:t>
      </w:r>
    </w:p>
    <w:p w14:paraId="702066D0" w14:textId="55F2A425" w:rsidR="00555A09" w:rsidRPr="00225AD5" w:rsidRDefault="0C994817" w:rsidP="7DCEA204">
      <w:pPr>
        <w:spacing w:line="360" w:lineRule="auto"/>
        <w:rPr>
          <w:sz w:val="24"/>
          <w:szCs w:val="24"/>
        </w:rPr>
      </w:pPr>
      <w:r w:rsidRPr="7DCEA204">
        <w:rPr>
          <w:sz w:val="24"/>
          <w:szCs w:val="24"/>
        </w:rPr>
        <w:t xml:space="preserve">Anti-mouse </w:t>
      </w:r>
      <w:r w:rsidRPr="7DCEA204">
        <w:rPr>
          <w:rFonts w:eastAsia="Times New Roman"/>
          <w:color w:val="000000"/>
          <w:sz w:val="24"/>
          <w:szCs w:val="24"/>
        </w:rPr>
        <w:t xml:space="preserve">CD163 </w:t>
      </w:r>
      <w:r w:rsidRPr="7DCEA204">
        <w:rPr>
          <w:sz w:val="24"/>
          <w:szCs w:val="24"/>
        </w:rPr>
        <w:t>rabbit monoclonal antibody (Abcam, catalog #</w:t>
      </w:r>
      <w:r w:rsidRPr="7DCEA204">
        <w:rPr>
          <w:rFonts w:eastAsia="Times New Roman"/>
          <w:color w:val="000000"/>
          <w:sz w:val="24"/>
          <w:szCs w:val="24"/>
        </w:rPr>
        <w:t>ab182422</w:t>
      </w:r>
      <w:r w:rsidR="193B3E60" w:rsidRPr="7DCEA204">
        <w:rPr>
          <w:rFonts w:eastAsia="Times New Roman"/>
          <w:color w:val="000000"/>
          <w:sz w:val="24"/>
          <w:szCs w:val="24"/>
        </w:rPr>
        <w:t xml:space="preserve">; </w:t>
      </w:r>
      <w:r w:rsidR="193B3E60" w:rsidRPr="7DCEA204">
        <w:rPr>
          <w:rFonts w:eastAsia="Times New Roman"/>
          <w:color w:val="000000" w:themeColor="text1"/>
          <w:sz w:val="24"/>
          <w:szCs w:val="24"/>
        </w:rPr>
        <w:t>RRID:AB_2753196</w:t>
      </w:r>
      <w:r w:rsidRPr="7DCEA204">
        <w:rPr>
          <w:rFonts w:eastAsia="Times New Roman"/>
          <w:color w:val="000000"/>
          <w:sz w:val="24"/>
          <w:szCs w:val="24"/>
        </w:rPr>
        <w:t>)</w:t>
      </w:r>
      <w:r w:rsidRPr="7DCEA204">
        <w:rPr>
          <w:color w:val="000000"/>
          <w:sz w:val="24"/>
          <w:szCs w:val="24"/>
          <w:shd w:val="clear" w:color="auto" w:fill="FFFFFF"/>
        </w:rPr>
        <w:t xml:space="preserve"> was applied at </w:t>
      </w:r>
      <w:r w:rsidRPr="7DCEA204">
        <w:rPr>
          <w:sz w:val="24"/>
          <w:szCs w:val="24"/>
        </w:rPr>
        <w:t>0.674 µg/mL, followed by</w:t>
      </w:r>
      <w:r w:rsidRPr="7DCEA204">
        <w:rPr>
          <w:color w:val="000000"/>
          <w:sz w:val="24"/>
          <w:szCs w:val="24"/>
          <w:shd w:val="clear" w:color="auto" w:fill="FFFFFF"/>
        </w:rPr>
        <w:t xml:space="preserve"> DISCOVERY</w:t>
      </w:r>
      <w:r w:rsidRPr="7DCEA204">
        <w:rPr>
          <w:sz w:val="24"/>
          <w:szCs w:val="24"/>
        </w:rPr>
        <w:t>®</w:t>
      </w:r>
      <w:r w:rsidRPr="7DCEA204">
        <w:rPr>
          <w:color w:val="000000"/>
          <w:sz w:val="24"/>
          <w:szCs w:val="24"/>
          <w:shd w:val="clear" w:color="auto" w:fill="FFFFFF"/>
        </w:rPr>
        <w:t xml:space="preserve"> </w:t>
      </w:r>
      <w:proofErr w:type="spellStart"/>
      <w:r w:rsidRPr="7DCEA204">
        <w:rPr>
          <w:color w:val="000000"/>
          <w:sz w:val="24"/>
          <w:szCs w:val="24"/>
          <w:shd w:val="clear" w:color="auto" w:fill="FFFFFF"/>
        </w:rPr>
        <w:t>UltraMap</w:t>
      </w:r>
      <w:proofErr w:type="spellEnd"/>
      <w:r w:rsidRPr="7DCEA204">
        <w:rPr>
          <w:color w:val="000000"/>
          <w:sz w:val="24"/>
          <w:szCs w:val="24"/>
          <w:shd w:val="clear" w:color="auto" w:fill="FFFFFF"/>
        </w:rPr>
        <w:t xml:space="preserve"> anti-Rabbit Alkaline Phosphatase (Roche, </w:t>
      </w:r>
      <w:r w:rsidRPr="7DCEA204">
        <w:rPr>
          <w:sz w:val="24"/>
          <w:szCs w:val="24"/>
        </w:rPr>
        <w:t>catalog #</w:t>
      </w:r>
      <w:r w:rsidRPr="7DCEA204">
        <w:rPr>
          <w:color w:val="000000"/>
          <w:sz w:val="24"/>
          <w:szCs w:val="24"/>
          <w:shd w:val="clear" w:color="auto" w:fill="FFFFFF"/>
        </w:rPr>
        <w:t>760-4314) secondary Ab, and developed with DISCOVERY</w:t>
      </w:r>
      <w:r w:rsidRPr="7DCEA204">
        <w:rPr>
          <w:sz w:val="24"/>
          <w:szCs w:val="24"/>
        </w:rPr>
        <w:t>®</w:t>
      </w:r>
      <w:r w:rsidRPr="7DCEA204">
        <w:rPr>
          <w:color w:val="000000"/>
          <w:sz w:val="24"/>
          <w:szCs w:val="24"/>
          <w:shd w:val="clear" w:color="auto" w:fill="FFFFFF"/>
        </w:rPr>
        <w:t xml:space="preserve"> Yellow Kit (Roche, </w:t>
      </w:r>
      <w:r w:rsidRPr="7DCEA204">
        <w:rPr>
          <w:sz w:val="24"/>
          <w:szCs w:val="24"/>
        </w:rPr>
        <w:t>catalog #</w:t>
      </w:r>
      <w:r w:rsidRPr="7DCEA204">
        <w:rPr>
          <w:color w:val="000000"/>
          <w:sz w:val="24"/>
          <w:szCs w:val="24"/>
          <w:shd w:val="clear" w:color="auto" w:fill="FFFFFF"/>
        </w:rPr>
        <w:t>760-239). Slides were</w:t>
      </w:r>
      <w:r w:rsidRPr="7DCEA204">
        <w:rPr>
          <w:sz w:val="24"/>
          <w:szCs w:val="24"/>
        </w:rPr>
        <w:t xml:space="preserve"> counterstained on the Leica Bond™ </w:t>
      </w:r>
      <w:proofErr w:type="spellStart"/>
      <w:r w:rsidRPr="7DCEA204">
        <w:rPr>
          <w:sz w:val="24"/>
          <w:szCs w:val="24"/>
        </w:rPr>
        <w:t>autostainer</w:t>
      </w:r>
      <w:proofErr w:type="spellEnd"/>
      <w:r w:rsidRPr="7DCEA204">
        <w:rPr>
          <w:sz w:val="24"/>
          <w:szCs w:val="24"/>
        </w:rPr>
        <w:t xml:space="preserve"> with Hematoxylin II (Roche, catalog #</w:t>
      </w:r>
      <w:r w:rsidRPr="7DCEA204">
        <w:rPr>
          <w:color w:val="000000"/>
          <w:sz w:val="24"/>
          <w:szCs w:val="24"/>
          <w:shd w:val="clear" w:color="auto" w:fill="FFFFFF"/>
        </w:rPr>
        <w:t xml:space="preserve">790-2208) and Bluing Reagent (Roche, </w:t>
      </w:r>
      <w:r w:rsidRPr="7DCEA204">
        <w:rPr>
          <w:sz w:val="24"/>
          <w:szCs w:val="24"/>
        </w:rPr>
        <w:t>catalog #</w:t>
      </w:r>
      <w:r w:rsidRPr="7DCEA204">
        <w:rPr>
          <w:color w:val="000000"/>
          <w:sz w:val="24"/>
          <w:szCs w:val="24"/>
          <w:shd w:val="clear" w:color="auto" w:fill="FFFFFF"/>
        </w:rPr>
        <w:t xml:space="preserve">760-2037). </w:t>
      </w:r>
      <w:r w:rsidRPr="7DCEA204">
        <w:rPr>
          <w:sz w:val="24"/>
          <w:szCs w:val="24"/>
        </w:rPr>
        <w:t xml:space="preserve">All slides were scanned in an </w:t>
      </w:r>
      <w:proofErr w:type="spellStart"/>
      <w:r w:rsidRPr="7DCEA204">
        <w:rPr>
          <w:sz w:val="24"/>
          <w:szCs w:val="24"/>
        </w:rPr>
        <w:t>Aperio</w:t>
      </w:r>
      <w:proofErr w:type="spellEnd"/>
      <w:r w:rsidRPr="7DCEA204">
        <w:rPr>
          <w:sz w:val="24"/>
          <w:szCs w:val="24"/>
        </w:rPr>
        <w:t xml:space="preserve"> scanner (Leica) and digitally analyzed with Halo™ software by an experienced pathologist.</w:t>
      </w:r>
    </w:p>
    <w:p w14:paraId="26151E45" w14:textId="495FC06D" w:rsidR="00555A09" w:rsidRPr="00F46359" w:rsidRDefault="0C994817" w:rsidP="7DCEA204">
      <w:pPr>
        <w:spacing w:before="180" w:after="180" w:line="360" w:lineRule="auto"/>
        <w:outlineLvl w:val="2"/>
        <w:rPr>
          <w:sz w:val="24"/>
          <w:szCs w:val="24"/>
          <w:lang w:val="en-GB"/>
        </w:rPr>
      </w:pPr>
      <w:r w:rsidRPr="00225AD5">
        <w:rPr>
          <w:sz w:val="24"/>
          <w:szCs w:val="24"/>
          <w:lang w:val="en-GB"/>
        </w:rPr>
        <w:t xml:space="preserve">All samples for </w:t>
      </w:r>
      <w:r>
        <w:rPr>
          <w:sz w:val="24"/>
          <w:szCs w:val="24"/>
          <w:lang w:val="en-GB"/>
        </w:rPr>
        <w:t>immunofluorescence assays</w:t>
      </w:r>
      <w:r w:rsidRPr="00A53CCC">
        <w:rPr>
          <w:sz w:val="24"/>
          <w:szCs w:val="24"/>
          <w:lang w:val="en-GB"/>
        </w:rPr>
        <w:t xml:space="preserve"> were </w:t>
      </w:r>
      <w:r>
        <w:rPr>
          <w:sz w:val="24"/>
          <w:szCs w:val="24"/>
          <w:lang w:val="en-GB"/>
        </w:rPr>
        <w:t>f</w:t>
      </w:r>
      <w:r w:rsidRPr="00A53CCC">
        <w:rPr>
          <w:sz w:val="24"/>
          <w:szCs w:val="24"/>
          <w:lang w:val="en-GB"/>
        </w:rPr>
        <w:t>ormalin-fixed and paraffin</w:t>
      </w:r>
      <w:r>
        <w:rPr>
          <w:sz w:val="24"/>
          <w:szCs w:val="24"/>
          <w:lang w:val="en-GB"/>
        </w:rPr>
        <w:t>-</w:t>
      </w:r>
      <w:r w:rsidRPr="00A53CCC">
        <w:rPr>
          <w:sz w:val="24"/>
          <w:szCs w:val="24"/>
          <w:lang w:val="en-GB"/>
        </w:rPr>
        <w:t>embedded (FFPE) into blocks and sectioned at 4</w:t>
      </w:r>
      <w:r>
        <w:rPr>
          <w:sz w:val="24"/>
          <w:szCs w:val="24"/>
          <w:lang w:val="en-GB"/>
        </w:rPr>
        <w:t xml:space="preserve"> </w:t>
      </w:r>
      <w:r w:rsidRPr="7DCEA204">
        <w:rPr>
          <w:sz w:val="24"/>
          <w:szCs w:val="24"/>
        </w:rPr>
        <w:t>µ</w:t>
      </w:r>
      <w:r w:rsidRPr="00A53CCC">
        <w:rPr>
          <w:sz w:val="24"/>
          <w:szCs w:val="24"/>
          <w:lang w:val="en-GB"/>
        </w:rPr>
        <w:t xml:space="preserve">m with consecutive sections used for staining. All staining steps, including antigen retrieval were run on a Ventana Discovery Ultra. The following primary antibodies were </w:t>
      </w:r>
      <w:r>
        <w:rPr>
          <w:sz w:val="24"/>
          <w:szCs w:val="24"/>
          <w:lang w:val="en-GB"/>
        </w:rPr>
        <w:t>first validated chromogenically and then titrated</w:t>
      </w:r>
      <w:r w:rsidRPr="00A53CCC">
        <w:rPr>
          <w:sz w:val="24"/>
          <w:szCs w:val="24"/>
          <w:lang w:val="en-GB"/>
        </w:rPr>
        <w:t xml:space="preserve"> for dual staining </w:t>
      </w:r>
      <w:r>
        <w:rPr>
          <w:sz w:val="24"/>
          <w:szCs w:val="24"/>
          <w:lang w:val="en-GB"/>
        </w:rPr>
        <w:t xml:space="preserve">of </w:t>
      </w:r>
      <w:r w:rsidRPr="00A53CCC">
        <w:rPr>
          <w:sz w:val="24"/>
          <w:szCs w:val="24"/>
          <w:lang w:val="en-GB"/>
        </w:rPr>
        <w:t>pSTAT3/CD45</w:t>
      </w:r>
      <w:r>
        <w:rPr>
          <w:sz w:val="24"/>
          <w:szCs w:val="24"/>
          <w:lang w:val="en-GB"/>
        </w:rPr>
        <w:t xml:space="preserve">, </w:t>
      </w:r>
      <w:r w:rsidRPr="00A53CCC">
        <w:rPr>
          <w:sz w:val="24"/>
          <w:szCs w:val="24"/>
          <w:lang w:val="en-GB"/>
        </w:rPr>
        <w:t>pSTAT3/CD163</w:t>
      </w:r>
      <w:r>
        <w:rPr>
          <w:sz w:val="24"/>
          <w:szCs w:val="24"/>
          <w:lang w:val="en-GB"/>
        </w:rPr>
        <w:t>, and pSTAT3/human mitochondria marker</w:t>
      </w:r>
      <w:r w:rsidRPr="00A53CCC">
        <w:rPr>
          <w:sz w:val="24"/>
          <w:szCs w:val="24"/>
          <w:lang w:val="en-GB"/>
        </w:rPr>
        <w:t xml:space="preserve">: phospho-STAT3 (CST, </w:t>
      </w:r>
      <w:proofErr w:type="spellStart"/>
      <w:r>
        <w:rPr>
          <w:sz w:val="24"/>
          <w:szCs w:val="24"/>
          <w:lang w:val="en-GB"/>
        </w:rPr>
        <w:t>catalog</w:t>
      </w:r>
      <w:proofErr w:type="spellEnd"/>
      <w:r>
        <w:rPr>
          <w:sz w:val="24"/>
          <w:szCs w:val="24"/>
          <w:lang w:val="en-GB"/>
        </w:rPr>
        <w:t xml:space="preserve"> </w:t>
      </w:r>
      <w:r w:rsidRPr="00A53CCC">
        <w:rPr>
          <w:sz w:val="24"/>
          <w:szCs w:val="24"/>
          <w:lang w:val="en-GB"/>
        </w:rPr>
        <w:t>#9145, clone D3A7</w:t>
      </w:r>
      <w:r w:rsidR="14377ADF" w:rsidRPr="00A53CCC">
        <w:rPr>
          <w:sz w:val="24"/>
          <w:szCs w:val="24"/>
          <w:lang w:val="en-GB"/>
        </w:rPr>
        <w:t xml:space="preserve"> [</w:t>
      </w:r>
      <w:r w:rsidR="14377ADF" w:rsidRPr="7DCEA204">
        <w:rPr>
          <w:sz w:val="24"/>
          <w:szCs w:val="24"/>
          <w:lang w:val="en-GB"/>
        </w:rPr>
        <w:t>RRID:AB_2491009</w:t>
      </w:r>
      <w:r w:rsidR="14377ADF" w:rsidRPr="00A53CCC">
        <w:rPr>
          <w:sz w:val="24"/>
          <w:szCs w:val="24"/>
          <w:lang w:val="en-GB"/>
        </w:rPr>
        <w:t>]</w:t>
      </w:r>
      <w:r w:rsidRPr="00A53CCC">
        <w:rPr>
          <w:sz w:val="24"/>
          <w:szCs w:val="24"/>
          <w:lang w:val="en-GB"/>
        </w:rPr>
        <w:t>) CD163 (Abcam,</w:t>
      </w:r>
      <w:r>
        <w:rPr>
          <w:sz w:val="24"/>
          <w:szCs w:val="24"/>
          <w:lang w:val="en-GB"/>
        </w:rPr>
        <w:t xml:space="preserve"> </w:t>
      </w:r>
      <w:proofErr w:type="spellStart"/>
      <w:r>
        <w:rPr>
          <w:sz w:val="24"/>
          <w:szCs w:val="24"/>
          <w:lang w:val="en-GB"/>
        </w:rPr>
        <w:t>catalog</w:t>
      </w:r>
      <w:proofErr w:type="spellEnd"/>
      <w:r w:rsidRPr="00A53CCC">
        <w:rPr>
          <w:sz w:val="24"/>
          <w:szCs w:val="24"/>
          <w:lang w:val="en-GB"/>
        </w:rPr>
        <w:t xml:space="preserve"> </w:t>
      </w:r>
      <w:r>
        <w:rPr>
          <w:sz w:val="24"/>
          <w:szCs w:val="24"/>
          <w:lang w:val="en-GB"/>
        </w:rPr>
        <w:t>#</w:t>
      </w:r>
      <w:r w:rsidRPr="00A53CCC">
        <w:rPr>
          <w:sz w:val="24"/>
          <w:szCs w:val="24"/>
          <w:lang w:val="en-GB"/>
        </w:rPr>
        <w:t>ab182422, clone EPR19518</w:t>
      </w:r>
      <w:r w:rsidR="5248CAED" w:rsidRPr="00A53CCC">
        <w:rPr>
          <w:sz w:val="24"/>
          <w:szCs w:val="24"/>
          <w:lang w:val="en-GB"/>
        </w:rPr>
        <w:t xml:space="preserve"> [</w:t>
      </w:r>
      <w:r w:rsidR="5248CAED" w:rsidRPr="7DCEA204">
        <w:rPr>
          <w:rFonts w:ascii="Calibri" w:eastAsia="Calibri" w:hAnsi="Calibri" w:cs="Calibri"/>
          <w:color w:val="000000" w:themeColor="text1"/>
          <w:sz w:val="24"/>
          <w:szCs w:val="24"/>
          <w:lang w:val="en-GB"/>
        </w:rPr>
        <w:t>RRID:AB_2753196</w:t>
      </w:r>
      <w:r w:rsidR="5248CAED" w:rsidRPr="00A53CCC">
        <w:rPr>
          <w:sz w:val="24"/>
          <w:szCs w:val="24"/>
          <w:lang w:val="en-GB"/>
        </w:rPr>
        <w:t>]</w:t>
      </w:r>
      <w:r w:rsidRPr="00A53CCC">
        <w:rPr>
          <w:sz w:val="24"/>
          <w:szCs w:val="24"/>
          <w:lang w:val="en-GB"/>
        </w:rPr>
        <w:t>)</w:t>
      </w:r>
      <w:r w:rsidR="592F55BF" w:rsidRPr="00A53CCC">
        <w:rPr>
          <w:sz w:val="24"/>
          <w:szCs w:val="24"/>
          <w:lang w:val="en-GB"/>
        </w:rPr>
        <w:t xml:space="preserve">, </w:t>
      </w:r>
      <w:r w:rsidRPr="00A53CCC">
        <w:rPr>
          <w:sz w:val="24"/>
          <w:szCs w:val="24"/>
          <w:lang w:val="en-GB"/>
        </w:rPr>
        <w:t xml:space="preserve">CD45 (CST, </w:t>
      </w:r>
      <w:proofErr w:type="spellStart"/>
      <w:r>
        <w:rPr>
          <w:sz w:val="24"/>
          <w:szCs w:val="24"/>
          <w:lang w:val="en-GB"/>
        </w:rPr>
        <w:t>catalog</w:t>
      </w:r>
      <w:proofErr w:type="spellEnd"/>
      <w:r w:rsidRPr="00A53CCC">
        <w:rPr>
          <w:sz w:val="24"/>
          <w:szCs w:val="24"/>
          <w:lang w:val="en-GB"/>
        </w:rPr>
        <w:t xml:space="preserve"> #70257, clone D3F8Q</w:t>
      </w:r>
      <w:r w:rsidR="646BCEA2" w:rsidRPr="00A53CCC">
        <w:rPr>
          <w:sz w:val="24"/>
          <w:szCs w:val="24"/>
          <w:lang w:val="en-GB"/>
        </w:rPr>
        <w:t xml:space="preserve"> [</w:t>
      </w:r>
      <w:r w:rsidR="646BCEA2" w:rsidRPr="7DCEA204">
        <w:rPr>
          <w:sz w:val="24"/>
          <w:szCs w:val="24"/>
          <w:lang w:val="en-GB"/>
        </w:rPr>
        <w:t>RRID:AB_2799780</w:t>
      </w:r>
      <w:r w:rsidR="646BCEA2" w:rsidRPr="00A53CCC">
        <w:rPr>
          <w:sz w:val="24"/>
          <w:szCs w:val="24"/>
          <w:lang w:val="en-GB"/>
        </w:rPr>
        <w:t>]</w:t>
      </w:r>
      <w:r w:rsidRPr="00A53CCC">
        <w:rPr>
          <w:sz w:val="24"/>
          <w:szCs w:val="24"/>
          <w:lang w:val="en-GB"/>
        </w:rPr>
        <w:t>)</w:t>
      </w:r>
      <w:r>
        <w:rPr>
          <w:sz w:val="24"/>
          <w:szCs w:val="24"/>
          <w:lang w:val="en-GB"/>
        </w:rPr>
        <w:t xml:space="preserve">, </w:t>
      </w:r>
      <w:r w:rsidR="22544C63">
        <w:rPr>
          <w:sz w:val="24"/>
          <w:szCs w:val="24"/>
          <w:lang w:val="en-GB"/>
        </w:rPr>
        <w:t xml:space="preserve">and </w:t>
      </w:r>
      <w:r>
        <w:rPr>
          <w:sz w:val="24"/>
          <w:szCs w:val="24"/>
          <w:lang w:val="en-GB"/>
        </w:rPr>
        <w:t xml:space="preserve">anti-human mitochondria (Millipore, </w:t>
      </w:r>
      <w:proofErr w:type="spellStart"/>
      <w:r>
        <w:rPr>
          <w:sz w:val="24"/>
          <w:szCs w:val="24"/>
          <w:lang w:val="en-GB"/>
        </w:rPr>
        <w:t>catalog</w:t>
      </w:r>
      <w:proofErr w:type="spellEnd"/>
      <w:r>
        <w:rPr>
          <w:sz w:val="24"/>
          <w:szCs w:val="24"/>
          <w:lang w:val="en-GB"/>
        </w:rPr>
        <w:t xml:space="preserve"> #MAB1273, clone 113-1</w:t>
      </w:r>
      <w:r w:rsidR="0F3470B4">
        <w:rPr>
          <w:sz w:val="24"/>
          <w:szCs w:val="24"/>
          <w:lang w:val="en-GB"/>
        </w:rPr>
        <w:t xml:space="preserve"> [</w:t>
      </w:r>
      <w:r w:rsidR="0F3470B4" w:rsidRPr="7DCEA204">
        <w:rPr>
          <w:sz w:val="24"/>
          <w:szCs w:val="24"/>
          <w:lang w:val="en-GB"/>
        </w:rPr>
        <w:t>RRID:AB_94052</w:t>
      </w:r>
      <w:r w:rsidR="0F3470B4">
        <w:rPr>
          <w:sz w:val="24"/>
          <w:szCs w:val="24"/>
          <w:lang w:val="en-GB"/>
        </w:rPr>
        <w:t>]</w:t>
      </w:r>
      <w:r>
        <w:rPr>
          <w:sz w:val="24"/>
          <w:szCs w:val="24"/>
          <w:lang w:val="en-GB"/>
        </w:rPr>
        <w:t>)</w:t>
      </w:r>
      <w:r w:rsidRPr="00A53CCC">
        <w:rPr>
          <w:sz w:val="24"/>
          <w:szCs w:val="24"/>
          <w:lang w:val="en-GB"/>
        </w:rPr>
        <w:t xml:space="preserve">. Primary antibodies were incubated for </w:t>
      </w:r>
      <w:r>
        <w:rPr>
          <w:sz w:val="24"/>
          <w:szCs w:val="24"/>
          <w:lang w:val="en-GB"/>
        </w:rPr>
        <w:t xml:space="preserve">1 </w:t>
      </w:r>
      <w:r w:rsidRPr="00A53CCC">
        <w:rPr>
          <w:sz w:val="24"/>
          <w:szCs w:val="24"/>
          <w:lang w:val="en-GB"/>
        </w:rPr>
        <w:t xml:space="preserve">hour followed by 32-minute incubation with a peroxidase </w:t>
      </w:r>
      <w:proofErr w:type="spellStart"/>
      <w:r w:rsidRPr="00A53CCC">
        <w:rPr>
          <w:sz w:val="24"/>
          <w:szCs w:val="24"/>
          <w:lang w:val="en-GB"/>
        </w:rPr>
        <w:t>labeled</w:t>
      </w:r>
      <w:proofErr w:type="spellEnd"/>
      <w:r w:rsidRPr="00A53CCC">
        <w:rPr>
          <w:sz w:val="24"/>
          <w:szCs w:val="24"/>
          <w:lang w:val="en-GB"/>
        </w:rPr>
        <w:t xml:space="preserve"> anti-rabbit</w:t>
      </w:r>
      <w:r>
        <w:rPr>
          <w:sz w:val="24"/>
          <w:szCs w:val="24"/>
          <w:lang w:val="en-GB"/>
        </w:rPr>
        <w:t xml:space="preserve"> or anti-mouse</w:t>
      </w:r>
      <w:r w:rsidRPr="00A53CCC">
        <w:rPr>
          <w:sz w:val="24"/>
          <w:szCs w:val="24"/>
          <w:lang w:val="en-GB"/>
        </w:rPr>
        <w:t xml:space="preserve"> secondary</w:t>
      </w:r>
      <w:r w:rsidRPr="00A53CCC">
        <w:rPr>
          <w:color w:val="000000"/>
          <w:sz w:val="24"/>
          <w:szCs w:val="24"/>
          <w:shd w:val="clear" w:color="auto" w:fill="FFFFFF"/>
        </w:rPr>
        <w:t xml:space="preserve"> (Ventana</w:t>
      </w:r>
      <w:r>
        <w:rPr>
          <w:color w:val="000000"/>
          <w:sz w:val="24"/>
          <w:szCs w:val="24"/>
          <w:shd w:val="clear" w:color="auto" w:fill="FFFFFF"/>
        </w:rPr>
        <w:t xml:space="preserve"> </w:t>
      </w:r>
      <w:proofErr w:type="spellStart"/>
      <w:r>
        <w:rPr>
          <w:color w:val="000000"/>
          <w:sz w:val="24"/>
          <w:szCs w:val="24"/>
          <w:shd w:val="clear" w:color="auto" w:fill="FFFFFF"/>
        </w:rPr>
        <w:t>OmniMap</w:t>
      </w:r>
      <w:proofErr w:type="spellEnd"/>
      <w:r>
        <w:rPr>
          <w:color w:val="000000"/>
          <w:sz w:val="24"/>
          <w:szCs w:val="24"/>
          <w:shd w:val="clear" w:color="auto" w:fill="FFFFFF"/>
        </w:rPr>
        <w:t xml:space="preserve"> anti-rabbit, </w:t>
      </w:r>
      <w:proofErr w:type="spellStart"/>
      <w:r>
        <w:rPr>
          <w:sz w:val="24"/>
          <w:szCs w:val="24"/>
          <w:lang w:val="en-GB"/>
        </w:rPr>
        <w:t>catalog</w:t>
      </w:r>
      <w:proofErr w:type="spellEnd"/>
      <w:r w:rsidRPr="00A53CCC">
        <w:rPr>
          <w:color w:val="000000"/>
          <w:sz w:val="24"/>
          <w:szCs w:val="24"/>
          <w:shd w:val="clear" w:color="auto" w:fill="FFFFFF"/>
        </w:rPr>
        <w:t xml:space="preserve"> </w:t>
      </w:r>
      <w:r>
        <w:rPr>
          <w:color w:val="000000"/>
          <w:sz w:val="24"/>
          <w:szCs w:val="24"/>
          <w:shd w:val="clear" w:color="auto" w:fill="FFFFFF"/>
        </w:rPr>
        <w:t>#</w:t>
      </w:r>
      <w:r w:rsidRPr="00A53CCC">
        <w:rPr>
          <w:color w:val="000000"/>
          <w:sz w:val="24"/>
          <w:szCs w:val="24"/>
          <w:shd w:val="clear" w:color="auto" w:fill="FFFFFF"/>
        </w:rPr>
        <w:t>760-4311</w:t>
      </w:r>
      <w:r>
        <w:rPr>
          <w:color w:val="000000"/>
          <w:sz w:val="24"/>
          <w:szCs w:val="24"/>
          <w:shd w:val="clear" w:color="auto" w:fill="FFFFFF"/>
        </w:rPr>
        <w:t xml:space="preserve">, </w:t>
      </w:r>
      <w:proofErr w:type="spellStart"/>
      <w:r>
        <w:rPr>
          <w:color w:val="000000"/>
          <w:sz w:val="24"/>
          <w:szCs w:val="24"/>
          <w:shd w:val="clear" w:color="auto" w:fill="FFFFFF"/>
        </w:rPr>
        <w:t>OmniMap</w:t>
      </w:r>
      <w:proofErr w:type="spellEnd"/>
      <w:r>
        <w:rPr>
          <w:color w:val="000000"/>
          <w:sz w:val="24"/>
          <w:szCs w:val="24"/>
          <w:shd w:val="clear" w:color="auto" w:fill="FFFFFF"/>
        </w:rPr>
        <w:t xml:space="preserve"> anti-mouse, </w:t>
      </w:r>
      <w:proofErr w:type="spellStart"/>
      <w:r>
        <w:rPr>
          <w:sz w:val="24"/>
          <w:szCs w:val="24"/>
          <w:lang w:val="en-GB"/>
        </w:rPr>
        <w:t>catalog</w:t>
      </w:r>
      <w:proofErr w:type="spellEnd"/>
      <w:r>
        <w:rPr>
          <w:color w:val="000000"/>
          <w:sz w:val="24"/>
          <w:szCs w:val="24"/>
          <w:shd w:val="clear" w:color="auto" w:fill="FFFFFF"/>
        </w:rPr>
        <w:t xml:space="preserve"> #760-4310</w:t>
      </w:r>
      <w:r w:rsidRPr="00A53CCC">
        <w:rPr>
          <w:color w:val="000000"/>
          <w:sz w:val="24"/>
          <w:szCs w:val="24"/>
          <w:shd w:val="clear" w:color="auto" w:fill="FFFFFF"/>
        </w:rPr>
        <w:t>)</w:t>
      </w:r>
      <w:r w:rsidRPr="00A53CCC">
        <w:rPr>
          <w:sz w:val="24"/>
          <w:szCs w:val="24"/>
          <w:lang w:val="en-GB"/>
        </w:rPr>
        <w:t xml:space="preserve">. Primary antibodies were sequentially stained, with a CC2 (pH 6.0) denaturation and Discovery </w:t>
      </w:r>
      <w:r>
        <w:rPr>
          <w:sz w:val="24"/>
          <w:szCs w:val="24"/>
          <w:lang w:val="en-GB"/>
        </w:rPr>
        <w:t>I</w:t>
      </w:r>
      <w:r w:rsidRPr="00A53CCC">
        <w:rPr>
          <w:sz w:val="24"/>
          <w:szCs w:val="24"/>
          <w:lang w:val="en-GB"/>
        </w:rPr>
        <w:t>nhibitor (Ventana</w:t>
      </w:r>
      <w:r>
        <w:rPr>
          <w:sz w:val="24"/>
          <w:szCs w:val="24"/>
          <w:lang w:val="en-GB"/>
        </w:rPr>
        <w:t xml:space="preserve">, </w:t>
      </w:r>
      <w:proofErr w:type="spellStart"/>
      <w:r>
        <w:rPr>
          <w:sz w:val="24"/>
          <w:szCs w:val="24"/>
          <w:lang w:val="en-GB"/>
        </w:rPr>
        <w:t>catalog</w:t>
      </w:r>
      <w:proofErr w:type="spellEnd"/>
      <w:r w:rsidRPr="00A53CCC">
        <w:rPr>
          <w:sz w:val="24"/>
          <w:szCs w:val="24"/>
          <w:lang w:val="en-GB"/>
        </w:rPr>
        <w:t xml:space="preserve"> </w:t>
      </w:r>
      <w:r>
        <w:rPr>
          <w:sz w:val="24"/>
          <w:szCs w:val="24"/>
          <w:lang w:val="en-GB"/>
        </w:rPr>
        <w:t>#</w:t>
      </w:r>
      <w:r w:rsidRPr="00A53CCC">
        <w:rPr>
          <w:color w:val="000000"/>
          <w:sz w:val="24"/>
          <w:szCs w:val="24"/>
          <w:shd w:val="clear" w:color="auto" w:fill="FFFFFF"/>
        </w:rPr>
        <w:t xml:space="preserve">760-4840) </w:t>
      </w:r>
      <w:r w:rsidRPr="00A53CCC">
        <w:rPr>
          <w:sz w:val="24"/>
          <w:szCs w:val="24"/>
          <w:lang w:val="en-GB"/>
        </w:rPr>
        <w:t>Peroxidase quench step in between. The following substrates were used for fluorescen</w:t>
      </w:r>
      <w:r>
        <w:rPr>
          <w:sz w:val="24"/>
          <w:szCs w:val="24"/>
          <w:lang w:val="en-GB"/>
        </w:rPr>
        <w:t>ce</w:t>
      </w:r>
      <w:r w:rsidRPr="00A53CCC">
        <w:rPr>
          <w:sz w:val="24"/>
          <w:szCs w:val="24"/>
          <w:lang w:val="en-GB"/>
        </w:rPr>
        <w:t xml:space="preserve"> detection:</w:t>
      </w:r>
      <w:r>
        <w:rPr>
          <w:sz w:val="24"/>
          <w:szCs w:val="24"/>
          <w:lang w:val="en-GB"/>
        </w:rPr>
        <w:t xml:space="preserve"> </w:t>
      </w:r>
      <w:r w:rsidRPr="00A53CCC">
        <w:rPr>
          <w:sz w:val="24"/>
          <w:szCs w:val="24"/>
          <w:lang w:val="en-GB"/>
        </w:rPr>
        <w:t>FAM (Ventana</w:t>
      </w:r>
      <w:r>
        <w:rPr>
          <w:sz w:val="24"/>
          <w:szCs w:val="24"/>
          <w:lang w:val="en-GB"/>
        </w:rPr>
        <w:t xml:space="preserve">, </w:t>
      </w:r>
      <w:r>
        <w:rPr>
          <w:color w:val="000000"/>
          <w:sz w:val="24"/>
          <w:szCs w:val="24"/>
          <w:shd w:val="clear" w:color="auto" w:fill="FFFFFF"/>
        </w:rPr>
        <w:t>catalog</w:t>
      </w:r>
      <w:r w:rsidRPr="00A53CCC">
        <w:rPr>
          <w:sz w:val="24"/>
          <w:szCs w:val="24"/>
          <w:lang w:val="en-GB"/>
        </w:rPr>
        <w:t xml:space="preserve"> #760-243) for pSTAT3 and Red 610 (Ventana</w:t>
      </w:r>
      <w:r>
        <w:rPr>
          <w:sz w:val="24"/>
          <w:szCs w:val="24"/>
          <w:lang w:val="en-GB"/>
        </w:rPr>
        <w:t xml:space="preserve">, </w:t>
      </w:r>
      <w:r>
        <w:rPr>
          <w:color w:val="000000"/>
          <w:sz w:val="24"/>
          <w:szCs w:val="24"/>
          <w:shd w:val="clear" w:color="auto" w:fill="FFFFFF"/>
        </w:rPr>
        <w:t>catalog</w:t>
      </w:r>
      <w:r w:rsidRPr="00A53CCC">
        <w:rPr>
          <w:sz w:val="24"/>
          <w:szCs w:val="24"/>
          <w:lang w:val="en-GB"/>
        </w:rPr>
        <w:t xml:space="preserve"> #760-245) for detecting CD45</w:t>
      </w:r>
      <w:r>
        <w:rPr>
          <w:sz w:val="24"/>
          <w:szCs w:val="24"/>
          <w:lang w:val="en-GB"/>
        </w:rPr>
        <w:t>,</w:t>
      </w:r>
      <w:r w:rsidRPr="00A53CCC">
        <w:rPr>
          <w:sz w:val="24"/>
          <w:szCs w:val="24"/>
          <w:lang w:val="en-GB"/>
        </w:rPr>
        <w:t xml:space="preserve"> CD163</w:t>
      </w:r>
      <w:r>
        <w:rPr>
          <w:sz w:val="24"/>
          <w:szCs w:val="24"/>
          <w:lang w:val="en-GB"/>
        </w:rPr>
        <w:t>, and human mitochondria</w:t>
      </w:r>
      <w:r w:rsidRPr="00A53CCC">
        <w:rPr>
          <w:sz w:val="24"/>
          <w:szCs w:val="24"/>
          <w:lang w:val="en-GB"/>
        </w:rPr>
        <w:t>.  The nuclear counterstain used was QD DAPI (Ventana</w:t>
      </w:r>
      <w:r>
        <w:rPr>
          <w:sz w:val="24"/>
          <w:szCs w:val="24"/>
          <w:lang w:val="en-GB"/>
        </w:rPr>
        <w:t xml:space="preserve">, </w:t>
      </w:r>
      <w:r>
        <w:rPr>
          <w:color w:val="000000"/>
          <w:sz w:val="24"/>
          <w:szCs w:val="24"/>
          <w:shd w:val="clear" w:color="auto" w:fill="FFFFFF"/>
        </w:rPr>
        <w:t>catalog</w:t>
      </w:r>
      <w:r w:rsidRPr="00A53CCC">
        <w:rPr>
          <w:sz w:val="24"/>
          <w:szCs w:val="24"/>
          <w:lang w:val="en-GB"/>
        </w:rPr>
        <w:t xml:space="preserve"> #760-4196). </w:t>
      </w:r>
      <w:r>
        <w:rPr>
          <w:sz w:val="24"/>
          <w:szCs w:val="24"/>
          <w:lang w:val="en-GB"/>
        </w:rPr>
        <w:t>CT26 samples</w:t>
      </w:r>
      <w:r w:rsidRPr="00A53CCC">
        <w:rPr>
          <w:sz w:val="24"/>
          <w:szCs w:val="24"/>
          <w:lang w:val="en-GB"/>
        </w:rPr>
        <w:t xml:space="preserve"> were scanned with an </w:t>
      </w:r>
      <w:proofErr w:type="spellStart"/>
      <w:r w:rsidRPr="00A53CCC">
        <w:rPr>
          <w:sz w:val="24"/>
          <w:szCs w:val="24"/>
          <w:lang w:val="en-GB"/>
        </w:rPr>
        <w:t>Aperio</w:t>
      </w:r>
      <w:proofErr w:type="spellEnd"/>
      <w:r w:rsidRPr="00A53CCC">
        <w:rPr>
          <w:sz w:val="24"/>
          <w:szCs w:val="24"/>
          <w:lang w:val="en-GB"/>
        </w:rPr>
        <w:t xml:space="preserve"> Versa (Leica)</w:t>
      </w:r>
      <w:r>
        <w:rPr>
          <w:sz w:val="24"/>
          <w:szCs w:val="24"/>
          <w:lang w:val="en-GB"/>
        </w:rPr>
        <w:t xml:space="preserve">. PDX samples were scanned using a Zeiss </w:t>
      </w:r>
      <w:proofErr w:type="spellStart"/>
      <w:r>
        <w:rPr>
          <w:sz w:val="24"/>
          <w:szCs w:val="24"/>
          <w:lang w:val="en-GB"/>
        </w:rPr>
        <w:t>Axioscan</w:t>
      </w:r>
      <w:proofErr w:type="spellEnd"/>
      <w:r>
        <w:rPr>
          <w:sz w:val="24"/>
          <w:szCs w:val="24"/>
          <w:lang w:val="en-GB"/>
        </w:rPr>
        <w:t xml:space="preserve"> Z.1.</w:t>
      </w:r>
      <w:r w:rsidRPr="00A53CCC">
        <w:rPr>
          <w:sz w:val="24"/>
          <w:szCs w:val="24"/>
          <w:lang w:val="en-GB"/>
        </w:rPr>
        <w:t xml:space="preserve"> </w:t>
      </w:r>
      <w:r>
        <w:rPr>
          <w:sz w:val="24"/>
          <w:szCs w:val="24"/>
          <w:lang w:val="en-GB"/>
        </w:rPr>
        <w:t>I</w:t>
      </w:r>
      <w:r w:rsidRPr="00A53CCC">
        <w:rPr>
          <w:sz w:val="24"/>
          <w:szCs w:val="24"/>
          <w:lang w:val="en-GB"/>
        </w:rPr>
        <w:t>mage analysis was performed on the HALO platform (Indica Labs).</w:t>
      </w:r>
    </w:p>
    <w:p w14:paraId="1336F557" w14:textId="77777777" w:rsidR="00555A09" w:rsidRPr="00A53CCC" w:rsidRDefault="00555A09" w:rsidP="00555A09">
      <w:pPr>
        <w:spacing w:line="360" w:lineRule="auto"/>
        <w:rPr>
          <w:rFonts w:cstheme="minorHAnsi"/>
          <w:sz w:val="24"/>
          <w:szCs w:val="24"/>
          <w:lang w:val="en-GB"/>
        </w:rPr>
      </w:pPr>
    </w:p>
    <w:p w14:paraId="3E6ECDE4" w14:textId="77777777" w:rsidR="00555A09" w:rsidRDefault="00555A09" w:rsidP="00555A09">
      <w:pPr>
        <w:pStyle w:val="Paragraph"/>
        <w:spacing w:after="160" w:line="360" w:lineRule="auto"/>
        <w:rPr>
          <w:rFonts w:asciiTheme="minorHAnsi" w:hAnsiTheme="minorHAnsi" w:cstheme="minorHAnsi"/>
          <w:b/>
        </w:rPr>
      </w:pPr>
      <w:r w:rsidRPr="00AA44D5">
        <w:rPr>
          <w:rFonts w:asciiTheme="minorHAnsi" w:hAnsiTheme="minorHAnsi" w:cstheme="minorHAnsi"/>
          <w:b/>
        </w:rPr>
        <w:lastRenderedPageBreak/>
        <w:t>Single cell sequencing and data analysis</w:t>
      </w:r>
    </w:p>
    <w:p w14:paraId="3BDD8203" w14:textId="65250D74" w:rsidR="00555A09" w:rsidRPr="004807C7" w:rsidRDefault="0C994817" w:rsidP="7DCEA204">
      <w:pPr>
        <w:pStyle w:val="Paragraph"/>
        <w:spacing w:after="160" w:line="360" w:lineRule="auto"/>
        <w:rPr>
          <w:rFonts w:asciiTheme="minorHAnsi" w:eastAsia="DINNextLTPro-Regular" w:hAnsiTheme="minorHAnsi" w:cstheme="minorBidi"/>
        </w:rPr>
      </w:pPr>
      <w:proofErr w:type="spellStart"/>
      <w:r w:rsidRPr="7DCEA204">
        <w:rPr>
          <w:rFonts w:asciiTheme="minorHAnsi" w:hAnsiTheme="minorHAnsi" w:cstheme="minorBidi"/>
          <w:i/>
          <w:iCs/>
        </w:rPr>
        <w:t>scRNAseq</w:t>
      </w:r>
      <w:proofErr w:type="spellEnd"/>
      <w:r w:rsidRPr="7DCEA204">
        <w:rPr>
          <w:rFonts w:asciiTheme="minorHAnsi" w:hAnsiTheme="minorHAnsi" w:cstheme="minorBidi"/>
          <w:i/>
          <w:iCs/>
        </w:rPr>
        <w:t>.</w:t>
      </w:r>
      <w:r w:rsidRPr="7DCEA204">
        <w:rPr>
          <w:rFonts w:asciiTheme="minorHAnsi" w:hAnsiTheme="minorHAnsi" w:cstheme="minorBidi"/>
        </w:rPr>
        <w:t xml:space="preserve"> 3’ gene expression was profiled at the single cell level using the 10X Genomics Single Cell 3’v2 Reagent Kit (10X Genomics, Pleasanton, CA). CD45+ tumor-infiltrating immune cells were isolated using an </w:t>
      </w:r>
      <w:proofErr w:type="spellStart"/>
      <w:r w:rsidRPr="7DCEA204">
        <w:rPr>
          <w:rFonts w:asciiTheme="minorHAnsi" w:hAnsiTheme="minorHAnsi" w:cstheme="minorBidi"/>
        </w:rPr>
        <w:t>EasySep</w:t>
      </w:r>
      <w:proofErr w:type="spellEnd"/>
      <w:r w:rsidRPr="7DCEA204">
        <w:rPr>
          <w:rFonts w:asciiTheme="minorHAnsi" w:hAnsiTheme="minorHAnsi" w:cstheme="minorBidi"/>
        </w:rPr>
        <w:t xml:space="preserve">™ Release Mouse PE Positive Selection Kit (catalog #17656; </w:t>
      </w:r>
      <w:proofErr w:type="spellStart"/>
      <w:r w:rsidRPr="7DCEA204">
        <w:rPr>
          <w:rFonts w:asciiTheme="minorHAnsi" w:hAnsiTheme="minorHAnsi" w:cstheme="minorBidi"/>
        </w:rPr>
        <w:t>Stemcell</w:t>
      </w:r>
      <w:proofErr w:type="spellEnd"/>
      <w:r w:rsidRPr="7DCEA204">
        <w:rPr>
          <w:rFonts w:asciiTheme="minorHAnsi" w:hAnsiTheme="minorHAnsi" w:cstheme="minorBidi"/>
        </w:rPr>
        <w:t xml:space="preserve"> Technologies, Vancouver, BC) after binding rat PE anti-mouse CD45 antibody (catalog #103106; </w:t>
      </w:r>
      <w:proofErr w:type="spellStart"/>
      <w:r w:rsidRPr="7DCEA204">
        <w:rPr>
          <w:rFonts w:asciiTheme="minorHAnsi" w:hAnsiTheme="minorHAnsi" w:cstheme="minorBidi"/>
        </w:rPr>
        <w:t>Biolegend</w:t>
      </w:r>
      <w:proofErr w:type="spellEnd"/>
      <w:r w:rsidRPr="7DCEA204">
        <w:rPr>
          <w:rFonts w:asciiTheme="minorHAnsi" w:hAnsiTheme="minorHAnsi" w:cstheme="minorBidi"/>
        </w:rPr>
        <w:t>, San Diego, CA</w:t>
      </w:r>
      <w:r w:rsidR="2FDF892A" w:rsidRPr="7DCEA204">
        <w:rPr>
          <w:rFonts w:asciiTheme="minorHAnsi" w:hAnsiTheme="minorHAnsi" w:cstheme="minorBidi"/>
        </w:rPr>
        <w:t xml:space="preserve"> [RRID:AB_312971]</w:t>
      </w:r>
      <w:r w:rsidRPr="7DCEA204">
        <w:rPr>
          <w:rFonts w:asciiTheme="minorHAnsi" w:hAnsiTheme="minorHAnsi" w:cstheme="minorBidi"/>
        </w:rPr>
        <w:t xml:space="preserve">) to dissociated cells. Isolated cells were washed with PBS and diluted to 1,000 cells/µL in 1X PBS with 0.04% BSA. 20,000 cells were loaded per reaction and Gel Bead-in-Emulsions (GEMs) were generated with the 10X Genomics Chromium Controller, followed by reverse transcription, GEM-RT cleanup, and cDNA amplification per 10X protocol. </w:t>
      </w:r>
      <w:r w:rsidRPr="7DCEA204">
        <w:rPr>
          <w:rFonts w:asciiTheme="minorHAnsi" w:eastAsia="DINNextLTPro-Regular" w:hAnsiTheme="minorHAnsi" w:cstheme="minorBidi"/>
        </w:rPr>
        <w:t xml:space="preserve">35 µL of cDNA was used as input into library construction. Samples underwent fragmentation, end repair and A-tailing, followed by adapter ligation, sample index PCR, and post-library QC per 10X protocol. Libraries were quantified on the </w:t>
      </w:r>
      <w:proofErr w:type="spellStart"/>
      <w:r w:rsidRPr="7DCEA204">
        <w:rPr>
          <w:rFonts w:asciiTheme="minorHAnsi" w:eastAsia="DINNextLTPro-Regular" w:hAnsiTheme="minorHAnsi" w:cstheme="minorBidi"/>
        </w:rPr>
        <w:t>QuantStudio</w:t>
      </w:r>
      <w:proofErr w:type="spellEnd"/>
      <w:r w:rsidRPr="7DCEA204">
        <w:rPr>
          <w:rFonts w:asciiTheme="minorHAnsi" w:eastAsia="DINNextLTPro-Regular" w:hAnsiTheme="minorHAnsi" w:cstheme="minorBidi"/>
        </w:rPr>
        <w:t xml:space="preserve"> 12K Flex Real-Time PCR System (Thermo Fisher Scientific, Waltham, MA, USA) using the KAPA Library Quantification Kit for Illumina Platforms with ROX Low qPCR </w:t>
      </w:r>
      <w:proofErr w:type="spellStart"/>
      <w:r w:rsidRPr="7DCEA204">
        <w:rPr>
          <w:rFonts w:asciiTheme="minorHAnsi" w:eastAsia="DINNextLTPro-Regular" w:hAnsiTheme="minorHAnsi" w:cstheme="minorBidi"/>
        </w:rPr>
        <w:t>Mastermix</w:t>
      </w:r>
      <w:proofErr w:type="spellEnd"/>
      <w:r w:rsidRPr="7DCEA204">
        <w:rPr>
          <w:rFonts w:asciiTheme="minorHAnsi" w:eastAsia="DINNextLTPro-Regular" w:hAnsiTheme="minorHAnsi" w:cstheme="minorBidi"/>
        </w:rPr>
        <w:t xml:space="preserve"> (KAPA Biosystems, Wilmington, MA, USA). Libraries were diluted to 1.5 </w:t>
      </w:r>
      <w:proofErr w:type="spellStart"/>
      <w:r w:rsidRPr="7DCEA204">
        <w:rPr>
          <w:rFonts w:asciiTheme="minorHAnsi" w:eastAsia="DINNextLTPro-Regular" w:hAnsiTheme="minorHAnsi" w:cstheme="minorBidi"/>
        </w:rPr>
        <w:t>nM</w:t>
      </w:r>
      <w:proofErr w:type="spellEnd"/>
      <w:r w:rsidRPr="7DCEA204">
        <w:rPr>
          <w:rFonts w:asciiTheme="minorHAnsi" w:eastAsia="DINNextLTPro-Regular" w:hAnsiTheme="minorHAnsi" w:cstheme="minorBidi"/>
        </w:rPr>
        <w:t xml:space="preserve"> and pooled in equal volumes with 6 libraries per pool. The pool was spiked with 1% </w:t>
      </w:r>
      <w:proofErr w:type="spellStart"/>
      <w:r w:rsidRPr="7DCEA204">
        <w:rPr>
          <w:rFonts w:asciiTheme="minorHAnsi" w:eastAsia="DINNextLTPro-Regular" w:hAnsiTheme="minorHAnsi" w:cstheme="minorBidi"/>
        </w:rPr>
        <w:t>PhiX</w:t>
      </w:r>
      <w:proofErr w:type="spellEnd"/>
      <w:r w:rsidRPr="7DCEA204">
        <w:rPr>
          <w:rFonts w:asciiTheme="minorHAnsi" w:eastAsia="DINNextLTPro-Regular" w:hAnsiTheme="minorHAnsi" w:cstheme="minorBidi"/>
        </w:rPr>
        <w:t xml:space="preserve">, diluted to 300 </w:t>
      </w:r>
      <w:proofErr w:type="spellStart"/>
      <w:r w:rsidRPr="7DCEA204">
        <w:rPr>
          <w:rFonts w:asciiTheme="minorHAnsi" w:eastAsia="DINNextLTPro-Regular" w:hAnsiTheme="minorHAnsi" w:cstheme="minorBidi"/>
        </w:rPr>
        <w:t>pM</w:t>
      </w:r>
      <w:proofErr w:type="spellEnd"/>
      <w:r w:rsidRPr="7DCEA204">
        <w:rPr>
          <w:rFonts w:asciiTheme="minorHAnsi" w:eastAsia="DINNextLTPro-Regular" w:hAnsiTheme="minorHAnsi" w:cstheme="minorBidi"/>
        </w:rPr>
        <w:t xml:space="preserve">, and sequenced on the </w:t>
      </w:r>
      <w:proofErr w:type="spellStart"/>
      <w:r w:rsidRPr="7DCEA204">
        <w:rPr>
          <w:rFonts w:asciiTheme="minorHAnsi" w:eastAsia="DINNextLTPro-Regular" w:hAnsiTheme="minorHAnsi" w:cstheme="minorBidi"/>
        </w:rPr>
        <w:t>Novaseq</w:t>
      </w:r>
      <w:proofErr w:type="spellEnd"/>
      <w:r w:rsidRPr="7DCEA204">
        <w:rPr>
          <w:rFonts w:asciiTheme="minorHAnsi" w:eastAsia="DINNextLTPro-Regular" w:hAnsiTheme="minorHAnsi" w:cstheme="minorBidi"/>
        </w:rPr>
        <w:t xml:space="preserve"> 6000 System with S2 flow cell (Illumina, San Diego, CA) with the following parameters: Read 1: 26 cycles; i7 Index: 8 cycles; Read 2: 98 cycles. </w:t>
      </w:r>
    </w:p>
    <w:p w14:paraId="3BD1934B" w14:textId="528D835F" w:rsidR="00555A09" w:rsidRPr="004807C7" w:rsidRDefault="0C994817" w:rsidP="7DCEA204">
      <w:pPr>
        <w:spacing w:line="360" w:lineRule="auto"/>
        <w:rPr>
          <w:sz w:val="24"/>
          <w:szCs w:val="24"/>
        </w:rPr>
      </w:pPr>
      <w:proofErr w:type="spellStart"/>
      <w:r w:rsidRPr="7DCEA204">
        <w:rPr>
          <w:i/>
          <w:iCs/>
          <w:sz w:val="24"/>
          <w:szCs w:val="24"/>
        </w:rPr>
        <w:t>scRNAseq</w:t>
      </w:r>
      <w:proofErr w:type="spellEnd"/>
      <w:r w:rsidRPr="7DCEA204">
        <w:rPr>
          <w:i/>
          <w:iCs/>
          <w:sz w:val="24"/>
          <w:szCs w:val="24"/>
        </w:rPr>
        <w:t xml:space="preserve"> data mapping, </w:t>
      </w:r>
      <w:proofErr w:type="gramStart"/>
      <w:r w:rsidRPr="7DCEA204">
        <w:rPr>
          <w:i/>
          <w:iCs/>
          <w:sz w:val="24"/>
          <w:szCs w:val="24"/>
        </w:rPr>
        <w:t>quantification</w:t>
      </w:r>
      <w:proofErr w:type="gramEnd"/>
      <w:r w:rsidRPr="7DCEA204">
        <w:rPr>
          <w:i/>
          <w:iCs/>
          <w:sz w:val="24"/>
          <w:szCs w:val="24"/>
        </w:rPr>
        <w:t xml:space="preserve"> and quality control.</w:t>
      </w:r>
      <w:r w:rsidRPr="7DCEA204">
        <w:rPr>
          <w:sz w:val="24"/>
          <w:szCs w:val="24"/>
        </w:rPr>
        <w:t xml:space="preserve"> Sequencing data was mapped and quantified using Cell Ranger software (v2.1.0) with default parameters. Downstream analysis was performed using the </w:t>
      </w:r>
      <w:r w:rsidRPr="7DCEA204">
        <w:rPr>
          <w:i/>
          <w:iCs/>
          <w:sz w:val="24"/>
          <w:szCs w:val="24"/>
        </w:rPr>
        <w:t>Seurat</w:t>
      </w:r>
      <w:r w:rsidRPr="7DCEA204">
        <w:rPr>
          <w:sz w:val="24"/>
          <w:szCs w:val="24"/>
        </w:rPr>
        <w:t xml:space="preserve"> package (v2.3.4</w:t>
      </w:r>
      <w:r w:rsidR="253C2D3A" w:rsidRPr="7DCEA204">
        <w:rPr>
          <w:sz w:val="24"/>
          <w:szCs w:val="24"/>
        </w:rPr>
        <w:t>; RRID:SCR_007322</w:t>
      </w:r>
      <w:r w:rsidRPr="7DCEA204">
        <w:rPr>
          <w:sz w:val="24"/>
          <w:szCs w:val="24"/>
        </w:rPr>
        <w:t>) (1) and plotted</w:t>
      </w:r>
      <w:r w:rsidRPr="7DCEA204">
        <w:rPr>
          <w:color w:val="000000" w:themeColor="text1"/>
          <w:sz w:val="24"/>
          <w:szCs w:val="24"/>
        </w:rPr>
        <w:t xml:space="preserve"> using ggplot2 (2)</w:t>
      </w:r>
      <w:r w:rsidR="2BBB76F1" w:rsidRPr="7DCEA204">
        <w:rPr>
          <w:color w:val="000000" w:themeColor="text1"/>
          <w:sz w:val="24"/>
          <w:szCs w:val="24"/>
        </w:rPr>
        <w:t xml:space="preserve"> (RRID:SCR_014601)</w:t>
      </w:r>
      <w:r w:rsidRPr="7DCEA204">
        <w:rPr>
          <w:color w:val="000000" w:themeColor="text1"/>
          <w:sz w:val="24"/>
          <w:szCs w:val="24"/>
        </w:rPr>
        <w:t>. Raw count matrices per sample were uploaded to R software (</w:t>
      </w:r>
      <w:proofErr w:type="spellStart"/>
      <w:r w:rsidRPr="7DCEA204">
        <w:rPr>
          <w:color w:val="000000" w:themeColor="text1"/>
          <w:sz w:val="24"/>
          <w:szCs w:val="24"/>
        </w:rPr>
        <w:t>C</w:t>
      </w:r>
      <w:r w:rsidRPr="7DCEA204">
        <w:rPr>
          <w:sz w:val="24"/>
          <w:szCs w:val="24"/>
        </w:rPr>
        <w:t>reateSeuratObject</w:t>
      </w:r>
      <w:proofErr w:type="spellEnd"/>
      <w:r w:rsidRPr="7DCEA204">
        <w:rPr>
          <w:sz w:val="24"/>
          <w:szCs w:val="24"/>
        </w:rPr>
        <w:t>, Seurat). A single Seurat object was created (</w:t>
      </w:r>
      <w:proofErr w:type="spellStart"/>
      <w:r w:rsidRPr="7DCEA204">
        <w:rPr>
          <w:sz w:val="24"/>
          <w:szCs w:val="24"/>
        </w:rPr>
        <w:t>MergeSeurat</w:t>
      </w:r>
      <w:proofErr w:type="spellEnd"/>
      <w:r w:rsidRPr="7DCEA204">
        <w:rPr>
          <w:sz w:val="24"/>
          <w:szCs w:val="24"/>
        </w:rPr>
        <w:t>, Seurat), and counts were log-normalized with a scale factor of 10,000. Cells with more than 10% of mitochondrial reads and fewer than 300 genes were excluded. Due to the presence of cell types with very disparate median numbers of genes per cell, this permissive threshold of number of genes was used in order to avoid exclusion of any meaningful cell population. The number of unique molecular identifiers (UMIs) and percentage of mitochondrial reads were regressed out, and the resulting residuals were scaled (</w:t>
      </w:r>
      <w:proofErr w:type="spellStart"/>
      <w:r w:rsidRPr="7DCEA204">
        <w:rPr>
          <w:sz w:val="24"/>
          <w:szCs w:val="24"/>
        </w:rPr>
        <w:t>ScaleData</w:t>
      </w:r>
      <w:proofErr w:type="spellEnd"/>
      <w:r w:rsidRPr="7DCEA204">
        <w:rPr>
          <w:sz w:val="24"/>
          <w:szCs w:val="24"/>
        </w:rPr>
        <w:t xml:space="preserve">, Seurat). Highly </w:t>
      </w:r>
      <w:r w:rsidRPr="7DCEA204">
        <w:rPr>
          <w:sz w:val="24"/>
          <w:szCs w:val="24"/>
        </w:rPr>
        <w:lastRenderedPageBreak/>
        <w:t>variable genes (HVGs) were identified based on the expression-corrected dispersion values (</w:t>
      </w:r>
      <w:proofErr w:type="spellStart"/>
      <w:r w:rsidRPr="7DCEA204">
        <w:rPr>
          <w:sz w:val="24"/>
          <w:szCs w:val="24"/>
        </w:rPr>
        <w:t>FindVariableGenes</w:t>
      </w:r>
      <w:proofErr w:type="spellEnd"/>
      <w:r w:rsidRPr="7DCEA204">
        <w:rPr>
          <w:sz w:val="24"/>
          <w:szCs w:val="24"/>
        </w:rPr>
        <w:t xml:space="preserve">, Seurat; </w:t>
      </w:r>
      <w:proofErr w:type="spellStart"/>
      <w:r w:rsidRPr="7DCEA204">
        <w:rPr>
          <w:sz w:val="24"/>
          <w:szCs w:val="24"/>
        </w:rPr>
        <w:t>x.low.cutoff</w:t>
      </w:r>
      <w:proofErr w:type="spellEnd"/>
      <w:r w:rsidRPr="7DCEA204">
        <w:rPr>
          <w:sz w:val="24"/>
          <w:szCs w:val="24"/>
        </w:rPr>
        <w:t xml:space="preserve"> = 0.0125, </w:t>
      </w:r>
      <w:proofErr w:type="spellStart"/>
      <w:r w:rsidRPr="7DCEA204">
        <w:rPr>
          <w:sz w:val="24"/>
          <w:szCs w:val="24"/>
        </w:rPr>
        <w:t>x.high.cutoff</w:t>
      </w:r>
      <w:proofErr w:type="spellEnd"/>
      <w:r w:rsidRPr="7DCEA204">
        <w:rPr>
          <w:sz w:val="24"/>
          <w:szCs w:val="24"/>
        </w:rPr>
        <w:t xml:space="preserve"> = 2.5, </w:t>
      </w:r>
      <w:proofErr w:type="spellStart"/>
      <w:r w:rsidRPr="7DCEA204">
        <w:rPr>
          <w:sz w:val="24"/>
          <w:szCs w:val="24"/>
        </w:rPr>
        <w:t>y.cutoff</w:t>
      </w:r>
      <w:proofErr w:type="spellEnd"/>
      <w:r w:rsidRPr="7DCEA204">
        <w:rPr>
          <w:sz w:val="24"/>
          <w:szCs w:val="24"/>
        </w:rPr>
        <w:t xml:space="preserve"> = 1.05).</w:t>
      </w:r>
    </w:p>
    <w:p w14:paraId="720C74CB" w14:textId="500A4EF7" w:rsidR="00555A09" w:rsidRPr="004807C7" w:rsidRDefault="00555A09" w:rsidP="00555A09">
      <w:pPr>
        <w:spacing w:line="360" w:lineRule="auto"/>
        <w:rPr>
          <w:rFonts w:cstheme="minorHAnsi"/>
          <w:sz w:val="24"/>
          <w:szCs w:val="24"/>
        </w:rPr>
      </w:pPr>
      <w:proofErr w:type="spellStart"/>
      <w:r>
        <w:rPr>
          <w:rFonts w:cstheme="minorHAnsi"/>
          <w:i/>
          <w:sz w:val="24"/>
          <w:szCs w:val="24"/>
        </w:rPr>
        <w:t>scRNAseq</w:t>
      </w:r>
      <w:proofErr w:type="spellEnd"/>
      <w:r>
        <w:rPr>
          <w:rFonts w:cstheme="minorHAnsi"/>
          <w:i/>
          <w:sz w:val="24"/>
          <w:szCs w:val="24"/>
        </w:rPr>
        <w:t xml:space="preserve"> dimens</w:t>
      </w:r>
      <w:r w:rsidRPr="004807C7">
        <w:rPr>
          <w:rFonts w:cstheme="minorHAnsi"/>
          <w:i/>
          <w:sz w:val="24"/>
          <w:szCs w:val="24"/>
        </w:rPr>
        <w:t xml:space="preserve">ionality reduction, </w:t>
      </w:r>
      <w:proofErr w:type="gramStart"/>
      <w:r w:rsidRPr="004807C7">
        <w:rPr>
          <w:rFonts w:cstheme="minorHAnsi"/>
          <w:i/>
          <w:sz w:val="24"/>
          <w:szCs w:val="24"/>
        </w:rPr>
        <w:t>clustering</w:t>
      </w:r>
      <w:proofErr w:type="gramEnd"/>
      <w:r w:rsidRPr="004807C7">
        <w:rPr>
          <w:rFonts w:cstheme="minorHAnsi"/>
          <w:i/>
          <w:sz w:val="24"/>
          <w:szCs w:val="24"/>
        </w:rPr>
        <w:t xml:space="preserve"> and differential expression.</w:t>
      </w:r>
      <w:r w:rsidRPr="004807C7">
        <w:rPr>
          <w:rFonts w:cstheme="minorHAnsi"/>
          <w:sz w:val="24"/>
          <w:szCs w:val="24"/>
        </w:rPr>
        <w:t xml:space="preserve"> Scaled expression values for the HVGs were used as input for the Principal Component Analysis (</w:t>
      </w:r>
      <w:proofErr w:type="spellStart"/>
      <w:r w:rsidRPr="004807C7">
        <w:rPr>
          <w:rFonts w:cstheme="minorHAnsi"/>
          <w:sz w:val="24"/>
          <w:szCs w:val="24"/>
        </w:rPr>
        <w:t>RunPCA</w:t>
      </w:r>
      <w:proofErr w:type="spellEnd"/>
      <w:r w:rsidRPr="004807C7">
        <w:rPr>
          <w:rFonts w:cstheme="minorHAnsi"/>
          <w:sz w:val="24"/>
          <w:szCs w:val="24"/>
        </w:rPr>
        <w:t xml:space="preserve">, Seurat). 30 PCs were then used for </w:t>
      </w:r>
      <w:r w:rsidRPr="00FF65AA">
        <w:rPr>
          <w:rFonts w:cstheme="minorHAnsi"/>
          <w:bCs/>
          <w:sz w:val="24"/>
          <w:szCs w:val="24"/>
        </w:rPr>
        <w:t>Uniform Manifold Approximation and Projection</w:t>
      </w:r>
      <w:r w:rsidRPr="004807C7">
        <w:rPr>
          <w:rFonts w:cstheme="minorHAnsi"/>
          <w:sz w:val="24"/>
          <w:szCs w:val="24"/>
        </w:rPr>
        <w:t xml:space="preserve"> calculation (UMAP</w:t>
      </w:r>
      <w:r>
        <w:rPr>
          <w:rFonts w:cstheme="minorHAnsi"/>
          <w:bCs/>
          <w:sz w:val="24"/>
          <w:szCs w:val="24"/>
        </w:rPr>
        <w:t xml:space="preserve">; </w:t>
      </w:r>
      <w:proofErr w:type="spellStart"/>
      <w:r w:rsidRPr="004807C7">
        <w:rPr>
          <w:rFonts w:cstheme="minorHAnsi"/>
          <w:sz w:val="24"/>
          <w:szCs w:val="24"/>
        </w:rPr>
        <w:t>RunUMAP</w:t>
      </w:r>
      <w:proofErr w:type="spellEnd"/>
      <w:r w:rsidRPr="004807C7">
        <w:rPr>
          <w:rFonts w:cstheme="minorHAnsi"/>
          <w:sz w:val="24"/>
          <w:szCs w:val="24"/>
        </w:rPr>
        <w:t>, Seurat). The same number of PCs was used for cell clustering (</w:t>
      </w:r>
      <w:proofErr w:type="spellStart"/>
      <w:r w:rsidRPr="004807C7">
        <w:rPr>
          <w:rFonts w:cstheme="minorHAnsi"/>
          <w:sz w:val="24"/>
          <w:szCs w:val="24"/>
        </w:rPr>
        <w:t>FindClusters</w:t>
      </w:r>
      <w:proofErr w:type="spellEnd"/>
      <w:r w:rsidRPr="004807C7">
        <w:rPr>
          <w:rFonts w:cstheme="minorHAnsi"/>
          <w:sz w:val="24"/>
          <w:szCs w:val="24"/>
        </w:rPr>
        <w:t xml:space="preserve">, Seurat), which was performed for a range of resolutions. Per resolution, differential expression genes were identified for each cluster </w:t>
      </w:r>
      <w:r>
        <w:rPr>
          <w:rFonts w:cstheme="minorHAnsi"/>
          <w:sz w:val="24"/>
          <w:szCs w:val="24"/>
        </w:rPr>
        <w:t>vs</w:t>
      </w:r>
      <w:r w:rsidRPr="004807C7">
        <w:rPr>
          <w:rFonts w:cstheme="minorHAnsi"/>
          <w:sz w:val="24"/>
          <w:szCs w:val="24"/>
        </w:rPr>
        <w:t xml:space="preserve"> all other cells (1 vs All), and for all pairwise comparisons between clusters (1 vs 1) (</w:t>
      </w:r>
      <w:proofErr w:type="spellStart"/>
      <w:r w:rsidRPr="004807C7">
        <w:rPr>
          <w:rFonts w:cstheme="minorHAnsi"/>
          <w:sz w:val="24"/>
          <w:szCs w:val="24"/>
        </w:rPr>
        <w:t>FindMarkers</w:t>
      </w:r>
      <w:proofErr w:type="spellEnd"/>
      <w:r w:rsidRPr="004807C7">
        <w:rPr>
          <w:rFonts w:cstheme="minorHAnsi"/>
          <w:sz w:val="24"/>
          <w:szCs w:val="24"/>
        </w:rPr>
        <w:t>, Seurat; Wilcox</w:t>
      </w:r>
      <w:r>
        <w:rPr>
          <w:rFonts w:cstheme="minorHAnsi"/>
          <w:sz w:val="24"/>
          <w:szCs w:val="24"/>
        </w:rPr>
        <w:t xml:space="preserve">on </w:t>
      </w:r>
      <w:r w:rsidRPr="004807C7">
        <w:rPr>
          <w:rFonts w:cstheme="minorHAnsi"/>
          <w:sz w:val="24"/>
          <w:szCs w:val="24"/>
        </w:rPr>
        <w:t xml:space="preserve">test). </w:t>
      </w:r>
    </w:p>
    <w:p w14:paraId="62E973B3" w14:textId="6BCD9014" w:rsidR="00555A09" w:rsidRPr="004807C7" w:rsidRDefault="00555A09" w:rsidP="00555A09">
      <w:pPr>
        <w:spacing w:line="360" w:lineRule="auto"/>
        <w:rPr>
          <w:rFonts w:cstheme="minorHAnsi"/>
          <w:sz w:val="24"/>
          <w:szCs w:val="24"/>
        </w:rPr>
      </w:pPr>
      <w:r>
        <w:rPr>
          <w:rFonts w:cstheme="minorHAnsi"/>
          <w:i/>
          <w:sz w:val="24"/>
          <w:szCs w:val="24"/>
        </w:rPr>
        <w:t xml:space="preserve">Cell type filtering and </w:t>
      </w:r>
      <w:proofErr w:type="spellStart"/>
      <w:r>
        <w:rPr>
          <w:rFonts w:cstheme="minorHAnsi"/>
          <w:i/>
          <w:sz w:val="24"/>
          <w:szCs w:val="24"/>
        </w:rPr>
        <w:t>sub</w:t>
      </w:r>
      <w:r w:rsidRPr="004807C7">
        <w:rPr>
          <w:rFonts w:cstheme="minorHAnsi"/>
          <w:i/>
          <w:sz w:val="24"/>
          <w:szCs w:val="24"/>
        </w:rPr>
        <w:t>setting</w:t>
      </w:r>
      <w:proofErr w:type="spellEnd"/>
      <w:r w:rsidRPr="004807C7">
        <w:rPr>
          <w:rFonts w:cstheme="minorHAnsi"/>
          <w:i/>
          <w:sz w:val="24"/>
          <w:szCs w:val="24"/>
        </w:rPr>
        <w:t>.</w:t>
      </w:r>
      <w:r w:rsidRPr="004807C7">
        <w:rPr>
          <w:rFonts w:cstheme="minorHAnsi"/>
          <w:sz w:val="24"/>
          <w:szCs w:val="24"/>
        </w:rPr>
        <w:t xml:space="preserve"> A summary of the quality control and filtering steps </w:t>
      </w:r>
      <w:r>
        <w:rPr>
          <w:rFonts w:cstheme="minorHAnsi"/>
          <w:sz w:val="24"/>
          <w:szCs w:val="24"/>
        </w:rPr>
        <w:t xml:space="preserve">is shown </w:t>
      </w:r>
      <w:r w:rsidRPr="004807C7">
        <w:rPr>
          <w:rFonts w:cstheme="minorHAnsi"/>
          <w:sz w:val="24"/>
          <w:szCs w:val="24"/>
        </w:rPr>
        <w:t>in Supplementary Figure 5A. Although CD45</w:t>
      </w:r>
      <w:r>
        <w:rPr>
          <w:rFonts w:cstheme="minorHAnsi"/>
          <w:sz w:val="24"/>
          <w:szCs w:val="24"/>
        </w:rPr>
        <w:t xml:space="preserve"> </w:t>
      </w:r>
      <w:r w:rsidRPr="004807C7">
        <w:rPr>
          <w:rFonts w:cstheme="minorHAnsi"/>
          <w:sz w:val="24"/>
          <w:szCs w:val="24"/>
        </w:rPr>
        <w:t xml:space="preserve">enrichment was performed prior to </w:t>
      </w:r>
      <w:proofErr w:type="spellStart"/>
      <w:r w:rsidRPr="004807C7">
        <w:rPr>
          <w:rFonts w:cstheme="minorHAnsi"/>
          <w:sz w:val="24"/>
          <w:szCs w:val="24"/>
        </w:rPr>
        <w:t>scRNAseq</w:t>
      </w:r>
      <w:proofErr w:type="spellEnd"/>
      <w:r w:rsidRPr="004807C7">
        <w:rPr>
          <w:rFonts w:cstheme="minorHAnsi"/>
          <w:sz w:val="24"/>
          <w:szCs w:val="24"/>
        </w:rPr>
        <w:t xml:space="preserve">, inspection of </w:t>
      </w:r>
      <w:proofErr w:type="spellStart"/>
      <w:r w:rsidRPr="004807C7">
        <w:rPr>
          <w:rFonts w:cstheme="minorHAnsi"/>
          <w:i/>
          <w:sz w:val="24"/>
          <w:szCs w:val="24"/>
        </w:rPr>
        <w:t>Ptprc</w:t>
      </w:r>
      <w:proofErr w:type="spellEnd"/>
      <w:r w:rsidRPr="004807C7">
        <w:rPr>
          <w:rFonts w:cstheme="minorHAnsi"/>
          <w:sz w:val="24"/>
          <w:szCs w:val="24"/>
        </w:rPr>
        <w:t xml:space="preserve"> (CD45) mean expression level and percentage of expressing cells revealed multiple CD45</w:t>
      </w:r>
      <w:r w:rsidRPr="004807C7">
        <w:rPr>
          <w:rFonts w:cstheme="minorHAnsi"/>
          <w:sz w:val="24"/>
          <w:szCs w:val="24"/>
          <w:vertAlign w:val="superscript"/>
        </w:rPr>
        <w:t>neg</w:t>
      </w:r>
      <w:r w:rsidRPr="004807C7">
        <w:rPr>
          <w:rFonts w:cstheme="minorHAnsi"/>
          <w:sz w:val="24"/>
          <w:szCs w:val="24"/>
        </w:rPr>
        <w:t xml:space="preserve"> cell clusters. While some of these clusters corresponded to low quality cells, most CD45</w:t>
      </w:r>
      <w:r w:rsidRPr="004807C7">
        <w:rPr>
          <w:rFonts w:cstheme="minorHAnsi"/>
          <w:sz w:val="24"/>
          <w:szCs w:val="24"/>
          <w:vertAlign w:val="superscript"/>
        </w:rPr>
        <w:t>neg</w:t>
      </w:r>
      <w:r w:rsidRPr="004807C7">
        <w:rPr>
          <w:rFonts w:cstheme="minorHAnsi"/>
          <w:sz w:val="24"/>
          <w:szCs w:val="24"/>
        </w:rPr>
        <w:t xml:space="preserve"> clusters exhibited high levels of </w:t>
      </w:r>
      <w:r w:rsidRPr="004807C7">
        <w:rPr>
          <w:rFonts w:cstheme="minorHAnsi"/>
          <w:i/>
          <w:sz w:val="24"/>
          <w:szCs w:val="24"/>
        </w:rPr>
        <w:t>Tm4sf1</w:t>
      </w:r>
      <w:r w:rsidRPr="004807C7">
        <w:rPr>
          <w:rFonts w:cstheme="minorHAnsi"/>
          <w:sz w:val="24"/>
          <w:szCs w:val="24"/>
        </w:rPr>
        <w:t xml:space="preserve"> and multiple collagens, which are respectively characteristic of tumo</w:t>
      </w:r>
      <w:r>
        <w:rPr>
          <w:rFonts w:cstheme="minorHAnsi"/>
          <w:sz w:val="24"/>
          <w:szCs w:val="24"/>
        </w:rPr>
        <w:t xml:space="preserve">r and tumor-associated cell </w:t>
      </w:r>
      <w:r w:rsidRPr="004807C7">
        <w:rPr>
          <w:rFonts w:cstheme="minorHAnsi"/>
          <w:sz w:val="24"/>
          <w:szCs w:val="24"/>
        </w:rPr>
        <w:t>types. Cells in these clusters were excluded, and cell</w:t>
      </w:r>
      <w:r>
        <w:rPr>
          <w:rFonts w:cstheme="minorHAnsi"/>
          <w:sz w:val="24"/>
          <w:szCs w:val="24"/>
        </w:rPr>
        <w:t>s in the CD45+ clusters were re</w:t>
      </w:r>
      <w:r w:rsidRPr="004807C7">
        <w:rPr>
          <w:rFonts w:cstheme="minorHAnsi"/>
          <w:sz w:val="24"/>
          <w:szCs w:val="24"/>
        </w:rPr>
        <w:t xml:space="preserve">analyzed as described above. Based on known </w:t>
      </w:r>
      <w:r>
        <w:rPr>
          <w:rFonts w:cstheme="minorHAnsi"/>
          <w:color w:val="000000" w:themeColor="text1"/>
          <w:sz w:val="24"/>
          <w:szCs w:val="24"/>
        </w:rPr>
        <w:t>markers (3</w:t>
      </w:r>
      <w:r w:rsidRPr="005C2DA5">
        <w:rPr>
          <w:rFonts w:cstheme="minorHAnsi"/>
          <w:color w:val="000000" w:themeColor="text1"/>
          <w:sz w:val="24"/>
          <w:szCs w:val="24"/>
        </w:rPr>
        <w:t xml:space="preserve">), </w:t>
      </w:r>
      <w:r w:rsidRPr="004807C7">
        <w:rPr>
          <w:rFonts w:cstheme="minorHAnsi"/>
          <w:sz w:val="24"/>
          <w:szCs w:val="24"/>
        </w:rPr>
        <w:t>we chose the clustering resolution that allowed cells to be divided into: B cells (</w:t>
      </w:r>
      <w:r w:rsidRPr="004807C7">
        <w:rPr>
          <w:rFonts w:cstheme="minorHAnsi"/>
          <w:i/>
          <w:sz w:val="24"/>
          <w:szCs w:val="24"/>
        </w:rPr>
        <w:t>Cd19</w:t>
      </w:r>
      <w:r w:rsidRPr="004807C7">
        <w:rPr>
          <w:rFonts w:cstheme="minorHAnsi"/>
          <w:sz w:val="24"/>
          <w:szCs w:val="24"/>
        </w:rPr>
        <w:t>); T and NK cells (</w:t>
      </w:r>
      <w:r w:rsidRPr="004807C7">
        <w:rPr>
          <w:rFonts w:cstheme="minorHAnsi"/>
          <w:i/>
          <w:sz w:val="24"/>
          <w:szCs w:val="24"/>
        </w:rPr>
        <w:t>Cd3e</w:t>
      </w:r>
      <w:r w:rsidRPr="004807C7">
        <w:rPr>
          <w:rFonts w:cstheme="minorHAnsi"/>
          <w:sz w:val="24"/>
          <w:szCs w:val="24"/>
        </w:rPr>
        <w:t xml:space="preserve"> and </w:t>
      </w:r>
      <w:r w:rsidRPr="004807C7">
        <w:rPr>
          <w:rFonts w:cstheme="minorHAnsi"/>
          <w:i/>
          <w:sz w:val="24"/>
          <w:szCs w:val="24"/>
        </w:rPr>
        <w:t>Ncr1</w:t>
      </w:r>
      <w:r>
        <w:rPr>
          <w:rFonts w:cstheme="minorHAnsi"/>
          <w:sz w:val="24"/>
          <w:szCs w:val="24"/>
        </w:rPr>
        <w:t>, respectively); n</w:t>
      </w:r>
      <w:r w:rsidRPr="004807C7">
        <w:rPr>
          <w:rFonts w:cstheme="minorHAnsi"/>
          <w:sz w:val="24"/>
          <w:szCs w:val="24"/>
        </w:rPr>
        <w:t>eutrophils (</w:t>
      </w:r>
      <w:r w:rsidRPr="004807C7">
        <w:rPr>
          <w:rFonts w:cstheme="minorHAnsi"/>
          <w:i/>
          <w:sz w:val="24"/>
          <w:szCs w:val="24"/>
        </w:rPr>
        <w:t>Csf3r</w:t>
      </w:r>
      <w:r>
        <w:rPr>
          <w:rFonts w:cstheme="minorHAnsi"/>
          <w:sz w:val="24"/>
          <w:szCs w:val="24"/>
        </w:rPr>
        <w:t>); macrophages, m</w:t>
      </w:r>
      <w:r w:rsidRPr="004807C7">
        <w:rPr>
          <w:rFonts w:cstheme="minorHAnsi"/>
          <w:sz w:val="24"/>
          <w:szCs w:val="24"/>
        </w:rPr>
        <w:t>onocytes and DCs (</w:t>
      </w:r>
      <w:r w:rsidRPr="004807C7">
        <w:rPr>
          <w:rFonts w:cstheme="minorHAnsi"/>
          <w:i/>
          <w:sz w:val="24"/>
          <w:szCs w:val="24"/>
        </w:rPr>
        <w:t>Csf1r</w:t>
      </w:r>
      <w:r w:rsidRPr="004807C7">
        <w:rPr>
          <w:rFonts w:cstheme="minorHAnsi"/>
          <w:sz w:val="24"/>
          <w:szCs w:val="24"/>
        </w:rPr>
        <w:t xml:space="preserve">); </w:t>
      </w:r>
      <w:proofErr w:type="spellStart"/>
      <w:r w:rsidRPr="004807C7">
        <w:rPr>
          <w:rFonts w:cstheme="minorHAnsi"/>
          <w:sz w:val="24"/>
          <w:szCs w:val="24"/>
        </w:rPr>
        <w:t>pDCs</w:t>
      </w:r>
      <w:proofErr w:type="spellEnd"/>
      <w:r w:rsidRPr="004807C7">
        <w:rPr>
          <w:rFonts w:cstheme="minorHAnsi"/>
          <w:sz w:val="24"/>
          <w:szCs w:val="24"/>
        </w:rPr>
        <w:t xml:space="preserve"> (</w:t>
      </w:r>
      <w:proofErr w:type="spellStart"/>
      <w:r w:rsidRPr="004807C7">
        <w:rPr>
          <w:rFonts w:cstheme="minorHAnsi"/>
          <w:i/>
          <w:sz w:val="24"/>
          <w:szCs w:val="24"/>
        </w:rPr>
        <w:t>Siglech</w:t>
      </w:r>
      <w:proofErr w:type="spellEnd"/>
      <w:r>
        <w:rPr>
          <w:rFonts w:cstheme="minorHAnsi"/>
          <w:sz w:val="24"/>
          <w:szCs w:val="24"/>
        </w:rPr>
        <w:t>); and b</w:t>
      </w:r>
      <w:r w:rsidRPr="004807C7">
        <w:rPr>
          <w:rFonts w:cstheme="minorHAnsi"/>
          <w:sz w:val="24"/>
          <w:szCs w:val="24"/>
        </w:rPr>
        <w:t>asophils (</w:t>
      </w:r>
      <w:r w:rsidRPr="004807C7">
        <w:rPr>
          <w:rFonts w:cstheme="minorHAnsi"/>
          <w:i/>
          <w:sz w:val="24"/>
          <w:szCs w:val="24"/>
        </w:rPr>
        <w:t>Mcpt8</w:t>
      </w:r>
      <w:r w:rsidRPr="004807C7">
        <w:rPr>
          <w:rFonts w:cstheme="minorHAnsi"/>
          <w:sz w:val="24"/>
          <w:szCs w:val="24"/>
        </w:rPr>
        <w:t>). Differentially expressed genes can b</w:t>
      </w:r>
      <w:r>
        <w:rPr>
          <w:rFonts w:cstheme="minorHAnsi"/>
          <w:sz w:val="24"/>
          <w:szCs w:val="24"/>
        </w:rPr>
        <w:t>e found in Supplementary Table S</w:t>
      </w:r>
      <w:r w:rsidR="007A1DD2">
        <w:rPr>
          <w:rFonts w:cstheme="minorHAnsi"/>
          <w:sz w:val="24"/>
          <w:szCs w:val="24"/>
        </w:rPr>
        <w:t>4</w:t>
      </w:r>
      <w:r w:rsidRPr="004807C7">
        <w:rPr>
          <w:rFonts w:cstheme="minorHAnsi"/>
          <w:sz w:val="24"/>
          <w:szCs w:val="24"/>
        </w:rPr>
        <w:t>.</w:t>
      </w:r>
      <w:r w:rsidRPr="004807C7">
        <w:rPr>
          <w:rFonts w:cstheme="minorHAnsi"/>
          <w:color w:val="000000"/>
          <w:sz w:val="24"/>
          <w:szCs w:val="24"/>
          <w:shd w:val="clear" w:color="auto" w:fill="FFFFFF"/>
        </w:rPr>
        <w:t xml:space="preserve"> </w:t>
      </w:r>
      <w:r w:rsidRPr="004807C7">
        <w:rPr>
          <w:rFonts w:cstheme="minorHAnsi"/>
          <w:sz w:val="24"/>
          <w:szCs w:val="24"/>
        </w:rPr>
        <w:t>For downstr</w:t>
      </w:r>
      <w:r>
        <w:rPr>
          <w:rFonts w:cstheme="minorHAnsi"/>
          <w:sz w:val="24"/>
          <w:szCs w:val="24"/>
        </w:rPr>
        <w:t xml:space="preserve">eam analysis, cell </w:t>
      </w:r>
      <w:r w:rsidRPr="004807C7">
        <w:rPr>
          <w:rFonts w:cstheme="minorHAnsi"/>
          <w:sz w:val="24"/>
          <w:szCs w:val="24"/>
        </w:rPr>
        <w:t>types were grouped into “Lymphocytes” (B, T and NK cells)</w:t>
      </w:r>
      <w:r w:rsidR="000E4D22">
        <w:rPr>
          <w:rFonts w:cstheme="minorHAnsi"/>
          <w:sz w:val="24"/>
          <w:szCs w:val="24"/>
        </w:rPr>
        <w:t xml:space="preserve"> or</w:t>
      </w:r>
      <w:r w:rsidRPr="004807C7">
        <w:rPr>
          <w:rFonts w:cstheme="minorHAnsi"/>
          <w:sz w:val="24"/>
          <w:szCs w:val="24"/>
        </w:rPr>
        <w:t xml:space="preserve"> “</w:t>
      </w:r>
      <w:proofErr w:type="spellStart"/>
      <w:r w:rsidRPr="004807C7">
        <w:rPr>
          <w:rFonts w:cstheme="minorHAnsi"/>
          <w:sz w:val="24"/>
          <w:szCs w:val="24"/>
        </w:rPr>
        <w:t>Mono.Macro.DC</w:t>
      </w:r>
      <w:proofErr w:type="spellEnd"/>
      <w:r w:rsidRPr="004807C7">
        <w:rPr>
          <w:rFonts w:cstheme="minorHAnsi"/>
          <w:sz w:val="24"/>
          <w:szCs w:val="24"/>
        </w:rPr>
        <w:t>” (Macrop</w:t>
      </w:r>
      <w:r>
        <w:rPr>
          <w:rFonts w:cstheme="minorHAnsi"/>
          <w:sz w:val="24"/>
          <w:szCs w:val="24"/>
        </w:rPr>
        <w:t>hages, Monocytes, DC</w:t>
      </w:r>
      <w:r w:rsidRPr="004807C7">
        <w:rPr>
          <w:rFonts w:cstheme="minorHAnsi"/>
          <w:sz w:val="24"/>
          <w:szCs w:val="24"/>
        </w:rPr>
        <w:t xml:space="preserve">s and </w:t>
      </w:r>
      <w:proofErr w:type="spellStart"/>
      <w:r w:rsidRPr="004807C7">
        <w:rPr>
          <w:rFonts w:cstheme="minorHAnsi"/>
          <w:sz w:val="24"/>
          <w:szCs w:val="24"/>
        </w:rPr>
        <w:t>pDCs</w:t>
      </w:r>
      <w:proofErr w:type="spellEnd"/>
      <w:r w:rsidRPr="004807C7">
        <w:rPr>
          <w:rFonts w:cstheme="minorHAnsi"/>
          <w:sz w:val="24"/>
          <w:szCs w:val="24"/>
        </w:rPr>
        <w:t>), and the same Seurat-based analysis was repeated. Differentially expressed genes</w:t>
      </w:r>
      <w:r w:rsidR="000E4D22">
        <w:rPr>
          <w:rFonts w:cstheme="minorHAnsi"/>
          <w:sz w:val="24"/>
          <w:szCs w:val="24"/>
        </w:rPr>
        <w:t xml:space="preserve"> among “Lymphocytes” or “</w:t>
      </w:r>
      <w:proofErr w:type="spellStart"/>
      <w:r w:rsidR="000E4D22">
        <w:rPr>
          <w:rFonts w:cstheme="minorHAnsi"/>
          <w:sz w:val="24"/>
          <w:szCs w:val="24"/>
        </w:rPr>
        <w:t>Mono.Macro.DCs</w:t>
      </w:r>
      <w:proofErr w:type="spellEnd"/>
      <w:r w:rsidR="000E4D22">
        <w:rPr>
          <w:rFonts w:cstheme="minorHAnsi"/>
          <w:sz w:val="24"/>
          <w:szCs w:val="24"/>
        </w:rPr>
        <w:t>”</w:t>
      </w:r>
      <w:r w:rsidRPr="004807C7">
        <w:rPr>
          <w:rFonts w:cstheme="minorHAnsi"/>
          <w:sz w:val="24"/>
          <w:szCs w:val="24"/>
        </w:rPr>
        <w:t xml:space="preserve"> for the resolutions chosen are </w:t>
      </w:r>
      <w:r>
        <w:rPr>
          <w:rFonts w:cstheme="minorHAnsi"/>
          <w:sz w:val="24"/>
          <w:szCs w:val="24"/>
        </w:rPr>
        <w:t>listed in Supplementary Tables S</w:t>
      </w:r>
      <w:r w:rsidR="007A1DD2">
        <w:rPr>
          <w:rFonts w:cstheme="minorHAnsi"/>
          <w:sz w:val="24"/>
          <w:szCs w:val="24"/>
        </w:rPr>
        <w:t>5-S6</w:t>
      </w:r>
      <w:r w:rsidRPr="004807C7">
        <w:rPr>
          <w:rFonts w:cstheme="minorHAnsi"/>
          <w:sz w:val="24"/>
          <w:szCs w:val="24"/>
        </w:rPr>
        <w:t>. For “</w:t>
      </w:r>
      <w:proofErr w:type="spellStart"/>
      <w:r w:rsidRPr="004807C7">
        <w:rPr>
          <w:rFonts w:cstheme="minorHAnsi"/>
          <w:sz w:val="24"/>
          <w:szCs w:val="24"/>
        </w:rPr>
        <w:t>Mono.Macro.DCs</w:t>
      </w:r>
      <w:proofErr w:type="spellEnd"/>
      <w:r w:rsidRPr="004807C7">
        <w:rPr>
          <w:rFonts w:cstheme="minorHAnsi"/>
          <w:sz w:val="24"/>
          <w:szCs w:val="24"/>
        </w:rPr>
        <w:t>”, which exhibit higher median number of genes, cells with fewer than 800 genes detected were excluded. Upon cell annotation within each group, small clusters of lower quality cells (low median number of genes and/or high mitochondrial content) or contaminant cells were further excluded from the analysis. To identify high-level populations, such as T and B cells, expression levels and fraction of expressing cells for known marker genes per c</w:t>
      </w:r>
      <w:r>
        <w:rPr>
          <w:rFonts w:cstheme="minorHAnsi"/>
          <w:sz w:val="24"/>
          <w:szCs w:val="24"/>
        </w:rPr>
        <w:t xml:space="preserve">luster were inspected. While DC </w:t>
      </w:r>
      <w:r w:rsidRPr="004807C7">
        <w:rPr>
          <w:rFonts w:cstheme="minorHAnsi"/>
          <w:sz w:val="24"/>
          <w:szCs w:val="24"/>
        </w:rPr>
        <w:t>subpopul</w:t>
      </w:r>
      <w:r>
        <w:rPr>
          <w:rFonts w:cstheme="minorHAnsi"/>
          <w:sz w:val="24"/>
          <w:szCs w:val="24"/>
        </w:rPr>
        <w:t xml:space="preserve">ations match DC1-3 </w:t>
      </w:r>
      <w:r>
        <w:rPr>
          <w:rFonts w:cstheme="minorHAnsi"/>
          <w:sz w:val="24"/>
          <w:szCs w:val="24"/>
        </w:rPr>
        <w:lastRenderedPageBreak/>
        <w:t xml:space="preserve">identified by </w:t>
      </w:r>
      <w:proofErr w:type="spellStart"/>
      <w:r w:rsidRPr="004807C7">
        <w:rPr>
          <w:rFonts w:cstheme="minorHAnsi"/>
          <w:sz w:val="24"/>
          <w:szCs w:val="24"/>
        </w:rPr>
        <w:t>Zilionis</w:t>
      </w:r>
      <w:proofErr w:type="spellEnd"/>
      <w:r>
        <w:rPr>
          <w:rFonts w:cstheme="minorHAnsi"/>
          <w:sz w:val="24"/>
          <w:szCs w:val="24"/>
        </w:rPr>
        <w:t xml:space="preserve"> et al (3), </w:t>
      </w:r>
      <w:proofErr w:type="spellStart"/>
      <w:r w:rsidRPr="004807C7">
        <w:rPr>
          <w:rFonts w:cstheme="minorHAnsi"/>
          <w:sz w:val="24"/>
          <w:szCs w:val="24"/>
        </w:rPr>
        <w:t>Mono.Macro</w:t>
      </w:r>
      <w:proofErr w:type="spellEnd"/>
      <w:r w:rsidRPr="004807C7">
        <w:rPr>
          <w:rFonts w:cstheme="minorHAnsi"/>
          <w:sz w:val="24"/>
          <w:szCs w:val="24"/>
        </w:rPr>
        <w:t xml:space="preserve"> subpopulations were simply numbered from most to least abundant.</w:t>
      </w:r>
    </w:p>
    <w:p w14:paraId="6839DFB5" w14:textId="77777777" w:rsidR="000E4D22" w:rsidRDefault="0C994817" w:rsidP="7DCEA204">
      <w:pPr>
        <w:spacing w:line="360" w:lineRule="auto"/>
        <w:rPr>
          <w:sz w:val="24"/>
          <w:szCs w:val="24"/>
        </w:rPr>
      </w:pPr>
      <w:r w:rsidRPr="7DCEA204">
        <w:rPr>
          <w:i/>
          <w:iCs/>
          <w:sz w:val="24"/>
          <w:szCs w:val="24"/>
        </w:rPr>
        <w:t>Hierarchical clustering of subpopulations.</w:t>
      </w:r>
      <w:r w:rsidRPr="7DCEA204">
        <w:rPr>
          <w:sz w:val="24"/>
          <w:szCs w:val="24"/>
        </w:rPr>
        <w:t xml:space="preserve"> To assess the relationship between cell subpopulations, the intersection of the top 500 marker genes for all subpopulations (“1 vs All” comparisons; adjusted p-value &lt; 0.01 and log fold-change &gt; 0.3) was considered. The mean expression level of each gene per subpopulation was used as input for hierarchical clustering using ward.D2 clustering on Euclidean distances (</w:t>
      </w:r>
      <w:proofErr w:type="spellStart"/>
      <w:r w:rsidRPr="7DCEA204">
        <w:rPr>
          <w:sz w:val="24"/>
          <w:szCs w:val="24"/>
        </w:rPr>
        <w:t>pheatmap</w:t>
      </w:r>
      <w:proofErr w:type="spellEnd"/>
      <w:r w:rsidRPr="7DCEA204">
        <w:rPr>
          <w:sz w:val="24"/>
          <w:szCs w:val="24"/>
        </w:rPr>
        <w:t xml:space="preserve"> package</w:t>
      </w:r>
      <w:r w:rsidR="1592EEEF" w:rsidRPr="7DCEA204">
        <w:rPr>
          <w:sz w:val="24"/>
          <w:szCs w:val="24"/>
        </w:rPr>
        <w:t>; RRID:SCR_016418</w:t>
      </w:r>
      <w:r w:rsidRPr="7DCEA204">
        <w:rPr>
          <w:sz w:val="24"/>
          <w:szCs w:val="24"/>
        </w:rPr>
        <w:t xml:space="preserve">) (4). To classify </w:t>
      </w:r>
      <w:proofErr w:type="spellStart"/>
      <w:r w:rsidRPr="7DCEA204">
        <w:rPr>
          <w:sz w:val="24"/>
          <w:szCs w:val="24"/>
        </w:rPr>
        <w:t>Mono.Macro</w:t>
      </w:r>
      <w:proofErr w:type="spellEnd"/>
      <w:r w:rsidRPr="7DCEA204">
        <w:rPr>
          <w:sz w:val="24"/>
          <w:szCs w:val="24"/>
        </w:rPr>
        <w:t xml:space="preserve"> subpopulations as M1/M2-like, gene signatures for these phenotypes were used. Specifically, M1 and M2-like macrophage clusters were grouped by hierarchical clustering using a</w:t>
      </w:r>
      <w:r w:rsidRPr="7DCEA204">
        <w:rPr>
          <w:color w:val="000000"/>
          <w:sz w:val="24"/>
          <w:szCs w:val="24"/>
          <w:shd w:val="clear" w:color="auto" w:fill="FFFFFF"/>
        </w:rPr>
        <w:t xml:space="preserve"> gene list identified from </w:t>
      </w:r>
      <w:r w:rsidRPr="7DCEA204">
        <w:rPr>
          <w:i/>
          <w:iCs/>
          <w:color w:val="000000"/>
          <w:sz w:val="24"/>
          <w:szCs w:val="24"/>
          <w:shd w:val="clear" w:color="auto" w:fill="FFFFFF"/>
        </w:rPr>
        <w:t>in vivo</w:t>
      </w:r>
      <w:r w:rsidRPr="7DCEA204">
        <w:rPr>
          <w:color w:val="000000"/>
          <w:sz w:val="24"/>
          <w:szCs w:val="24"/>
          <w:shd w:val="clear" w:color="auto" w:fill="FFFFFF"/>
        </w:rPr>
        <w:t xml:space="preserve"> stimulation of peritoneal macrophages to polarize to an M1 (LPS) or M2-like (no LPS) phenotype (5).</w:t>
      </w:r>
      <w:r w:rsidRPr="7DCEA204">
        <w:rPr>
          <w:sz w:val="24"/>
          <w:szCs w:val="24"/>
        </w:rPr>
        <w:t xml:space="preserve"> </w:t>
      </w:r>
    </w:p>
    <w:p w14:paraId="620CF799" w14:textId="77777777" w:rsidR="000E4D22" w:rsidRPr="00AA44D5" w:rsidRDefault="000E4D22" w:rsidP="000E4D22">
      <w:pPr>
        <w:keepNext/>
        <w:spacing w:line="360" w:lineRule="auto"/>
        <w:rPr>
          <w:rFonts w:cstheme="minorHAnsi"/>
          <w:b/>
          <w:sz w:val="24"/>
          <w:szCs w:val="24"/>
        </w:rPr>
      </w:pPr>
      <w:r w:rsidRPr="00AA44D5">
        <w:rPr>
          <w:rFonts w:cstheme="minorHAnsi"/>
          <w:b/>
          <w:sz w:val="24"/>
          <w:szCs w:val="24"/>
        </w:rPr>
        <w:t>Myeloid-derived suppressor cell (MDSC) cell suppression assay</w:t>
      </w:r>
    </w:p>
    <w:p w14:paraId="31087FDB" w14:textId="6FB4053D" w:rsidR="00555A09" w:rsidRDefault="0C994817" w:rsidP="7DCEA204">
      <w:pPr>
        <w:spacing w:line="360" w:lineRule="auto"/>
        <w:rPr>
          <w:sz w:val="24"/>
          <w:szCs w:val="24"/>
        </w:rPr>
      </w:pPr>
      <w:r w:rsidRPr="7DCEA204">
        <w:rPr>
          <w:sz w:val="24"/>
          <w:szCs w:val="24"/>
        </w:rPr>
        <w:t>Gr-1+ cells were purified from CT26 tumors using anti-mouse Ly-6G and Ly-6C+ selection particles (Becton Dickinson, Franklin Lakes, NJ) and pooled by treatment group. CD3+ cells were purified using a CD3 negative selection kit (</w:t>
      </w:r>
      <w:proofErr w:type="spellStart"/>
      <w:r w:rsidRPr="7DCEA204">
        <w:rPr>
          <w:sz w:val="24"/>
          <w:szCs w:val="24"/>
        </w:rPr>
        <w:t>StemCell</w:t>
      </w:r>
      <w:proofErr w:type="spellEnd"/>
      <w:r w:rsidRPr="7DCEA204">
        <w:rPr>
          <w:sz w:val="24"/>
          <w:szCs w:val="24"/>
        </w:rPr>
        <w:t xml:space="preserve">, Vancouver, Canada) from naïve mouse spleens. CD3+ cells were then labeled with 5 </w:t>
      </w:r>
      <w:r w:rsidRPr="7DCEA204">
        <w:rPr>
          <w:color w:val="000000" w:themeColor="text1"/>
          <w:sz w:val="24"/>
          <w:szCs w:val="24"/>
        </w:rPr>
        <w:t xml:space="preserve">µM </w:t>
      </w:r>
      <w:r w:rsidRPr="7DCEA204">
        <w:rPr>
          <w:sz w:val="24"/>
          <w:szCs w:val="24"/>
        </w:rPr>
        <w:t>CFSE proliferation dye (Becton Dickinson, Franklin Lakes, NJ) according to the manufacturer’s protocol for suspension cells. CFSE-labeled T cells were co-cultured with Gr-1+ cells in several ratios (4:1, 2:1, 1:1, 1:2, and 1:4 T-cells to Gr-1 cells) for 96 hours to determine the suppressive capacity of the Gr-1+ cells. T cells were stimulated to proliferate using 10 ng/mL recombinant mouse IL2 (</w:t>
      </w:r>
      <w:proofErr w:type="spellStart"/>
      <w:r w:rsidRPr="7DCEA204">
        <w:rPr>
          <w:sz w:val="24"/>
          <w:szCs w:val="24"/>
        </w:rPr>
        <w:t>Peprotech</w:t>
      </w:r>
      <w:proofErr w:type="spellEnd"/>
      <w:r w:rsidRPr="7DCEA204">
        <w:rPr>
          <w:sz w:val="24"/>
          <w:szCs w:val="24"/>
        </w:rPr>
        <w:t xml:space="preserve">, Rocky Hill, NJ), 10 µg/mL plate bound anti-mouse CD3 (clone 17A2; </w:t>
      </w:r>
      <w:proofErr w:type="spellStart"/>
      <w:r w:rsidRPr="7DCEA204">
        <w:rPr>
          <w:sz w:val="24"/>
          <w:szCs w:val="24"/>
        </w:rPr>
        <w:t>Biolegend</w:t>
      </w:r>
      <w:proofErr w:type="spellEnd"/>
      <w:r w:rsidRPr="7DCEA204">
        <w:rPr>
          <w:sz w:val="24"/>
          <w:szCs w:val="24"/>
        </w:rPr>
        <w:t>, San Diego, CA</w:t>
      </w:r>
      <w:r w:rsidR="6A69188C" w:rsidRPr="7DCEA204">
        <w:rPr>
          <w:sz w:val="24"/>
          <w:szCs w:val="24"/>
        </w:rPr>
        <w:t xml:space="preserve"> [RRID:AB_312658]</w:t>
      </w:r>
      <w:r w:rsidRPr="7DCEA204">
        <w:rPr>
          <w:sz w:val="24"/>
          <w:szCs w:val="24"/>
        </w:rPr>
        <w:t xml:space="preserve">), and suspended 10 µg/mL anti-mouse CD28 (clone 37.51; </w:t>
      </w:r>
      <w:proofErr w:type="spellStart"/>
      <w:r w:rsidRPr="7DCEA204">
        <w:rPr>
          <w:sz w:val="24"/>
          <w:szCs w:val="24"/>
        </w:rPr>
        <w:t>BioLegend</w:t>
      </w:r>
      <w:proofErr w:type="spellEnd"/>
      <w:r w:rsidRPr="7DCEA204">
        <w:rPr>
          <w:sz w:val="24"/>
          <w:szCs w:val="24"/>
        </w:rPr>
        <w:t>, San Diego, CA</w:t>
      </w:r>
      <w:r w:rsidR="740A16AF" w:rsidRPr="7DCEA204">
        <w:rPr>
          <w:sz w:val="24"/>
          <w:szCs w:val="24"/>
        </w:rPr>
        <w:t xml:space="preserve"> [RRID:AB_312866]</w:t>
      </w:r>
      <w:r w:rsidRPr="7DCEA204">
        <w:rPr>
          <w:sz w:val="24"/>
          <w:szCs w:val="24"/>
        </w:rPr>
        <w:t xml:space="preserve">). After the 96 hour incubation, cells were isolated from culture and bound to APC conjugated anti-CD3 (clone: 17A2, </w:t>
      </w:r>
      <w:proofErr w:type="spellStart"/>
      <w:r w:rsidRPr="7DCEA204">
        <w:rPr>
          <w:sz w:val="24"/>
          <w:szCs w:val="24"/>
        </w:rPr>
        <w:t>eBioscience</w:t>
      </w:r>
      <w:proofErr w:type="spellEnd"/>
      <w:r w:rsidRPr="7DCEA204">
        <w:rPr>
          <w:sz w:val="24"/>
          <w:szCs w:val="24"/>
        </w:rPr>
        <w:t>, San Diego, CA</w:t>
      </w:r>
      <w:r w:rsidR="14B7A417" w:rsidRPr="7DCEA204">
        <w:rPr>
          <w:sz w:val="24"/>
          <w:szCs w:val="24"/>
        </w:rPr>
        <w:t xml:space="preserve"> [RRID:AB_10597589]</w:t>
      </w:r>
      <w:r w:rsidRPr="7DCEA204">
        <w:rPr>
          <w:sz w:val="24"/>
          <w:szCs w:val="24"/>
        </w:rPr>
        <w:t xml:space="preserve">), BUV395 labeled anti-CD11b (clone: M1/70, BD Biosciences, Franklin Lakes, NJ ), BV785 conjugated anti-Ly6C (clone: HK1.4, </w:t>
      </w:r>
      <w:proofErr w:type="spellStart"/>
      <w:r w:rsidRPr="7DCEA204">
        <w:rPr>
          <w:sz w:val="24"/>
          <w:szCs w:val="24"/>
        </w:rPr>
        <w:t>eBioscience</w:t>
      </w:r>
      <w:proofErr w:type="spellEnd"/>
      <w:r w:rsidRPr="7DCEA204">
        <w:rPr>
          <w:sz w:val="24"/>
          <w:szCs w:val="24"/>
        </w:rPr>
        <w:t>, San Diego, CA</w:t>
      </w:r>
      <w:r w:rsidR="3A6E5C9A" w:rsidRPr="7DCEA204">
        <w:rPr>
          <w:sz w:val="24"/>
          <w:szCs w:val="24"/>
        </w:rPr>
        <w:t xml:space="preserve"> [RRID:AB_2565852]</w:t>
      </w:r>
      <w:r w:rsidRPr="7DCEA204">
        <w:rPr>
          <w:sz w:val="24"/>
          <w:szCs w:val="24"/>
        </w:rPr>
        <w:t xml:space="preserve">), and PE conjugated anti-Ly6g (clone 1A8; </w:t>
      </w:r>
      <w:proofErr w:type="spellStart"/>
      <w:r w:rsidRPr="7DCEA204">
        <w:rPr>
          <w:sz w:val="24"/>
          <w:szCs w:val="24"/>
        </w:rPr>
        <w:t>eBioscience</w:t>
      </w:r>
      <w:proofErr w:type="spellEnd"/>
      <w:r w:rsidRPr="7DCEA204">
        <w:rPr>
          <w:sz w:val="24"/>
          <w:szCs w:val="24"/>
        </w:rPr>
        <w:t>, San Diego, CA</w:t>
      </w:r>
      <w:r w:rsidR="0FAF2529" w:rsidRPr="7DCEA204">
        <w:rPr>
          <w:sz w:val="24"/>
          <w:szCs w:val="24"/>
        </w:rPr>
        <w:t xml:space="preserve"> [RRID:AB_2572720]</w:t>
      </w:r>
      <w:r w:rsidRPr="7DCEA204">
        <w:rPr>
          <w:sz w:val="24"/>
          <w:szCs w:val="24"/>
        </w:rPr>
        <w:t xml:space="preserve">). Cells were analyzed on a BD Symphony using BD </w:t>
      </w:r>
      <w:proofErr w:type="spellStart"/>
      <w:r w:rsidRPr="7DCEA204">
        <w:rPr>
          <w:sz w:val="24"/>
          <w:szCs w:val="24"/>
        </w:rPr>
        <w:t>FACSDiva</w:t>
      </w:r>
      <w:proofErr w:type="spellEnd"/>
      <w:r w:rsidRPr="7DCEA204">
        <w:rPr>
          <w:sz w:val="24"/>
          <w:szCs w:val="24"/>
        </w:rPr>
        <w:t xml:space="preserve"> software (BD, Franklin Lakes, NJ</w:t>
      </w:r>
      <w:r w:rsidR="012E5C2E" w:rsidRPr="7DCEA204">
        <w:rPr>
          <w:sz w:val="24"/>
          <w:szCs w:val="24"/>
        </w:rPr>
        <w:t>; RRID:SCR_001456</w:t>
      </w:r>
      <w:r w:rsidRPr="7DCEA204">
        <w:rPr>
          <w:sz w:val="24"/>
          <w:szCs w:val="24"/>
        </w:rPr>
        <w:t xml:space="preserve">). The proliferation of T cells was measured by </w:t>
      </w:r>
      <w:r w:rsidRPr="7DCEA204">
        <w:rPr>
          <w:sz w:val="24"/>
          <w:szCs w:val="24"/>
        </w:rPr>
        <w:lastRenderedPageBreak/>
        <w:t xml:space="preserve">quantification of CFSE dilution by CD3+ cells analyzed on </w:t>
      </w:r>
      <w:proofErr w:type="spellStart"/>
      <w:r w:rsidRPr="7DCEA204">
        <w:rPr>
          <w:sz w:val="24"/>
          <w:szCs w:val="24"/>
        </w:rPr>
        <w:t>FlowJo</w:t>
      </w:r>
      <w:proofErr w:type="spellEnd"/>
      <w:r w:rsidRPr="7DCEA204">
        <w:rPr>
          <w:sz w:val="24"/>
          <w:szCs w:val="24"/>
        </w:rPr>
        <w:t>™ flow cytometry software (</w:t>
      </w:r>
      <w:proofErr w:type="spellStart"/>
      <w:r w:rsidRPr="7DCEA204">
        <w:rPr>
          <w:sz w:val="24"/>
          <w:szCs w:val="24"/>
        </w:rPr>
        <w:t>FlowJo</w:t>
      </w:r>
      <w:proofErr w:type="spellEnd"/>
      <w:r w:rsidRPr="7DCEA204">
        <w:rPr>
          <w:sz w:val="24"/>
          <w:szCs w:val="24"/>
        </w:rPr>
        <w:t>, Ashland, OR</w:t>
      </w:r>
      <w:r w:rsidR="5437D420" w:rsidRPr="7DCEA204">
        <w:rPr>
          <w:sz w:val="24"/>
          <w:szCs w:val="24"/>
        </w:rPr>
        <w:t>; RRID:SCR_008520</w:t>
      </w:r>
      <w:r w:rsidRPr="7DCEA204">
        <w:rPr>
          <w:sz w:val="24"/>
          <w:szCs w:val="24"/>
        </w:rPr>
        <w:t>).</w:t>
      </w:r>
    </w:p>
    <w:p w14:paraId="2E1DC8A1" w14:textId="77777777" w:rsidR="00555A09" w:rsidRDefault="00555A09" w:rsidP="00555A09">
      <w:pPr>
        <w:spacing w:after="0" w:line="360" w:lineRule="auto"/>
        <w:rPr>
          <w:rFonts w:cstheme="minorHAnsi"/>
          <w:b/>
          <w:sz w:val="24"/>
          <w:szCs w:val="24"/>
        </w:rPr>
      </w:pPr>
      <w:r>
        <w:rPr>
          <w:rFonts w:cstheme="minorHAnsi"/>
          <w:b/>
          <w:sz w:val="24"/>
          <w:szCs w:val="24"/>
        </w:rPr>
        <w:br w:type="page"/>
      </w:r>
    </w:p>
    <w:p w14:paraId="47A69AAF" w14:textId="77777777" w:rsidR="00555A09" w:rsidRPr="002B37AC" w:rsidRDefault="00555A09" w:rsidP="00555A09">
      <w:pPr>
        <w:rPr>
          <w:rFonts w:cstheme="minorHAnsi"/>
          <w:b/>
          <w:sz w:val="24"/>
          <w:szCs w:val="24"/>
          <w:lang w:val="da-DK"/>
        </w:rPr>
      </w:pPr>
      <w:proofErr w:type="spellStart"/>
      <w:r w:rsidRPr="002B37AC">
        <w:rPr>
          <w:rFonts w:cstheme="minorHAnsi"/>
          <w:b/>
          <w:sz w:val="24"/>
          <w:szCs w:val="24"/>
          <w:lang w:val="da-DK"/>
        </w:rPr>
        <w:lastRenderedPageBreak/>
        <w:t>Supplementary</w:t>
      </w:r>
      <w:proofErr w:type="spellEnd"/>
      <w:r w:rsidRPr="002B37AC">
        <w:rPr>
          <w:rFonts w:cstheme="minorHAnsi"/>
          <w:b/>
          <w:sz w:val="24"/>
          <w:szCs w:val="24"/>
          <w:lang w:val="da-DK"/>
        </w:rPr>
        <w:t xml:space="preserve"> References</w:t>
      </w:r>
    </w:p>
    <w:p w14:paraId="5D890F61" w14:textId="77777777" w:rsidR="00555A09" w:rsidRPr="0066498F" w:rsidRDefault="00555A09" w:rsidP="00555A09">
      <w:pPr>
        <w:autoSpaceDE w:val="0"/>
        <w:autoSpaceDN w:val="0"/>
        <w:adjustRightInd w:val="0"/>
        <w:spacing w:line="360" w:lineRule="auto"/>
        <w:ind w:left="450" w:hanging="450"/>
        <w:rPr>
          <w:rFonts w:cstheme="minorHAnsi"/>
          <w:color w:val="000000"/>
          <w:sz w:val="24"/>
          <w:szCs w:val="24"/>
          <w:shd w:val="clear" w:color="auto" w:fill="FFFFFF"/>
        </w:rPr>
      </w:pPr>
      <w:r w:rsidRPr="00D23A84">
        <w:rPr>
          <w:rFonts w:cstheme="minorHAnsi"/>
          <w:color w:val="000000"/>
          <w:sz w:val="24"/>
          <w:szCs w:val="24"/>
          <w:shd w:val="clear" w:color="auto" w:fill="FFFFFF"/>
          <w:lang w:val="da-DK"/>
        </w:rPr>
        <w:t>1.</w:t>
      </w:r>
      <w:r w:rsidRPr="00D23A84">
        <w:rPr>
          <w:rFonts w:cstheme="minorHAnsi"/>
          <w:color w:val="000000"/>
          <w:sz w:val="24"/>
          <w:szCs w:val="24"/>
          <w:shd w:val="clear" w:color="auto" w:fill="FFFFFF"/>
          <w:lang w:val="da-DK"/>
        </w:rPr>
        <w:tab/>
      </w:r>
      <w:proofErr w:type="spellStart"/>
      <w:r w:rsidRPr="00D23A84">
        <w:rPr>
          <w:rFonts w:cstheme="minorHAnsi"/>
          <w:color w:val="000000"/>
          <w:sz w:val="24"/>
          <w:szCs w:val="24"/>
          <w:shd w:val="clear" w:color="auto" w:fill="FFFFFF"/>
          <w:lang w:val="da-DK"/>
        </w:rPr>
        <w:t>Satija</w:t>
      </w:r>
      <w:proofErr w:type="spellEnd"/>
      <w:r w:rsidRPr="00D23A84">
        <w:rPr>
          <w:rFonts w:cstheme="minorHAnsi"/>
          <w:color w:val="000000"/>
          <w:sz w:val="24"/>
          <w:szCs w:val="24"/>
          <w:shd w:val="clear" w:color="auto" w:fill="FFFFFF"/>
          <w:lang w:val="da-DK"/>
        </w:rPr>
        <w:t xml:space="preserve"> R, Farrell JA, </w:t>
      </w:r>
      <w:proofErr w:type="spellStart"/>
      <w:r w:rsidRPr="00D23A84">
        <w:rPr>
          <w:rFonts w:cstheme="minorHAnsi"/>
          <w:color w:val="000000"/>
          <w:sz w:val="24"/>
          <w:szCs w:val="24"/>
          <w:shd w:val="clear" w:color="auto" w:fill="FFFFFF"/>
          <w:lang w:val="da-DK"/>
        </w:rPr>
        <w:t>Gennert</w:t>
      </w:r>
      <w:proofErr w:type="spellEnd"/>
      <w:r w:rsidRPr="00D23A84">
        <w:rPr>
          <w:rFonts w:cstheme="minorHAnsi"/>
          <w:color w:val="000000"/>
          <w:sz w:val="24"/>
          <w:szCs w:val="24"/>
          <w:shd w:val="clear" w:color="auto" w:fill="FFFFFF"/>
          <w:lang w:val="da-DK"/>
        </w:rPr>
        <w:t xml:space="preserve"> D, </w:t>
      </w:r>
      <w:proofErr w:type="spellStart"/>
      <w:r w:rsidRPr="00D23A84">
        <w:rPr>
          <w:rFonts w:cstheme="minorHAnsi"/>
          <w:color w:val="000000"/>
          <w:sz w:val="24"/>
          <w:szCs w:val="24"/>
          <w:shd w:val="clear" w:color="auto" w:fill="FFFFFF"/>
          <w:lang w:val="da-DK"/>
        </w:rPr>
        <w:t>Schier</w:t>
      </w:r>
      <w:proofErr w:type="spellEnd"/>
      <w:r w:rsidRPr="00D23A84">
        <w:rPr>
          <w:rFonts w:cstheme="minorHAnsi"/>
          <w:color w:val="000000"/>
          <w:sz w:val="24"/>
          <w:szCs w:val="24"/>
          <w:shd w:val="clear" w:color="auto" w:fill="FFFFFF"/>
          <w:lang w:val="da-DK"/>
        </w:rPr>
        <w:t xml:space="preserve"> AF, </w:t>
      </w:r>
      <w:proofErr w:type="spellStart"/>
      <w:r w:rsidRPr="00D23A84">
        <w:rPr>
          <w:rFonts w:cstheme="minorHAnsi"/>
          <w:color w:val="000000"/>
          <w:sz w:val="24"/>
          <w:szCs w:val="24"/>
          <w:shd w:val="clear" w:color="auto" w:fill="FFFFFF"/>
          <w:lang w:val="da-DK"/>
        </w:rPr>
        <w:t>Regev</w:t>
      </w:r>
      <w:proofErr w:type="spellEnd"/>
      <w:r w:rsidRPr="00D23A84">
        <w:rPr>
          <w:rFonts w:cstheme="minorHAnsi"/>
          <w:color w:val="000000"/>
          <w:sz w:val="24"/>
          <w:szCs w:val="24"/>
          <w:shd w:val="clear" w:color="auto" w:fill="FFFFFF"/>
          <w:lang w:val="da-DK"/>
        </w:rPr>
        <w:t xml:space="preserve"> A, </w:t>
      </w:r>
      <w:r w:rsidRPr="00D23A84">
        <w:rPr>
          <w:rFonts w:cstheme="minorHAnsi"/>
          <w:i/>
          <w:color w:val="000000"/>
          <w:sz w:val="24"/>
          <w:szCs w:val="24"/>
          <w:shd w:val="clear" w:color="auto" w:fill="FFFFFF"/>
          <w:lang w:val="da-DK"/>
        </w:rPr>
        <w:t>et al</w:t>
      </w:r>
      <w:r w:rsidRPr="00D23A84">
        <w:rPr>
          <w:rFonts w:cstheme="minorHAnsi"/>
          <w:color w:val="000000"/>
          <w:sz w:val="24"/>
          <w:szCs w:val="24"/>
          <w:shd w:val="clear" w:color="auto" w:fill="FFFFFF"/>
          <w:lang w:val="da-DK"/>
        </w:rPr>
        <w:t xml:space="preserve">. </w:t>
      </w:r>
      <w:r w:rsidRPr="0066498F">
        <w:rPr>
          <w:rFonts w:cstheme="minorHAnsi"/>
          <w:color w:val="000000"/>
          <w:sz w:val="24"/>
          <w:szCs w:val="24"/>
          <w:shd w:val="clear" w:color="auto" w:fill="FFFFFF"/>
        </w:rPr>
        <w:t xml:space="preserve">Spatial reconstruction of single-cell gene expression data. </w:t>
      </w:r>
      <w:r>
        <w:rPr>
          <w:rFonts w:cstheme="minorHAnsi"/>
          <w:i/>
          <w:color w:val="000000"/>
          <w:sz w:val="24"/>
          <w:szCs w:val="24"/>
          <w:shd w:val="clear" w:color="auto" w:fill="FFFFFF"/>
        </w:rPr>
        <w:t xml:space="preserve">Nat </w:t>
      </w:r>
      <w:proofErr w:type="spellStart"/>
      <w:r>
        <w:rPr>
          <w:rFonts w:cstheme="minorHAnsi"/>
          <w:i/>
          <w:color w:val="000000"/>
          <w:sz w:val="24"/>
          <w:szCs w:val="24"/>
          <w:shd w:val="clear" w:color="auto" w:fill="FFFFFF"/>
        </w:rPr>
        <w:t>Biotechnol</w:t>
      </w:r>
      <w:proofErr w:type="spellEnd"/>
      <w:r w:rsidRPr="0066498F">
        <w:rPr>
          <w:rFonts w:cstheme="minorHAnsi"/>
          <w:color w:val="000000"/>
          <w:sz w:val="24"/>
          <w:szCs w:val="24"/>
          <w:shd w:val="clear" w:color="auto" w:fill="FFFFFF"/>
        </w:rPr>
        <w:t xml:space="preserve"> </w:t>
      </w:r>
      <w:r w:rsidRPr="006A7195">
        <w:rPr>
          <w:rFonts w:cstheme="minorHAnsi"/>
          <w:b/>
          <w:color w:val="000000"/>
          <w:sz w:val="24"/>
          <w:szCs w:val="24"/>
          <w:shd w:val="clear" w:color="auto" w:fill="FFFFFF"/>
        </w:rPr>
        <w:t>2015</w:t>
      </w:r>
      <w:r>
        <w:rPr>
          <w:rFonts w:cstheme="minorHAnsi"/>
          <w:color w:val="000000"/>
          <w:sz w:val="24"/>
          <w:szCs w:val="24"/>
          <w:shd w:val="clear" w:color="auto" w:fill="FFFFFF"/>
        </w:rPr>
        <w:t>;</w:t>
      </w:r>
      <w:r w:rsidRPr="0066498F">
        <w:rPr>
          <w:rFonts w:cstheme="minorHAnsi"/>
          <w:color w:val="000000"/>
          <w:sz w:val="24"/>
          <w:szCs w:val="24"/>
          <w:shd w:val="clear" w:color="auto" w:fill="FFFFFF"/>
        </w:rPr>
        <w:t>33</w:t>
      </w:r>
      <w:r>
        <w:rPr>
          <w:rFonts w:cstheme="minorHAnsi"/>
          <w:color w:val="000000"/>
          <w:sz w:val="24"/>
          <w:szCs w:val="24"/>
          <w:shd w:val="clear" w:color="auto" w:fill="FFFFFF"/>
        </w:rPr>
        <w:t>:</w:t>
      </w:r>
      <w:r w:rsidRPr="0066498F">
        <w:rPr>
          <w:rFonts w:cstheme="minorHAnsi"/>
          <w:color w:val="000000"/>
          <w:sz w:val="24"/>
          <w:szCs w:val="24"/>
          <w:shd w:val="clear" w:color="auto" w:fill="FFFFFF"/>
        </w:rPr>
        <w:t>495–502.</w:t>
      </w:r>
    </w:p>
    <w:p w14:paraId="6E1FD3FA" w14:textId="77777777" w:rsidR="00555A09" w:rsidRPr="00D2482E" w:rsidRDefault="00555A09" w:rsidP="00555A09">
      <w:pPr>
        <w:spacing w:line="360" w:lineRule="auto"/>
        <w:ind w:left="450" w:hanging="450"/>
        <w:rPr>
          <w:rFonts w:cstheme="minorHAnsi"/>
          <w:sz w:val="24"/>
          <w:szCs w:val="24"/>
        </w:rPr>
      </w:pPr>
      <w:r>
        <w:rPr>
          <w:rFonts w:cstheme="minorHAnsi"/>
          <w:color w:val="000000"/>
          <w:sz w:val="24"/>
          <w:szCs w:val="24"/>
          <w:shd w:val="clear" w:color="auto" w:fill="FFFFFF"/>
        </w:rPr>
        <w:t>2.</w:t>
      </w:r>
      <w:r>
        <w:rPr>
          <w:rFonts w:cstheme="minorHAnsi"/>
          <w:color w:val="000000"/>
          <w:sz w:val="24"/>
          <w:szCs w:val="24"/>
          <w:shd w:val="clear" w:color="auto" w:fill="FFFFFF"/>
        </w:rPr>
        <w:tab/>
      </w:r>
      <w:r w:rsidRPr="0066498F">
        <w:rPr>
          <w:rFonts w:cstheme="minorHAnsi"/>
          <w:sz w:val="24"/>
          <w:szCs w:val="24"/>
        </w:rPr>
        <w:t xml:space="preserve">Wickham H. ggplot2: Elegant Graphics for Data Analysis. </w:t>
      </w:r>
      <w:r w:rsidRPr="00D2482E">
        <w:rPr>
          <w:rFonts w:cstheme="minorHAnsi"/>
          <w:sz w:val="24"/>
          <w:szCs w:val="24"/>
        </w:rPr>
        <w:t>Springer-Verlag New York, 2016.</w:t>
      </w:r>
    </w:p>
    <w:p w14:paraId="5614128F" w14:textId="77777777" w:rsidR="00555A09" w:rsidRDefault="00555A09" w:rsidP="00555A09">
      <w:pPr>
        <w:spacing w:line="360" w:lineRule="auto"/>
        <w:ind w:left="450" w:hanging="450"/>
        <w:rPr>
          <w:rFonts w:cstheme="minorHAnsi"/>
          <w:color w:val="000000"/>
          <w:sz w:val="24"/>
          <w:szCs w:val="24"/>
          <w:shd w:val="clear" w:color="auto" w:fill="FFFFFF"/>
        </w:rPr>
      </w:pPr>
      <w:r>
        <w:rPr>
          <w:rFonts w:cstheme="minorHAnsi"/>
          <w:color w:val="000000"/>
          <w:sz w:val="24"/>
          <w:szCs w:val="24"/>
          <w:shd w:val="clear" w:color="auto" w:fill="FFFFFF"/>
        </w:rPr>
        <w:t>3.</w:t>
      </w:r>
      <w:r>
        <w:rPr>
          <w:rFonts w:cstheme="minorHAnsi"/>
          <w:color w:val="000000"/>
          <w:sz w:val="24"/>
          <w:szCs w:val="24"/>
          <w:shd w:val="clear" w:color="auto" w:fill="FFFFFF"/>
        </w:rPr>
        <w:tab/>
      </w:r>
      <w:proofErr w:type="spellStart"/>
      <w:r w:rsidRPr="00D2482E">
        <w:rPr>
          <w:rFonts w:cstheme="minorHAnsi"/>
          <w:sz w:val="24"/>
          <w:szCs w:val="24"/>
        </w:rPr>
        <w:t>Zilionis</w:t>
      </w:r>
      <w:proofErr w:type="spellEnd"/>
      <w:r w:rsidRPr="00D2482E">
        <w:rPr>
          <w:rFonts w:cstheme="minorHAnsi"/>
          <w:sz w:val="24"/>
          <w:szCs w:val="24"/>
        </w:rPr>
        <w:t xml:space="preserve"> R, </w:t>
      </w:r>
      <w:proofErr w:type="spellStart"/>
      <w:r>
        <w:rPr>
          <w:rFonts w:cstheme="minorHAnsi"/>
          <w:sz w:val="24"/>
          <w:szCs w:val="24"/>
        </w:rPr>
        <w:t>Engblom</w:t>
      </w:r>
      <w:proofErr w:type="spellEnd"/>
      <w:r>
        <w:rPr>
          <w:rFonts w:cstheme="minorHAnsi"/>
          <w:sz w:val="24"/>
          <w:szCs w:val="24"/>
        </w:rPr>
        <w:t xml:space="preserve"> C, </w:t>
      </w:r>
      <w:proofErr w:type="spellStart"/>
      <w:r>
        <w:rPr>
          <w:rFonts w:cstheme="minorHAnsi"/>
          <w:sz w:val="24"/>
          <w:szCs w:val="24"/>
        </w:rPr>
        <w:t>Pfirschke</w:t>
      </w:r>
      <w:proofErr w:type="spellEnd"/>
      <w:r>
        <w:rPr>
          <w:rFonts w:cstheme="minorHAnsi"/>
          <w:sz w:val="24"/>
          <w:szCs w:val="24"/>
        </w:rPr>
        <w:t xml:space="preserve"> C</w:t>
      </w:r>
      <w:r w:rsidRPr="006A7195">
        <w:rPr>
          <w:rFonts w:cstheme="minorHAnsi"/>
          <w:sz w:val="24"/>
          <w:szCs w:val="24"/>
        </w:rPr>
        <w:t xml:space="preserve">, </w:t>
      </w:r>
      <w:proofErr w:type="spellStart"/>
      <w:r w:rsidRPr="006A7195">
        <w:rPr>
          <w:rFonts w:cstheme="minorHAnsi"/>
          <w:sz w:val="24"/>
          <w:szCs w:val="24"/>
        </w:rPr>
        <w:t>Savov</w:t>
      </w:r>
      <w:r>
        <w:rPr>
          <w:rFonts w:cstheme="minorHAnsi"/>
          <w:sz w:val="24"/>
          <w:szCs w:val="24"/>
        </w:rPr>
        <w:t>a</w:t>
      </w:r>
      <w:proofErr w:type="spellEnd"/>
      <w:r>
        <w:rPr>
          <w:rFonts w:cstheme="minorHAnsi"/>
          <w:sz w:val="24"/>
          <w:szCs w:val="24"/>
        </w:rPr>
        <w:t xml:space="preserve"> V, </w:t>
      </w:r>
      <w:proofErr w:type="spellStart"/>
      <w:r>
        <w:rPr>
          <w:rFonts w:cstheme="minorHAnsi"/>
          <w:sz w:val="24"/>
          <w:szCs w:val="24"/>
        </w:rPr>
        <w:t>Zemmour</w:t>
      </w:r>
      <w:proofErr w:type="spellEnd"/>
      <w:r>
        <w:rPr>
          <w:rFonts w:cstheme="minorHAnsi"/>
          <w:sz w:val="24"/>
          <w:szCs w:val="24"/>
        </w:rPr>
        <w:t xml:space="preserve"> D, </w:t>
      </w:r>
      <w:proofErr w:type="spellStart"/>
      <w:r>
        <w:rPr>
          <w:rFonts w:cstheme="minorHAnsi"/>
          <w:sz w:val="24"/>
          <w:szCs w:val="24"/>
        </w:rPr>
        <w:t>Saatcioglu</w:t>
      </w:r>
      <w:proofErr w:type="spellEnd"/>
      <w:r>
        <w:rPr>
          <w:rFonts w:cstheme="minorHAnsi"/>
          <w:sz w:val="24"/>
          <w:szCs w:val="24"/>
        </w:rPr>
        <w:t xml:space="preserve"> HD</w:t>
      </w:r>
      <w:r w:rsidRPr="006A7195">
        <w:rPr>
          <w:rFonts w:cstheme="minorHAnsi"/>
          <w:sz w:val="24"/>
          <w:szCs w:val="24"/>
        </w:rPr>
        <w:t xml:space="preserve">, </w:t>
      </w:r>
      <w:r w:rsidRPr="006A7195">
        <w:rPr>
          <w:rFonts w:cstheme="minorHAnsi"/>
          <w:i/>
          <w:sz w:val="24"/>
          <w:szCs w:val="24"/>
        </w:rPr>
        <w:t>et al</w:t>
      </w:r>
      <w:r w:rsidRPr="00D2482E">
        <w:rPr>
          <w:rFonts w:cstheme="minorHAnsi"/>
          <w:sz w:val="24"/>
          <w:szCs w:val="24"/>
        </w:rPr>
        <w:t>.</w:t>
      </w:r>
      <w:r w:rsidRPr="00D2482E">
        <w:rPr>
          <w:rFonts w:cstheme="minorHAnsi"/>
          <w:color w:val="000000"/>
          <w:sz w:val="24"/>
          <w:szCs w:val="24"/>
          <w:shd w:val="clear" w:color="auto" w:fill="FFFFFF"/>
        </w:rPr>
        <w:t xml:space="preserve"> </w:t>
      </w:r>
      <w:r w:rsidRPr="0066498F">
        <w:rPr>
          <w:rFonts w:cstheme="minorHAnsi"/>
          <w:color w:val="000000"/>
          <w:sz w:val="24"/>
          <w:szCs w:val="24"/>
          <w:shd w:val="clear" w:color="auto" w:fill="FFFFFF"/>
        </w:rPr>
        <w:t xml:space="preserve">Single-cell transcriptomics of human and mouse lung cancers reveals conserved myeloid populations across individuals and species. </w:t>
      </w:r>
      <w:r w:rsidRPr="0066498F">
        <w:rPr>
          <w:rFonts w:cstheme="minorHAnsi"/>
          <w:i/>
          <w:color w:val="000000"/>
          <w:sz w:val="24"/>
          <w:szCs w:val="24"/>
          <w:shd w:val="clear" w:color="auto" w:fill="FFFFFF"/>
        </w:rPr>
        <w:t>Immunity</w:t>
      </w:r>
      <w:r w:rsidRPr="0066498F">
        <w:rPr>
          <w:rFonts w:cstheme="minorHAnsi"/>
          <w:color w:val="000000"/>
          <w:sz w:val="24"/>
          <w:szCs w:val="24"/>
          <w:shd w:val="clear" w:color="auto" w:fill="FFFFFF"/>
        </w:rPr>
        <w:t xml:space="preserve"> </w:t>
      </w:r>
      <w:r w:rsidRPr="006A7195">
        <w:rPr>
          <w:rFonts w:cstheme="minorHAnsi"/>
          <w:b/>
          <w:color w:val="000000"/>
          <w:sz w:val="24"/>
          <w:szCs w:val="24"/>
          <w:shd w:val="clear" w:color="auto" w:fill="FFFFFF"/>
        </w:rPr>
        <w:t>2019</w:t>
      </w:r>
      <w:r>
        <w:rPr>
          <w:rFonts w:cstheme="minorHAnsi"/>
          <w:color w:val="000000"/>
          <w:sz w:val="24"/>
          <w:szCs w:val="24"/>
          <w:shd w:val="clear" w:color="auto" w:fill="FFFFFF"/>
        </w:rPr>
        <w:t>;</w:t>
      </w:r>
      <w:r w:rsidRPr="0066498F">
        <w:rPr>
          <w:rFonts w:cstheme="minorHAnsi"/>
          <w:color w:val="000000"/>
          <w:sz w:val="24"/>
          <w:szCs w:val="24"/>
          <w:shd w:val="clear" w:color="auto" w:fill="FFFFFF"/>
        </w:rPr>
        <w:t>50:1317</w:t>
      </w:r>
      <w:r>
        <w:rPr>
          <w:rFonts w:cstheme="minorHAnsi"/>
          <w:color w:val="000000"/>
          <w:sz w:val="24"/>
          <w:szCs w:val="24"/>
          <w:shd w:val="clear" w:color="auto" w:fill="FFFFFF"/>
        </w:rPr>
        <w:t>–</w:t>
      </w:r>
      <w:r w:rsidRPr="0066498F">
        <w:rPr>
          <w:rFonts w:cstheme="minorHAnsi"/>
          <w:color w:val="000000"/>
          <w:sz w:val="24"/>
          <w:szCs w:val="24"/>
          <w:shd w:val="clear" w:color="auto" w:fill="FFFFFF"/>
        </w:rPr>
        <w:t>34.</w:t>
      </w:r>
    </w:p>
    <w:p w14:paraId="5B18D1C9" w14:textId="77777777" w:rsidR="00555A09" w:rsidRPr="00EA4B69" w:rsidRDefault="00555A09" w:rsidP="00555A09">
      <w:pPr>
        <w:ind w:left="426" w:hanging="426"/>
        <w:rPr>
          <w:lang w:val="en-GB"/>
        </w:rPr>
      </w:pPr>
      <w:r>
        <w:rPr>
          <w:rFonts w:cstheme="minorHAnsi"/>
          <w:color w:val="000000"/>
          <w:sz w:val="24"/>
          <w:szCs w:val="24"/>
          <w:shd w:val="clear" w:color="auto" w:fill="FFFFFF"/>
        </w:rPr>
        <w:t>4.</w:t>
      </w:r>
      <w:r>
        <w:rPr>
          <w:rFonts w:cstheme="minorHAnsi"/>
          <w:color w:val="000000"/>
          <w:sz w:val="24"/>
          <w:szCs w:val="24"/>
          <w:shd w:val="clear" w:color="auto" w:fill="FFFFFF"/>
        </w:rPr>
        <w:tab/>
      </w:r>
      <w:proofErr w:type="spellStart"/>
      <w:r w:rsidRPr="00035237">
        <w:rPr>
          <w:rFonts w:cstheme="minorHAnsi"/>
          <w:color w:val="222222"/>
          <w:sz w:val="24"/>
          <w:szCs w:val="24"/>
          <w:shd w:val="clear" w:color="auto" w:fill="FFFFFF"/>
          <w:lang w:val="en-GB"/>
        </w:rPr>
        <w:t>Kolde</w:t>
      </w:r>
      <w:proofErr w:type="spellEnd"/>
      <w:r w:rsidRPr="00035237">
        <w:rPr>
          <w:rFonts w:cstheme="minorHAnsi"/>
          <w:color w:val="222222"/>
          <w:sz w:val="24"/>
          <w:szCs w:val="24"/>
          <w:shd w:val="clear" w:color="auto" w:fill="FFFFFF"/>
          <w:lang w:val="en-GB"/>
        </w:rPr>
        <w:t>, R. </w:t>
      </w:r>
      <w:proofErr w:type="spellStart"/>
      <w:r w:rsidRPr="00035237">
        <w:rPr>
          <w:rFonts w:cstheme="minorHAnsi"/>
          <w:i/>
          <w:iCs/>
          <w:color w:val="222222"/>
          <w:sz w:val="24"/>
          <w:szCs w:val="24"/>
          <w:shd w:val="clear" w:color="auto" w:fill="FFFFFF"/>
          <w:lang w:val="en-GB"/>
        </w:rPr>
        <w:t>Pheatmap</w:t>
      </w:r>
      <w:proofErr w:type="spellEnd"/>
      <w:r w:rsidRPr="00035237">
        <w:rPr>
          <w:rFonts w:cstheme="minorHAnsi"/>
          <w:i/>
          <w:iCs/>
          <w:color w:val="222222"/>
          <w:sz w:val="24"/>
          <w:szCs w:val="24"/>
          <w:shd w:val="clear" w:color="auto" w:fill="FFFFFF"/>
          <w:lang w:val="en-GB"/>
        </w:rPr>
        <w:t>: pretty heatmaps</w:t>
      </w:r>
      <w:r w:rsidRPr="00035237">
        <w:rPr>
          <w:rFonts w:cstheme="minorHAnsi"/>
          <w:color w:val="222222"/>
          <w:sz w:val="24"/>
          <w:szCs w:val="24"/>
          <w:shd w:val="clear" w:color="auto" w:fill="FFFFFF"/>
          <w:lang w:val="en-GB"/>
        </w:rPr>
        <w:t xml:space="preserve">. </w:t>
      </w:r>
      <w:r w:rsidRPr="00555BCD">
        <w:rPr>
          <w:rFonts w:cstheme="minorHAnsi"/>
          <w:color w:val="222222"/>
          <w:sz w:val="24"/>
          <w:szCs w:val="24"/>
          <w:shd w:val="clear" w:color="auto" w:fill="FFFFFF"/>
          <w:lang w:val="en-GB"/>
        </w:rPr>
        <w:t>R Package Version 1.0.10.</w:t>
      </w:r>
      <w:hyperlink r:id="rId10" w:history="1">
        <w:r w:rsidRPr="00555BCD">
          <w:rPr>
            <w:rStyle w:val="Hyperlink"/>
            <w:rFonts w:cstheme="minorHAnsi"/>
            <w:sz w:val="24"/>
            <w:szCs w:val="24"/>
            <w:shd w:val="clear" w:color="auto" w:fill="FFFFFF"/>
            <w:lang w:val="en-GB"/>
          </w:rPr>
          <w:t>https://CRAN.R-project.org/package=pheatmap</w:t>
        </w:r>
      </w:hyperlink>
      <w:r w:rsidRPr="00EA4B69">
        <w:rPr>
          <w:rFonts w:cstheme="minorHAnsi"/>
          <w:color w:val="222222"/>
          <w:sz w:val="24"/>
          <w:szCs w:val="24"/>
          <w:shd w:val="clear" w:color="auto" w:fill="FFFFFF"/>
          <w:lang w:val="en-GB"/>
        </w:rPr>
        <w:t> (2012).</w:t>
      </w:r>
    </w:p>
    <w:p w14:paraId="6235040E" w14:textId="77777777" w:rsidR="00555A09" w:rsidRPr="0066498F" w:rsidRDefault="00555A09" w:rsidP="00555A09">
      <w:pPr>
        <w:autoSpaceDE w:val="0"/>
        <w:autoSpaceDN w:val="0"/>
        <w:adjustRightInd w:val="0"/>
        <w:spacing w:line="360" w:lineRule="auto"/>
        <w:ind w:left="450" w:hanging="450"/>
        <w:rPr>
          <w:rFonts w:cstheme="minorHAnsi"/>
          <w:color w:val="000000"/>
          <w:sz w:val="24"/>
          <w:szCs w:val="24"/>
          <w:shd w:val="clear" w:color="auto" w:fill="FFFFFF"/>
        </w:rPr>
      </w:pPr>
      <w:r>
        <w:rPr>
          <w:rFonts w:cstheme="minorHAnsi"/>
          <w:color w:val="000000"/>
          <w:sz w:val="24"/>
          <w:szCs w:val="24"/>
          <w:shd w:val="clear" w:color="auto" w:fill="FFFFFF"/>
        </w:rPr>
        <w:t>5.</w:t>
      </w:r>
      <w:r>
        <w:rPr>
          <w:rFonts w:cstheme="minorHAnsi"/>
          <w:color w:val="000000"/>
          <w:sz w:val="24"/>
          <w:szCs w:val="24"/>
          <w:shd w:val="clear" w:color="auto" w:fill="FFFFFF"/>
        </w:rPr>
        <w:tab/>
      </w:r>
      <w:proofErr w:type="spellStart"/>
      <w:r w:rsidRPr="0066498F">
        <w:rPr>
          <w:rFonts w:cstheme="minorHAnsi"/>
          <w:color w:val="000000"/>
          <w:sz w:val="24"/>
          <w:szCs w:val="24"/>
          <w:shd w:val="clear" w:color="auto" w:fill="FFFFFF"/>
        </w:rPr>
        <w:t>O</w:t>
      </w:r>
      <w:r>
        <w:rPr>
          <w:rFonts w:cstheme="minorHAnsi"/>
          <w:color w:val="000000"/>
          <w:sz w:val="24"/>
          <w:szCs w:val="24"/>
          <w:shd w:val="clear" w:color="auto" w:fill="FFFFFF"/>
        </w:rPr>
        <w:t>recchioni</w:t>
      </w:r>
      <w:proofErr w:type="spellEnd"/>
      <w:r>
        <w:rPr>
          <w:rFonts w:cstheme="minorHAnsi"/>
          <w:color w:val="000000"/>
          <w:sz w:val="24"/>
          <w:szCs w:val="24"/>
          <w:shd w:val="clear" w:color="auto" w:fill="FFFFFF"/>
        </w:rPr>
        <w:t xml:space="preserve"> M, </w:t>
      </w:r>
      <w:proofErr w:type="spellStart"/>
      <w:r w:rsidRPr="006A7195">
        <w:rPr>
          <w:rFonts w:cstheme="minorHAnsi"/>
          <w:color w:val="000000"/>
          <w:sz w:val="24"/>
          <w:szCs w:val="24"/>
          <w:shd w:val="clear" w:color="auto" w:fill="FFFFFF"/>
        </w:rPr>
        <w:t>G</w:t>
      </w:r>
      <w:r>
        <w:rPr>
          <w:rFonts w:cstheme="minorHAnsi"/>
          <w:color w:val="000000"/>
          <w:sz w:val="24"/>
          <w:szCs w:val="24"/>
          <w:shd w:val="clear" w:color="auto" w:fill="FFFFFF"/>
        </w:rPr>
        <w:t>hosheh</w:t>
      </w:r>
      <w:proofErr w:type="spellEnd"/>
      <w:r>
        <w:rPr>
          <w:rFonts w:cstheme="minorHAnsi"/>
          <w:color w:val="000000"/>
          <w:sz w:val="24"/>
          <w:szCs w:val="24"/>
          <w:shd w:val="clear" w:color="auto" w:fill="FFFFFF"/>
        </w:rPr>
        <w:t xml:space="preserve"> Y, Pramod AB, Ley K. Macrophage p</w:t>
      </w:r>
      <w:r w:rsidRPr="0066498F">
        <w:rPr>
          <w:rFonts w:cstheme="minorHAnsi"/>
          <w:color w:val="000000"/>
          <w:sz w:val="24"/>
          <w:szCs w:val="24"/>
          <w:shd w:val="clear" w:color="auto" w:fill="FFFFFF"/>
        </w:rPr>
        <w:t xml:space="preserve">olarization: Different gene signatures in M1(LPS+) vs. classically and M2(LPS-) vs. alternatively activated macrophages. </w:t>
      </w:r>
      <w:r w:rsidRPr="0066498F">
        <w:rPr>
          <w:rFonts w:cstheme="minorHAnsi"/>
          <w:i/>
          <w:color w:val="000000"/>
          <w:sz w:val="24"/>
          <w:szCs w:val="24"/>
          <w:shd w:val="clear" w:color="auto" w:fill="FFFFFF"/>
        </w:rPr>
        <w:t>Front Immunol.</w:t>
      </w:r>
      <w:r>
        <w:rPr>
          <w:rFonts w:cstheme="minorHAnsi"/>
          <w:i/>
          <w:color w:val="000000"/>
          <w:sz w:val="24"/>
          <w:szCs w:val="24"/>
          <w:shd w:val="clear" w:color="auto" w:fill="FFFFFF"/>
        </w:rPr>
        <w:t xml:space="preserve"> </w:t>
      </w:r>
      <w:r w:rsidRPr="00CD0A3B">
        <w:rPr>
          <w:rFonts w:cstheme="minorHAnsi"/>
          <w:b/>
          <w:color w:val="000000"/>
          <w:sz w:val="24"/>
          <w:szCs w:val="24"/>
          <w:shd w:val="clear" w:color="auto" w:fill="FFFFFF"/>
        </w:rPr>
        <w:t>2019</w:t>
      </w:r>
      <w:r>
        <w:rPr>
          <w:rFonts w:cstheme="minorHAnsi"/>
          <w:color w:val="000000"/>
          <w:sz w:val="24"/>
          <w:szCs w:val="24"/>
          <w:shd w:val="clear" w:color="auto" w:fill="FFFFFF"/>
        </w:rPr>
        <w:t>;</w:t>
      </w:r>
      <w:r w:rsidRPr="006A7195">
        <w:rPr>
          <w:rFonts w:cstheme="minorHAnsi"/>
          <w:color w:val="000000"/>
          <w:sz w:val="24"/>
          <w:szCs w:val="24"/>
          <w:shd w:val="clear" w:color="auto" w:fill="FFFFFF"/>
        </w:rPr>
        <w:t>10</w:t>
      </w:r>
      <w:r w:rsidRPr="0066498F">
        <w:rPr>
          <w:rFonts w:cstheme="minorHAnsi"/>
          <w:color w:val="000000"/>
          <w:sz w:val="24"/>
          <w:szCs w:val="24"/>
          <w:shd w:val="clear" w:color="auto" w:fill="FFFFFF"/>
        </w:rPr>
        <w:t>:1084.</w:t>
      </w:r>
    </w:p>
    <w:p w14:paraId="26E9667A" w14:textId="77777777" w:rsidR="00B1328B" w:rsidRDefault="00B1328B"/>
    <w:sectPr w:rsidR="00B13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C1540" w14:textId="77777777" w:rsidR="00827C93" w:rsidRDefault="00827C93" w:rsidP="00FD0BDE">
      <w:pPr>
        <w:spacing w:after="0" w:line="240" w:lineRule="auto"/>
      </w:pPr>
      <w:r>
        <w:separator/>
      </w:r>
    </w:p>
  </w:endnote>
  <w:endnote w:type="continuationSeparator" w:id="0">
    <w:p w14:paraId="3DBB7A2B" w14:textId="77777777" w:rsidR="00827C93" w:rsidRDefault="00827C93" w:rsidP="00FD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INNextLTPro-Regular">
    <w:altName w:val="Yu Gothic"/>
    <w:panose1 w:val="00000000000000000000"/>
    <w:charset w:val="80"/>
    <w:family w:val="swiss"/>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14907" w14:textId="77777777" w:rsidR="00827C93" w:rsidRDefault="00827C93" w:rsidP="00FD0BDE">
      <w:pPr>
        <w:spacing w:after="0" w:line="240" w:lineRule="auto"/>
      </w:pPr>
      <w:r>
        <w:separator/>
      </w:r>
    </w:p>
  </w:footnote>
  <w:footnote w:type="continuationSeparator" w:id="0">
    <w:p w14:paraId="7305413B" w14:textId="77777777" w:rsidR="00827C93" w:rsidRDefault="00827C93" w:rsidP="00FD0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09"/>
    <w:rsid w:val="0001298D"/>
    <w:rsid w:val="00056655"/>
    <w:rsid w:val="000C2B59"/>
    <w:rsid w:val="000E4D22"/>
    <w:rsid w:val="0015162A"/>
    <w:rsid w:val="001C276C"/>
    <w:rsid w:val="002E467B"/>
    <w:rsid w:val="00376C0E"/>
    <w:rsid w:val="00394538"/>
    <w:rsid w:val="00403FBD"/>
    <w:rsid w:val="00555A09"/>
    <w:rsid w:val="005718E7"/>
    <w:rsid w:val="00581150"/>
    <w:rsid w:val="00594A09"/>
    <w:rsid w:val="005A28CD"/>
    <w:rsid w:val="00611AC2"/>
    <w:rsid w:val="00692136"/>
    <w:rsid w:val="006D1482"/>
    <w:rsid w:val="0072160F"/>
    <w:rsid w:val="00746728"/>
    <w:rsid w:val="007A1DD2"/>
    <w:rsid w:val="007C39DE"/>
    <w:rsid w:val="00827C93"/>
    <w:rsid w:val="008353A3"/>
    <w:rsid w:val="0087127C"/>
    <w:rsid w:val="008E4026"/>
    <w:rsid w:val="008F7AD9"/>
    <w:rsid w:val="009D3EF7"/>
    <w:rsid w:val="00B1328B"/>
    <w:rsid w:val="00B134C7"/>
    <w:rsid w:val="00B54958"/>
    <w:rsid w:val="00B65F65"/>
    <w:rsid w:val="00BA4A9D"/>
    <w:rsid w:val="00C134B8"/>
    <w:rsid w:val="00DA60EB"/>
    <w:rsid w:val="00E530EB"/>
    <w:rsid w:val="00FD0BDE"/>
    <w:rsid w:val="012E5C2E"/>
    <w:rsid w:val="02A7DD0F"/>
    <w:rsid w:val="04BA1023"/>
    <w:rsid w:val="065BDCDD"/>
    <w:rsid w:val="066A289C"/>
    <w:rsid w:val="07F72D2B"/>
    <w:rsid w:val="09FA37BB"/>
    <w:rsid w:val="0BAF3972"/>
    <w:rsid w:val="0BCF1F0A"/>
    <w:rsid w:val="0C147AA0"/>
    <w:rsid w:val="0C6158D0"/>
    <w:rsid w:val="0C994817"/>
    <w:rsid w:val="0C9953AA"/>
    <w:rsid w:val="0CCCCB91"/>
    <w:rsid w:val="0E3D9C7B"/>
    <w:rsid w:val="0F3470B4"/>
    <w:rsid w:val="0F5BBFC4"/>
    <w:rsid w:val="0F69222D"/>
    <w:rsid w:val="0FAF2529"/>
    <w:rsid w:val="0FEEA1E6"/>
    <w:rsid w:val="0FFE6826"/>
    <w:rsid w:val="14377ADF"/>
    <w:rsid w:val="1499D228"/>
    <w:rsid w:val="14B7A417"/>
    <w:rsid w:val="14CF2C6F"/>
    <w:rsid w:val="1592EEEF"/>
    <w:rsid w:val="1664D6AD"/>
    <w:rsid w:val="166AFCD0"/>
    <w:rsid w:val="17E47EC1"/>
    <w:rsid w:val="1806CD31"/>
    <w:rsid w:val="193B3E60"/>
    <w:rsid w:val="1994D283"/>
    <w:rsid w:val="1A1A21A9"/>
    <w:rsid w:val="1AB0DB72"/>
    <w:rsid w:val="1BBE4D9B"/>
    <w:rsid w:val="1BFEF3C1"/>
    <w:rsid w:val="1CB06396"/>
    <w:rsid w:val="1D978BF1"/>
    <w:rsid w:val="1FD89EEB"/>
    <w:rsid w:val="1FF3F4DC"/>
    <w:rsid w:val="21753995"/>
    <w:rsid w:val="22544C63"/>
    <w:rsid w:val="2261B683"/>
    <w:rsid w:val="2353CD01"/>
    <w:rsid w:val="23E46BFD"/>
    <w:rsid w:val="2471BF60"/>
    <w:rsid w:val="253C2D3A"/>
    <w:rsid w:val="268A23D5"/>
    <w:rsid w:val="2824DE81"/>
    <w:rsid w:val="296D7179"/>
    <w:rsid w:val="2BBB76F1"/>
    <w:rsid w:val="2FDF892A"/>
    <w:rsid w:val="303DD0BC"/>
    <w:rsid w:val="3111D577"/>
    <w:rsid w:val="31DAB370"/>
    <w:rsid w:val="32286229"/>
    <w:rsid w:val="32C97416"/>
    <w:rsid w:val="33316C98"/>
    <w:rsid w:val="33744D7E"/>
    <w:rsid w:val="34B0B100"/>
    <w:rsid w:val="37DE9BE8"/>
    <w:rsid w:val="3A0B62AA"/>
    <w:rsid w:val="3A6E5C9A"/>
    <w:rsid w:val="3DF64CCC"/>
    <w:rsid w:val="3E020390"/>
    <w:rsid w:val="3FA7EB8B"/>
    <w:rsid w:val="40FE6056"/>
    <w:rsid w:val="430F43EA"/>
    <w:rsid w:val="437A1D8A"/>
    <w:rsid w:val="44360118"/>
    <w:rsid w:val="4674C0B5"/>
    <w:rsid w:val="470A7C30"/>
    <w:rsid w:val="49F45D3A"/>
    <w:rsid w:val="510D4047"/>
    <w:rsid w:val="5127855F"/>
    <w:rsid w:val="5248CAED"/>
    <w:rsid w:val="5437D420"/>
    <w:rsid w:val="545F2621"/>
    <w:rsid w:val="572386DC"/>
    <w:rsid w:val="57BB424B"/>
    <w:rsid w:val="57C2639F"/>
    <w:rsid w:val="57D338D4"/>
    <w:rsid w:val="57ECE499"/>
    <w:rsid w:val="592F55BF"/>
    <w:rsid w:val="596F0935"/>
    <w:rsid w:val="597BBC18"/>
    <w:rsid w:val="5CD24003"/>
    <w:rsid w:val="5D6D1559"/>
    <w:rsid w:val="5DFEF4C7"/>
    <w:rsid w:val="5E018004"/>
    <w:rsid w:val="6018184C"/>
    <w:rsid w:val="61010EFF"/>
    <w:rsid w:val="620D9F45"/>
    <w:rsid w:val="622D10B7"/>
    <w:rsid w:val="6236C8F1"/>
    <w:rsid w:val="643E01FE"/>
    <w:rsid w:val="646BCEA2"/>
    <w:rsid w:val="664E507B"/>
    <w:rsid w:val="68AC2574"/>
    <w:rsid w:val="6A69188C"/>
    <w:rsid w:val="6BBF2605"/>
    <w:rsid w:val="6D5369FC"/>
    <w:rsid w:val="6DF52D94"/>
    <w:rsid w:val="72489E4C"/>
    <w:rsid w:val="7335CE3E"/>
    <w:rsid w:val="735826D3"/>
    <w:rsid w:val="740A16AF"/>
    <w:rsid w:val="74183906"/>
    <w:rsid w:val="74DA5500"/>
    <w:rsid w:val="755BFB49"/>
    <w:rsid w:val="76A1CFD4"/>
    <w:rsid w:val="7779A359"/>
    <w:rsid w:val="7A643667"/>
    <w:rsid w:val="7B90B4A1"/>
    <w:rsid w:val="7BB10DB9"/>
    <w:rsid w:val="7C3A0A10"/>
    <w:rsid w:val="7C529A3F"/>
    <w:rsid w:val="7C77E420"/>
    <w:rsid w:val="7D211DFD"/>
    <w:rsid w:val="7D335558"/>
    <w:rsid w:val="7DCEA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1ED0B"/>
  <w15:chartTrackingRefBased/>
  <w15:docId w15:val="{A8FA130F-3142-4B9D-A641-7195A16C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09"/>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rsid w:val="00555A09"/>
    <w:pPr>
      <w:spacing w:after="240" w:line="300" w:lineRule="auto"/>
    </w:pPr>
    <w:rPr>
      <w:rFonts w:ascii="Times New Roman" w:eastAsia="Times New Roman" w:hAnsi="Times New Roman" w:cs="Times New Roman"/>
      <w:sz w:val="24"/>
      <w:szCs w:val="24"/>
      <w:lang w:val="en-US" w:eastAsia="en-US"/>
    </w:rPr>
  </w:style>
  <w:style w:type="character" w:customStyle="1" w:styleId="ParagraphChar">
    <w:name w:val="Paragraph Char"/>
    <w:link w:val="Paragraph"/>
    <w:rsid w:val="00555A09"/>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555A0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A09"/>
    <w:rPr>
      <w:color w:val="0000FF"/>
      <w:u w:val="single"/>
    </w:rPr>
  </w:style>
  <w:style w:type="paragraph" w:styleId="Header">
    <w:name w:val="header"/>
    <w:basedOn w:val="Normal"/>
    <w:link w:val="HeaderChar"/>
    <w:uiPriority w:val="99"/>
    <w:unhideWhenUsed/>
    <w:rsid w:val="00FD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BDE"/>
    <w:rPr>
      <w:rFonts w:eastAsiaTheme="minorHAnsi"/>
      <w:lang w:val="en-US" w:eastAsia="en-US"/>
    </w:rPr>
  </w:style>
  <w:style w:type="paragraph" w:styleId="Footer">
    <w:name w:val="footer"/>
    <w:basedOn w:val="Normal"/>
    <w:link w:val="FooterChar"/>
    <w:uiPriority w:val="99"/>
    <w:unhideWhenUsed/>
    <w:rsid w:val="00FD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BDE"/>
    <w:rPr>
      <w:rFonts w:eastAsiaTheme="minorHAnsi"/>
      <w:lang w:val="en-US" w:eastAsia="en-US"/>
    </w:rPr>
  </w:style>
  <w:style w:type="paragraph" w:styleId="BalloonText">
    <w:name w:val="Balloon Text"/>
    <w:basedOn w:val="Normal"/>
    <w:link w:val="BalloonTextChar"/>
    <w:uiPriority w:val="99"/>
    <w:semiHidden/>
    <w:unhideWhenUsed/>
    <w:rsid w:val="00746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28"/>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RAN.R-project.org/package=pheatmap"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ee89e71-04cd-405e-9ca3-99e020c1694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540760DF0CD9042855CFEE11D37F829" ma:contentTypeVersion="6" ma:contentTypeDescription="Create a new document." ma:contentTypeScope="" ma:versionID="a9eb430bcf6df090fc64b41265994cd8">
  <xsd:schema xmlns:xsd="http://www.w3.org/2001/XMLSchema" xmlns:xs="http://www.w3.org/2001/XMLSchema" xmlns:p="http://schemas.microsoft.com/office/2006/metadata/properties" xmlns:ns2="44a56295-c29e-4898-8136-a54736c65b82" xmlns:ns3="dadf4089-41d4-4489-96f1-6f4254fd5a08" targetNamespace="http://schemas.microsoft.com/office/2006/metadata/properties" ma:root="true" ma:fieldsID="342af2e084381308d04081f6ecf8f0c8" ns2:_="" ns3:_="">
    <xsd:import namespace="44a56295-c29e-4898-8136-a54736c65b82"/>
    <xsd:import namespace="dadf4089-41d4-4489-96f1-6f4254fd5a08"/>
    <xsd:element name="properties">
      <xsd:complexType>
        <xsd:sequence>
          <xsd:element name="documentManagement">
            <xsd:complexType>
              <xsd:all>
                <xsd:element ref="ns2:Descriptions" minOccurs="0"/>
                <xsd:element ref="ns2:Keywor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df4089-41d4-4489-96f1-6f4254fd5a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9EDD-499D-46F0-8B30-678F080E9669}">
  <ds:schemaRefs>
    <ds:schemaRef ds:uri="http://schemas.microsoft.com/office/2006/metadata/properties"/>
    <ds:schemaRef ds:uri="http://schemas.microsoft.com/office/infopath/2007/PartnerControls"/>
    <ds:schemaRef ds:uri="44a56295-c29e-4898-8136-a54736c65b82"/>
  </ds:schemaRefs>
</ds:datastoreItem>
</file>

<file path=customXml/itemProps2.xml><?xml version="1.0" encoding="utf-8"?>
<ds:datastoreItem xmlns:ds="http://schemas.openxmlformats.org/officeDocument/2006/customXml" ds:itemID="{8C83267A-46EB-4AF8-A745-8E8CD2BAABE4}">
  <ds:schemaRefs>
    <ds:schemaRef ds:uri="http://schemas.microsoft.com/sharepoint/v3/contenttype/forms"/>
  </ds:schemaRefs>
</ds:datastoreItem>
</file>

<file path=customXml/itemProps3.xml><?xml version="1.0" encoding="utf-8"?>
<ds:datastoreItem xmlns:ds="http://schemas.openxmlformats.org/officeDocument/2006/customXml" ds:itemID="{8D150BDF-2B43-401C-AD94-C2FF24F8C0EE}">
  <ds:schemaRefs>
    <ds:schemaRef ds:uri="Microsoft.SharePoint.Taxonomy.ContentTypeSync"/>
  </ds:schemaRefs>
</ds:datastoreItem>
</file>

<file path=customXml/itemProps4.xml><?xml version="1.0" encoding="utf-8"?>
<ds:datastoreItem xmlns:ds="http://schemas.openxmlformats.org/officeDocument/2006/customXml" ds:itemID="{3A5452BC-1B25-48AC-B2A2-8D65054B6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dadf4089-41d4-4489-96f1-6f4254fd5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Holland</dc:creator>
  <cp:keywords/>
  <dc:description/>
  <cp:lastModifiedBy>Jordan</cp:lastModifiedBy>
  <cp:revision>2</cp:revision>
  <dcterms:created xsi:type="dcterms:W3CDTF">2021-06-17T15:47:00Z</dcterms:created>
  <dcterms:modified xsi:type="dcterms:W3CDTF">2021-06-17T15:47:00Z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0x0101002540760DF0CD9042855CFEE11D37F829</vt:lpwstr>
  </property>
</Properties>
</file>