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1422"/>
        <w:tblW w:w="16288" w:type="dxa"/>
        <w:tblCellMar>
          <w:left w:w="0" w:type="dxa"/>
          <w:right w:w="0" w:type="dxa"/>
        </w:tblCellMar>
        <w:tblLook w:val="0600" w:firstRow="0" w:lastRow="0" w:firstColumn="0" w:lastColumn="0" w:noHBand="1" w:noVBand="1"/>
      </w:tblPr>
      <w:tblGrid>
        <w:gridCol w:w="13"/>
        <w:gridCol w:w="2369"/>
        <w:gridCol w:w="14"/>
        <w:gridCol w:w="14"/>
        <w:gridCol w:w="329"/>
        <w:gridCol w:w="1440"/>
        <w:gridCol w:w="76"/>
        <w:gridCol w:w="14"/>
        <w:gridCol w:w="1784"/>
        <w:gridCol w:w="119"/>
        <w:gridCol w:w="14"/>
        <w:gridCol w:w="2192"/>
        <w:gridCol w:w="14"/>
        <w:gridCol w:w="108"/>
        <w:gridCol w:w="1701"/>
        <w:gridCol w:w="94"/>
        <w:gridCol w:w="14"/>
        <w:gridCol w:w="1905"/>
        <w:gridCol w:w="14"/>
        <w:gridCol w:w="1903"/>
        <w:gridCol w:w="14"/>
        <w:gridCol w:w="2143"/>
      </w:tblGrid>
      <w:tr w:rsidR="00BA6EC7" w:rsidRPr="00DB327F" w:rsidTr="0091404C">
        <w:trPr>
          <w:gridBefore w:val="1"/>
          <w:wBefore w:w="13" w:type="dxa"/>
          <w:trHeight w:val="106"/>
        </w:trPr>
        <w:tc>
          <w:tcPr>
            <w:tcW w:w="16275" w:type="dxa"/>
            <w:gridSpan w:val="21"/>
            <w:tcBorders>
              <w:top w:val="single" w:sz="4" w:space="0" w:color="auto"/>
              <w:left w:val="single" w:sz="4" w:space="0" w:color="auto"/>
              <w:bottom w:val="single" w:sz="8" w:space="0" w:color="FFFFFF"/>
              <w:right w:val="single" w:sz="4" w:space="0" w:color="auto"/>
            </w:tcBorders>
            <w:shd w:val="clear" w:color="auto" w:fill="auto"/>
            <w:tcMar>
              <w:top w:w="4" w:type="dxa"/>
              <w:left w:w="4" w:type="dxa"/>
              <w:bottom w:w="0" w:type="dxa"/>
              <w:right w:w="4" w:type="dxa"/>
            </w:tcMar>
            <w:vAlign w:val="bottom"/>
          </w:tcPr>
          <w:p w:rsidR="00BA6EC7" w:rsidRPr="00C37C4D" w:rsidRDefault="00C37C4D" w:rsidP="00C37C4D">
            <w:pPr>
              <w:rPr>
                <w:b/>
                <w:bCs/>
                <w:sz w:val="20"/>
                <w:szCs w:val="20"/>
                <w:lang w:val="en-US"/>
              </w:rPr>
            </w:pPr>
            <w:r w:rsidRPr="00C37C4D">
              <w:rPr>
                <w:rFonts w:asciiTheme="minorHAnsi" w:hAnsiTheme="minorHAnsi" w:cstheme="minorHAnsi"/>
                <w:b/>
                <w:bCs/>
                <w:sz w:val="16"/>
                <w:szCs w:val="16"/>
                <w:lang w:val="en-US"/>
              </w:rPr>
              <w:t xml:space="preserve">Table S2 Preclinical models with a cause-effect relationship between commensals and </w:t>
            </w:r>
            <w:r w:rsidR="00E6436A" w:rsidRPr="00C37C4D">
              <w:rPr>
                <w:rFonts w:asciiTheme="minorHAnsi" w:hAnsiTheme="minorHAnsi" w:cstheme="minorHAnsi"/>
                <w:b/>
                <w:bCs/>
                <w:sz w:val="16"/>
                <w:szCs w:val="16"/>
                <w:lang w:val="en-US"/>
              </w:rPr>
              <w:t>anticancer</w:t>
            </w:r>
            <w:r w:rsidRPr="00C37C4D">
              <w:rPr>
                <w:rFonts w:asciiTheme="minorHAnsi" w:hAnsiTheme="minorHAnsi" w:cstheme="minorHAnsi"/>
                <w:b/>
                <w:bCs/>
                <w:sz w:val="16"/>
                <w:szCs w:val="16"/>
                <w:lang w:val="en-US"/>
              </w:rPr>
              <w:t xml:space="preserve"> effects.</w:t>
            </w:r>
            <w:r w:rsidR="00BA6EC7" w:rsidRPr="00C37C4D">
              <w:rPr>
                <w:b/>
                <w:bCs/>
                <w:sz w:val="20"/>
                <w:szCs w:val="20"/>
                <w:lang w:val="en-US"/>
              </w:rPr>
              <w:t xml:space="preserve"> </w:t>
            </w:r>
          </w:p>
        </w:tc>
      </w:tr>
      <w:tr w:rsidR="00C37C4D" w:rsidRPr="00EF585E" w:rsidTr="0091404C">
        <w:trPr>
          <w:gridBefore w:val="1"/>
          <w:wBefore w:w="13" w:type="dxa"/>
          <w:trHeight w:val="106"/>
        </w:trPr>
        <w:tc>
          <w:tcPr>
            <w:tcW w:w="2397" w:type="dxa"/>
            <w:gridSpan w:val="3"/>
            <w:tcBorders>
              <w:top w:val="single" w:sz="8" w:space="0" w:color="FFFFFF"/>
              <w:left w:val="single" w:sz="4" w:space="0" w:color="auto"/>
              <w:bottom w:val="single" w:sz="8" w:space="0" w:color="FFFFFF"/>
              <w:right w:val="single" w:sz="8" w:space="0" w:color="FFFFFF"/>
            </w:tcBorders>
            <w:shd w:val="clear" w:color="auto" w:fill="767171" w:themeFill="background2" w:themeFillShade="80"/>
            <w:tcMar>
              <w:top w:w="4" w:type="dxa"/>
              <w:left w:w="4" w:type="dxa"/>
              <w:bottom w:w="0" w:type="dxa"/>
              <w:right w:w="4" w:type="dxa"/>
            </w:tcMar>
            <w:vAlign w:val="bottom"/>
          </w:tcPr>
          <w:p w:rsidR="00C37C4D" w:rsidRPr="00C37C4D" w:rsidRDefault="00C37C4D" w:rsidP="00C37C4D">
            <w:pPr>
              <w:rPr>
                <w:rFonts w:asciiTheme="minorHAnsi" w:hAnsiTheme="minorHAnsi" w:cstheme="minorHAnsi"/>
                <w:sz w:val="16"/>
                <w:szCs w:val="16"/>
              </w:rPr>
            </w:pPr>
            <w:r w:rsidRPr="00C37C4D">
              <w:rPr>
                <w:rFonts w:asciiTheme="minorHAnsi" w:hAnsiTheme="minorHAnsi" w:cstheme="minorHAnsi"/>
                <w:b/>
                <w:bCs/>
                <w:sz w:val="16"/>
                <w:szCs w:val="16"/>
              </w:rPr>
              <w:t xml:space="preserve">Cancer </w:t>
            </w:r>
            <w:proofErr w:type="spellStart"/>
            <w:r w:rsidRPr="00C37C4D">
              <w:rPr>
                <w:rFonts w:asciiTheme="minorHAnsi" w:hAnsiTheme="minorHAnsi" w:cstheme="minorHAnsi"/>
                <w:b/>
                <w:bCs/>
                <w:sz w:val="16"/>
                <w:szCs w:val="16"/>
              </w:rPr>
              <w:t>models</w:t>
            </w:r>
            <w:proofErr w:type="spellEnd"/>
          </w:p>
        </w:tc>
        <w:tc>
          <w:tcPr>
            <w:tcW w:w="1859" w:type="dxa"/>
            <w:gridSpan w:val="4"/>
            <w:tcBorders>
              <w:top w:val="single" w:sz="8" w:space="0" w:color="FFFFFF"/>
              <w:left w:val="single" w:sz="8" w:space="0" w:color="FFFFFF"/>
              <w:bottom w:val="single" w:sz="8" w:space="0" w:color="FFFFFF"/>
              <w:right w:val="single" w:sz="8" w:space="0" w:color="FFFFFF"/>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r w:rsidRPr="00C37C4D">
              <w:rPr>
                <w:rFonts w:asciiTheme="minorHAnsi" w:hAnsiTheme="minorHAnsi" w:cstheme="minorHAnsi"/>
                <w:b/>
                <w:bCs/>
                <w:sz w:val="16"/>
                <w:szCs w:val="16"/>
              </w:rPr>
              <w:t>ATB/FMT</w:t>
            </w:r>
          </w:p>
        </w:tc>
        <w:tc>
          <w:tcPr>
            <w:tcW w:w="1917" w:type="dxa"/>
            <w:gridSpan w:val="3"/>
            <w:tcBorders>
              <w:top w:val="single" w:sz="8" w:space="0" w:color="FFFFFF"/>
              <w:left w:val="single" w:sz="8" w:space="0" w:color="FFFFFF"/>
              <w:bottom w:val="single" w:sz="8" w:space="0" w:color="FFFFFF"/>
              <w:right w:val="single" w:sz="8" w:space="0" w:color="FFFFFF"/>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proofErr w:type="spellStart"/>
            <w:r w:rsidRPr="00C37C4D">
              <w:rPr>
                <w:rFonts w:asciiTheme="minorHAnsi" w:hAnsiTheme="minorHAnsi" w:cstheme="minorHAnsi"/>
                <w:b/>
                <w:bCs/>
                <w:sz w:val="16"/>
                <w:szCs w:val="16"/>
              </w:rPr>
              <w:t>Drugs</w:t>
            </w:r>
            <w:proofErr w:type="spellEnd"/>
          </w:p>
        </w:tc>
        <w:tc>
          <w:tcPr>
            <w:tcW w:w="2206" w:type="dxa"/>
            <w:gridSpan w:val="2"/>
            <w:tcBorders>
              <w:top w:val="single" w:sz="8" w:space="0" w:color="FFFFFF"/>
              <w:left w:val="single" w:sz="8" w:space="0" w:color="FFFFFF"/>
              <w:bottom w:val="single" w:sz="8" w:space="0" w:color="FFFFFF"/>
              <w:right w:val="single" w:sz="8" w:space="0" w:color="FFFFFF"/>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proofErr w:type="spellStart"/>
            <w:r w:rsidRPr="00C37C4D">
              <w:rPr>
                <w:rFonts w:asciiTheme="minorHAnsi" w:hAnsiTheme="minorHAnsi" w:cstheme="minorHAnsi"/>
                <w:b/>
                <w:bCs/>
                <w:sz w:val="16"/>
                <w:szCs w:val="16"/>
              </w:rPr>
              <w:t>Commensals</w:t>
            </w:r>
            <w:proofErr w:type="spellEnd"/>
          </w:p>
        </w:tc>
        <w:tc>
          <w:tcPr>
            <w:tcW w:w="1917" w:type="dxa"/>
            <w:gridSpan w:val="4"/>
            <w:tcBorders>
              <w:top w:val="single" w:sz="8" w:space="0" w:color="FFFFFF"/>
              <w:left w:val="single" w:sz="8" w:space="0" w:color="FFFFFF"/>
              <w:bottom w:val="single" w:sz="8" w:space="0" w:color="FFFFFF"/>
              <w:right w:val="single" w:sz="8" w:space="0" w:color="FFFFFF"/>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r w:rsidRPr="00C37C4D">
              <w:rPr>
                <w:rFonts w:asciiTheme="minorHAnsi" w:hAnsiTheme="minorHAnsi" w:cstheme="minorHAnsi"/>
                <w:b/>
                <w:bCs/>
                <w:sz w:val="16"/>
                <w:szCs w:val="16"/>
              </w:rPr>
              <w:t xml:space="preserve">Commensal </w:t>
            </w:r>
            <w:proofErr w:type="spellStart"/>
            <w:r w:rsidRPr="00C37C4D">
              <w:rPr>
                <w:rFonts w:asciiTheme="minorHAnsi" w:hAnsiTheme="minorHAnsi" w:cstheme="minorHAnsi"/>
                <w:b/>
                <w:bCs/>
                <w:sz w:val="16"/>
                <w:szCs w:val="16"/>
              </w:rPr>
              <w:t>Regimen</w:t>
            </w:r>
            <w:proofErr w:type="spellEnd"/>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proofErr w:type="spellStart"/>
            <w:r w:rsidRPr="00C37C4D">
              <w:rPr>
                <w:rFonts w:asciiTheme="minorHAnsi" w:hAnsiTheme="minorHAnsi" w:cstheme="minorHAnsi"/>
                <w:b/>
                <w:bCs/>
                <w:sz w:val="16"/>
                <w:szCs w:val="16"/>
              </w:rPr>
              <w:t>Effect</w:t>
            </w:r>
            <w:proofErr w:type="spellEnd"/>
          </w:p>
        </w:tc>
        <w:tc>
          <w:tcPr>
            <w:tcW w:w="1917" w:type="dxa"/>
            <w:gridSpan w:val="2"/>
            <w:tcBorders>
              <w:top w:val="single" w:sz="8" w:space="0" w:color="FFFFFF"/>
              <w:left w:val="single" w:sz="8" w:space="0" w:color="FFFFFF"/>
              <w:bottom w:val="single" w:sz="8" w:space="0" w:color="FFFFFF"/>
              <w:right w:val="single" w:sz="8" w:space="0" w:color="FFFFFF"/>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r w:rsidRPr="00C37C4D">
              <w:rPr>
                <w:rFonts w:asciiTheme="minorHAnsi" w:hAnsiTheme="minorHAnsi" w:cstheme="minorHAnsi"/>
                <w:b/>
                <w:bCs/>
                <w:sz w:val="16"/>
                <w:szCs w:val="16"/>
              </w:rPr>
              <w:t>Mode of action</w:t>
            </w:r>
          </w:p>
        </w:tc>
        <w:tc>
          <w:tcPr>
            <w:tcW w:w="2143" w:type="dxa"/>
            <w:tcBorders>
              <w:top w:val="single" w:sz="8" w:space="0" w:color="FFFFFF"/>
              <w:left w:val="single" w:sz="8" w:space="0" w:color="FFFFFF"/>
              <w:bottom w:val="single" w:sz="8" w:space="0" w:color="FFFFFF"/>
              <w:right w:val="single" w:sz="4" w:space="0" w:color="auto"/>
            </w:tcBorders>
            <w:shd w:val="clear" w:color="auto" w:fill="767171" w:themeFill="background2" w:themeFillShade="80"/>
            <w:vAlign w:val="bottom"/>
          </w:tcPr>
          <w:p w:rsidR="00C37C4D" w:rsidRPr="00C37C4D" w:rsidRDefault="00C37C4D" w:rsidP="00C37C4D">
            <w:pPr>
              <w:rPr>
                <w:rFonts w:asciiTheme="minorHAnsi" w:hAnsiTheme="minorHAnsi" w:cstheme="minorHAnsi"/>
                <w:sz w:val="16"/>
                <w:szCs w:val="16"/>
              </w:rPr>
            </w:pPr>
            <w:r w:rsidRPr="00C37C4D">
              <w:rPr>
                <w:rFonts w:asciiTheme="minorHAnsi" w:hAnsiTheme="minorHAnsi" w:cstheme="minorHAnsi"/>
                <w:b/>
                <w:bCs/>
                <w:sz w:val="16"/>
                <w:szCs w:val="16"/>
              </w:rPr>
              <w:t>Reference</w:t>
            </w:r>
          </w:p>
        </w:tc>
      </w:tr>
      <w:tr w:rsidR="00C37C4D" w:rsidRPr="00EF585E" w:rsidTr="0091404C">
        <w:trPr>
          <w:gridBefore w:val="1"/>
          <w:wBefore w:w="13" w:type="dxa"/>
          <w:trHeight w:val="106"/>
        </w:trPr>
        <w:tc>
          <w:tcPr>
            <w:tcW w:w="16275" w:type="dxa"/>
            <w:gridSpan w:val="21"/>
            <w:tcBorders>
              <w:top w:val="single" w:sz="8" w:space="0" w:color="FFFFFF"/>
              <w:left w:val="single" w:sz="4" w:space="0" w:color="auto"/>
              <w:bottom w:val="single" w:sz="8" w:space="0" w:color="FFFFFF"/>
              <w:right w:val="single" w:sz="4" w:space="0" w:color="auto"/>
            </w:tcBorders>
            <w:shd w:val="clear" w:color="auto" w:fill="D9D9D9" w:themeFill="background1" w:themeFillShade="D9"/>
            <w:tcMar>
              <w:top w:w="4" w:type="dxa"/>
              <w:left w:w="4" w:type="dxa"/>
              <w:bottom w:w="0" w:type="dxa"/>
              <w:right w:w="4" w:type="dxa"/>
            </w:tcMar>
            <w:vAlign w:val="bottom"/>
          </w:tcPr>
          <w:p w:rsidR="00C37C4D" w:rsidRPr="00C37C4D" w:rsidRDefault="00C37C4D" w:rsidP="00C37C4D">
            <w:pPr>
              <w:rPr>
                <w:rFonts w:asciiTheme="minorHAnsi" w:hAnsiTheme="minorHAnsi" w:cstheme="minorHAnsi"/>
                <w:bCs/>
                <w:sz w:val="14"/>
                <w:szCs w:val="14"/>
                <w:lang w:val="en-US"/>
              </w:rPr>
            </w:pPr>
            <w:r w:rsidRPr="00C37C4D">
              <w:rPr>
                <w:rFonts w:asciiTheme="minorHAnsi" w:hAnsiTheme="minorHAnsi" w:cstheme="minorHAnsi"/>
                <w:b/>
                <w:bCs/>
                <w:sz w:val="15"/>
                <w:szCs w:val="15"/>
              </w:rPr>
              <w:t>NATURAL IMMUNOSURVEILLANCE</w:t>
            </w:r>
          </w:p>
        </w:tc>
      </w:tr>
      <w:tr w:rsidR="00585823" w:rsidRPr="00DB327F" w:rsidTr="0091404C">
        <w:trPr>
          <w:trHeight w:val="106"/>
        </w:trPr>
        <w:tc>
          <w:tcPr>
            <w:tcW w:w="2396" w:type="dxa"/>
            <w:gridSpan w:val="3"/>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Pre-</w:t>
            </w:r>
            <w:proofErr w:type="spellStart"/>
            <w:r w:rsidRPr="00C37C4D">
              <w:rPr>
                <w:rFonts w:asciiTheme="minorHAnsi" w:hAnsiTheme="minorHAnsi" w:cstheme="minorHAnsi"/>
                <w:bCs/>
                <w:sz w:val="14"/>
                <w:szCs w:val="14"/>
                <w:lang w:val="en-US"/>
              </w:rPr>
              <w:t>leukaemic</w:t>
            </w:r>
            <w:proofErr w:type="spellEnd"/>
            <w:r w:rsidRPr="00C37C4D">
              <w:rPr>
                <w:rFonts w:asciiTheme="minorHAnsi" w:hAnsiTheme="minorHAnsi" w:cstheme="minorHAnsi"/>
                <w:bCs/>
                <w:sz w:val="14"/>
                <w:szCs w:val="14"/>
                <w:lang w:val="en-US"/>
              </w:rPr>
              <w:t xml:space="preserve"> </w:t>
            </w:r>
            <w:proofErr w:type="spellStart"/>
            <w:r w:rsidRPr="00C37C4D">
              <w:rPr>
                <w:rFonts w:asciiTheme="minorHAnsi" w:hAnsiTheme="minorHAnsi" w:cstheme="minorHAnsi"/>
                <w:bCs/>
                <w:sz w:val="14"/>
                <w:szCs w:val="14"/>
                <w:lang w:val="en-US"/>
              </w:rPr>
              <w:t>myeloproliferation</w:t>
            </w:r>
            <w:proofErr w:type="spellEnd"/>
            <w:r w:rsidRPr="00C37C4D">
              <w:rPr>
                <w:rFonts w:asciiTheme="minorHAnsi" w:hAnsiTheme="minorHAnsi" w:cstheme="minorHAnsi"/>
                <w:bCs/>
                <w:sz w:val="14"/>
                <w:szCs w:val="14"/>
                <w:lang w:val="en-US"/>
              </w:rPr>
              <w:t xml:space="preserve"> (PMP)</w:t>
            </w:r>
          </w:p>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 xml:space="preserve">in </w:t>
            </w:r>
            <w:r w:rsidRPr="00C37C4D">
              <w:rPr>
                <w:rFonts w:asciiTheme="minorHAnsi" w:hAnsiTheme="minorHAnsi" w:cstheme="minorHAnsi"/>
                <w:bCs/>
                <w:i/>
                <w:sz w:val="14"/>
                <w:szCs w:val="14"/>
                <w:lang w:val="en-US"/>
              </w:rPr>
              <w:t>Tet2</w:t>
            </w:r>
            <w:r w:rsidRPr="00C37C4D">
              <w:rPr>
                <w:rFonts w:asciiTheme="minorHAnsi" w:hAnsiTheme="minorHAnsi" w:cstheme="minorHAnsi"/>
                <w:bCs/>
                <w:sz w:val="14"/>
                <w:szCs w:val="14"/>
                <w:vertAlign w:val="superscript"/>
                <w:lang w:val="en-US"/>
              </w:rPr>
              <w:t>-/-</w:t>
            </w:r>
            <w:r w:rsidRPr="00C37C4D">
              <w:rPr>
                <w:rFonts w:asciiTheme="minorHAnsi" w:hAnsiTheme="minorHAnsi" w:cstheme="minorHAnsi"/>
                <w:bCs/>
                <w:sz w:val="14"/>
                <w:szCs w:val="14"/>
                <w:lang w:val="en-US"/>
              </w:rPr>
              <w:t>mice</w:t>
            </w:r>
          </w:p>
        </w:tc>
        <w:tc>
          <w:tcPr>
            <w:tcW w:w="1859"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 xml:space="preserve">ATB and GF and IL-6R </w:t>
            </w:r>
            <w:proofErr w:type="spellStart"/>
            <w:r w:rsidRPr="00C37C4D">
              <w:rPr>
                <w:rFonts w:asciiTheme="minorHAnsi" w:hAnsiTheme="minorHAnsi" w:cstheme="minorHAnsi"/>
                <w:bCs/>
                <w:sz w:val="14"/>
                <w:szCs w:val="14"/>
                <w:lang w:val="en-US"/>
              </w:rPr>
              <w:t>wt</w:t>
            </w:r>
            <w:proofErr w:type="spellEnd"/>
            <w:r w:rsidRPr="00C37C4D">
              <w:rPr>
                <w:rFonts w:asciiTheme="minorHAnsi" w:hAnsiTheme="minorHAnsi" w:cstheme="minorHAnsi"/>
                <w:bCs/>
                <w:sz w:val="14"/>
                <w:szCs w:val="14"/>
                <w:lang w:val="en-US"/>
              </w:rPr>
              <w:t xml:space="preserve"> versus KO bone marrow</w:t>
            </w:r>
          </w:p>
        </w:tc>
        <w:tc>
          <w:tcPr>
            <w:tcW w:w="1917"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None</w:t>
            </w:r>
          </w:p>
        </w:tc>
        <w:tc>
          <w:tcPr>
            <w:tcW w:w="2206"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585823">
            <w:pPr>
              <w:rPr>
                <w:rFonts w:asciiTheme="minorHAnsi" w:hAnsiTheme="minorHAnsi" w:cstheme="minorHAnsi"/>
                <w:bCs/>
                <w:i/>
                <w:sz w:val="14"/>
                <w:szCs w:val="14"/>
                <w:lang w:val="en-US"/>
              </w:rPr>
            </w:pPr>
            <w:r w:rsidRPr="00C37C4D">
              <w:rPr>
                <w:rFonts w:asciiTheme="minorHAnsi" w:hAnsiTheme="minorHAnsi" w:cstheme="minorHAnsi"/>
                <w:bCs/>
                <w:sz w:val="14"/>
                <w:szCs w:val="14"/>
                <w:lang w:val="en-US"/>
              </w:rPr>
              <w:t>Differences assigned to</w:t>
            </w:r>
            <w:r w:rsidRPr="00C37C4D">
              <w:rPr>
                <w:rFonts w:asciiTheme="minorHAnsi" w:hAnsiTheme="minorHAnsi" w:cstheme="minorHAnsi"/>
                <w:bCs/>
                <w:i/>
                <w:sz w:val="14"/>
                <w:szCs w:val="14"/>
                <w:lang w:val="en-US"/>
              </w:rPr>
              <w:t xml:space="preserve"> Lactobacilli </w:t>
            </w:r>
            <w:proofErr w:type="spellStart"/>
            <w:r w:rsidRPr="00C37C4D">
              <w:rPr>
                <w:rFonts w:asciiTheme="minorHAnsi" w:hAnsiTheme="minorHAnsi" w:cstheme="minorHAnsi"/>
                <w:bCs/>
                <w:i/>
                <w:sz w:val="14"/>
                <w:szCs w:val="14"/>
                <w:lang w:val="en-US"/>
              </w:rPr>
              <w:t>reuteri</w:t>
            </w:r>
            <w:proofErr w:type="spellEnd"/>
            <w:r w:rsidRPr="00C37C4D">
              <w:rPr>
                <w:rFonts w:asciiTheme="minorHAnsi" w:hAnsiTheme="minorHAnsi" w:cstheme="minorHAnsi"/>
                <w:bCs/>
                <w:i/>
                <w:sz w:val="14"/>
                <w:szCs w:val="14"/>
                <w:lang w:val="en-US"/>
              </w:rPr>
              <w:t xml:space="preserve">, L. </w:t>
            </w:r>
            <w:proofErr w:type="spellStart"/>
            <w:r w:rsidRPr="00C37C4D">
              <w:rPr>
                <w:rFonts w:asciiTheme="minorHAnsi" w:hAnsiTheme="minorHAnsi" w:cstheme="minorHAnsi"/>
                <w:bCs/>
                <w:i/>
                <w:sz w:val="14"/>
                <w:szCs w:val="14"/>
                <w:lang w:val="en-US"/>
              </w:rPr>
              <w:t>johnsonii</w:t>
            </w:r>
            <w:proofErr w:type="spellEnd"/>
            <w:r w:rsidRPr="00C37C4D">
              <w:rPr>
                <w:rFonts w:asciiTheme="minorHAnsi" w:hAnsiTheme="minorHAnsi" w:cstheme="minorHAnsi"/>
                <w:bCs/>
                <w:i/>
                <w:sz w:val="14"/>
                <w:szCs w:val="14"/>
                <w:lang w:val="en-US"/>
              </w:rPr>
              <w:t>, L. intestinalis</w:t>
            </w:r>
          </w:p>
        </w:tc>
        <w:tc>
          <w:tcPr>
            <w:tcW w:w="1917"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585823" w:rsidP="00585823">
            <w:pPr>
              <w:rPr>
                <w:rFonts w:asciiTheme="minorHAnsi" w:hAnsiTheme="minorHAnsi" w:cstheme="minorHAnsi"/>
                <w:bCs/>
                <w:sz w:val="14"/>
                <w:szCs w:val="14"/>
                <w:lang w:val="en-US"/>
              </w:rPr>
            </w:pPr>
            <w:r>
              <w:rPr>
                <w:rFonts w:asciiTheme="minorHAnsi" w:hAnsiTheme="minorHAnsi" w:cstheme="minorHAnsi"/>
                <w:bCs/>
                <w:sz w:val="14"/>
                <w:szCs w:val="14"/>
                <w:lang w:val="en-US"/>
              </w:rPr>
              <w:t>None</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Accelerated and increased incidence of PMP development, Tet2 deficiency-induced gut permeability and translocation of Lactobacilli in secondary lymphoid organs</w:t>
            </w:r>
          </w:p>
        </w:tc>
        <w:tc>
          <w:tcPr>
            <w:tcW w:w="1917"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 xml:space="preserve">TLR2L and IL-6- induced </w:t>
            </w:r>
            <w:proofErr w:type="spellStart"/>
            <w:r w:rsidRPr="00C37C4D">
              <w:rPr>
                <w:rFonts w:asciiTheme="minorHAnsi" w:hAnsiTheme="minorHAnsi" w:cstheme="minorHAnsi"/>
                <w:bCs/>
                <w:sz w:val="14"/>
                <w:szCs w:val="14"/>
                <w:lang w:val="en-US"/>
              </w:rPr>
              <w:t>myeloproliferation</w:t>
            </w:r>
            <w:proofErr w:type="spellEnd"/>
            <w:r w:rsidRPr="00C37C4D">
              <w:rPr>
                <w:rFonts w:asciiTheme="minorHAnsi" w:hAnsiTheme="minorHAnsi" w:cstheme="minorHAnsi"/>
                <w:bCs/>
                <w:sz w:val="14"/>
                <w:szCs w:val="14"/>
                <w:lang w:val="en-US"/>
              </w:rPr>
              <w:t xml:space="preserve">, expansion of IL-6Ra expressing GMP </w:t>
            </w:r>
          </w:p>
        </w:tc>
        <w:tc>
          <w:tcPr>
            <w:tcW w:w="2157" w:type="dxa"/>
            <w:gridSpan w:val="2"/>
            <w:tcBorders>
              <w:top w:val="single" w:sz="8" w:space="0" w:color="FFFFFF"/>
              <w:left w:val="single" w:sz="8" w:space="0" w:color="FFFFFF"/>
              <w:bottom w:val="single" w:sz="8" w:space="0" w:color="FFFFFF"/>
              <w:right w:val="single" w:sz="4" w:space="0" w:color="auto"/>
            </w:tcBorders>
            <w:shd w:val="clear" w:color="auto" w:fill="FFFFFF" w:themeFill="background1"/>
          </w:tcPr>
          <w:p w:rsidR="00C37C4D" w:rsidRPr="00B776F4" w:rsidRDefault="00B776F4" w:rsidP="00585823">
            <w:pPr>
              <w:rPr>
                <w:rFonts w:asciiTheme="minorHAnsi" w:hAnsiTheme="minorHAnsi" w:cstheme="minorHAnsi"/>
                <w:b/>
                <w:bCs/>
                <w:sz w:val="14"/>
                <w:szCs w:val="14"/>
                <w:lang w:val="en-US"/>
              </w:rPr>
            </w:pPr>
            <w:r>
              <w:rPr>
                <w:rFonts w:asciiTheme="minorHAnsi" w:hAnsiTheme="minorHAnsi" w:cstheme="minorHAnsi"/>
                <w:b/>
                <w:bCs/>
                <w:sz w:val="14"/>
                <w:szCs w:val="14"/>
                <w:lang w:val="en-US"/>
              </w:rPr>
              <w:fldChar w:fldCharType="begin"/>
            </w:r>
            <w:r>
              <w:rPr>
                <w:rFonts w:asciiTheme="minorHAnsi" w:hAnsiTheme="minorHAnsi" w:cstheme="minorHAnsi"/>
                <w:b/>
                <w:bCs/>
                <w:sz w:val="14"/>
                <w:szCs w:val="14"/>
                <w:lang w:val="en-US"/>
              </w:rPr>
              <w:instrText xml:space="preserve"> ADDIN ZOTERO_ITEM CSL_CITATION {"citationID":"BFD2ObDv","properties":{"formattedCitation":"(Meisel et al. 2018)","plainCitation":"(Meisel et al. 2018)","noteIndex":0},"citationItems":[{"id":3057,"uris":["http://zotero.org/users/2801898/items/3ICZ79CE"],"uri":["http://zotero.org/users/2801898/items/3ICZ79CE"],"itemData":{"id":3057,"type":"article-journal","abstract":"Somatic mutations in tet methylcytosine dioxygenase 2 (TET2), which encodes an epigenetic modifier enzyme, drive the development of haematopoietic malignancies1-7. In both humans and mice, TET2 deficiency leads to increased self-renewal of haematopoietic stem cells with a net developmental bias towards the myeloid lineage1,4,8,9. However, pre-leukaemic myeloproliferation (PMP) occurs in only a fraction of Tet2-/- mice8,9 and humans with TET2 mutations1,3,5-7, suggesting that extrinsic non-cell-autonomous factors are required for disease onset. Here we show that bacterial translocation and increased interleukin-6 production, resulting from dysfunction of the small-intestinal barrier, are critical for the development of PMP in mice that lack Tet2 expression in haematopoietic cells. Furthermore, in symptom-free Tet2-/- mice, PMP can be induced by disrupting intestinal barrier integrity, or in response to systemic bacterial stimuli such as the toll-like receptor 2 agonist. PMP was reversed by antibiotic treatment and failed to develop in germ-free Tet2-/- mice, which illustrates the importance of microbial signals in the development of this condition. Our findings demonstrate the requirement for microbial-dependent inflammation in the development of PMP and provide a mechanistic basis for the variation in PMP penetrance observed in Tet2-/- mice. This study will prompt new lines of investigation that may profoundly affect the prevention and management of haematopoietic malignancies.","container-title":"Nature","DOI":"10.1038/s41586-018-0125-z","ISSN":"1476-4687","issue":"7706","journalAbbreviation":"Nature","language":"eng","note":"PMID: 29769727\nPMCID: PMC6238954","page":"580-584","source":"PubMed","title":"Microbial signals drive pre-leukaemic myeloproliferation in a Tet2-deficient host","volume":"557","author":[{"family":"Meisel","given":"Marlies"},{"family":"Hinterleitner","given":"Reinhard"},{"family":"Pacis","given":"Alain"},{"family":"Chen","given":"Li"},{"family":"Earley","given":"Zachary M."},{"family":"Mayassi","given":"Toufic"},{"family":"Pierre","given":"Joseph F."},{"family":"Ernest","given":"Jordan D."},{"family":"Galipeau","given":"Heather J."},{"family":"Thuille","given":"Nikolaus"},{"family":"Bouziat","given":"Romain"},{"family":"Buscarlet","given":"Manuel"},{"family":"Ringus","given":"Daina L."},{"family":"Wang","given":"Yitang"},{"family":"Li","given":"Ye"},{"family":"Dinh","given":"Vu"},{"family":"Kim","given":"Sangman M."},{"family":"McDonald","given":"Benjamin D."},{"family":"Zurenski","given":"Matthew A."},{"family":"Musch","given":"Mark W."},{"family":"Furtado","given":"Glaucia C."},{"family":"Lira","given":"Sergio A."},{"family":"Baier","given":"Gottfried"},{"family":"Chang","given":"Eugene B."},{"family":"Eren","given":"A. Murat"},{"family":"Weber","given":"Christopher R."},{"family":"Busque","given":"Lambert"},{"family":"Godley","given":"Lucy A."},{"family":"Verdú","given":"Elena F."},{"family":"Barreiro","given":"Luis B."},{"family":"Jabri","given":"Bana"}],"issued":{"date-parts":[["2018",5]]}}}],"schema":"https://github.com/citation-style-language/schema/raw/master/csl-citation.json"} </w:instrText>
            </w:r>
            <w:r>
              <w:rPr>
                <w:rFonts w:asciiTheme="minorHAnsi" w:hAnsiTheme="minorHAnsi" w:cstheme="minorHAnsi"/>
                <w:b/>
                <w:bCs/>
                <w:sz w:val="14"/>
                <w:szCs w:val="14"/>
                <w:lang w:val="en-US"/>
              </w:rPr>
              <w:fldChar w:fldCharType="separate"/>
            </w:r>
            <w:r>
              <w:rPr>
                <w:rFonts w:ascii="Calibri" w:hAnsiTheme="minorHAnsi" w:cs="Calibri"/>
                <w:sz w:val="14"/>
                <w:lang w:val="en-US"/>
              </w:rPr>
              <w:t>(Meisel et al. 2018)</w:t>
            </w:r>
            <w:r>
              <w:rPr>
                <w:rFonts w:asciiTheme="minorHAnsi" w:hAnsiTheme="minorHAnsi" w:cstheme="minorHAnsi"/>
                <w:b/>
                <w:bCs/>
                <w:sz w:val="14"/>
                <w:szCs w:val="14"/>
                <w:lang w:val="en-US"/>
              </w:rPr>
              <w:fldChar w:fldCharType="end"/>
            </w:r>
          </w:p>
        </w:tc>
      </w:tr>
      <w:tr w:rsidR="00585823" w:rsidRPr="00B776F4" w:rsidTr="0091404C">
        <w:trPr>
          <w:gridBefore w:val="1"/>
          <w:wBefore w:w="13" w:type="dxa"/>
          <w:trHeight w:val="106"/>
        </w:trPr>
        <w:tc>
          <w:tcPr>
            <w:tcW w:w="2397" w:type="dxa"/>
            <w:gridSpan w:val="3"/>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C37C4D" w:rsidRDefault="00C37C4D" w:rsidP="00585823">
            <w:pPr>
              <w:rPr>
                <w:rFonts w:asciiTheme="minorHAnsi" w:hAnsiTheme="minorHAnsi" w:cstheme="minorHAnsi"/>
                <w:bCs/>
                <w:sz w:val="14"/>
                <w:szCs w:val="14"/>
                <w:lang w:val="en-US"/>
              </w:rPr>
            </w:pPr>
            <w:r w:rsidRPr="00C37C4D">
              <w:rPr>
                <w:rFonts w:asciiTheme="minorHAnsi" w:hAnsiTheme="minorHAnsi" w:cstheme="minorHAnsi"/>
                <w:bCs/>
                <w:sz w:val="14"/>
                <w:szCs w:val="14"/>
                <w:lang w:val="en-US"/>
              </w:rPr>
              <w:t xml:space="preserve">Ovarian and breast tumors in </w:t>
            </w:r>
            <w:r w:rsidRPr="00C37C4D">
              <w:rPr>
                <w:rFonts w:asciiTheme="minorHAnsi" w:hAnsiTheme="minorHAnsi" w:cstheme="minorHAnsi"/>
                <w:bCs/>
                <w:i/>
                <w:sz w:val="14"/>
                <w:szCs w:val="14"/>
                <w:lang w:val="en-US"/>
              </w:rPr>
              <w:t>Tlr5</w:t>
            </w:r>
            <w:r w:rsidRPr="00C37C4D">
              <w:rPr>
                <w:rFonts w:asciiTheme="minorHAnsi" w:hAnsiTheme="minorHAnsi" w:cstheme="minorHAnsi"/>
                <w:bCs/>
                <w:i/>
                <w:sz w:val="14"/>
                <w:szCs w:val="14"/>
                <w:vertAlign w:val="superscript"/>
                <w:lang w:val="en-US"/>
              </w:rPr>
              <w:t>-/-</w:t>
            </w:r>
            <w:r w:rsidRPr="00C37C4D">
              <w:rPr>
                <w:rFonts w:asciiTheme="minorHAnsi" w:hAnsiTheme="minorHAnsi" w:cstheme="minorHAnsi"/>
                <w:bCs/>
                <w:sz w:val="14"/>
                <w:szCs w:val="14"/>
                <w:lang w:val="en-US"/>
              </w:rPr>
              <w:t>mice</w:t>
            </w:r>
          </w:p>
        </w:tc>
        <w:tc>
          <w:tcPr>
            <w:tcW w:w="1859"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585823">
            <w:pPr>
              <w:rPr>
                <w:rFonts w:asciiTheme="minorHAnsi" w:hAnsiTheme="minorHAnsi" w:cstheme="minorHAnsi"/>
                <w:sz w:val="14"/>
                <w:szCs w:val="14"/>
                <w:lang w:val="en-US"/>
              </w:rPr>
            </w:pPr>
            <w:r w:rsidRPr="00C37C4D">
              <w:rPr>
                <w:rFonts w:asciiTheme="minorHAnsi" w:hAnsiTheme="minorHAnsi" w:cstheme="minorHAnsi"/>
                <w:sz w:val="14"/>
                <w:szCs w:val="14"/>
                <w:lang w:val="en-US"/>
              </w:rPr>
              <w:t xml:space="preserve">Tlr5 </w:t>
            </w:r>
            <w:proofErr w:type="spellStart"/>
            <w:r w:rsidRPr="00C37C4D">
              <w:rPr>
                <w:rFonts w:asciiTheme="minorHAnsi" w:hAnsiTheme="minorHAnsi" w:cstheme="minorHAnsi"/>
                <w:sz w:val="14"/>
                <w:szCs w:val="14"/>
                <w:lang w:val="en-US"/>
              </w:rPr>
              <w:t>wt</w:t>
            </w:r>
            <w:proofErr w:type="spellEnd"/>
            <w:r w:rsidRPr="00C37C4D">
              <w:rPr>
                <w:rFonts w:asciiTheme="minorHAnsi" w:hAnsiTheme="minorHAnsi" w:cstheme="minorHAnsi"/>
                <w:sz w:val="14"/>
                <w:szCs w:val="14"/>
                <w:lang w:val="en-US"/>
              </w:rPr>
              <w:t xml:space="preserve"> versus Tlr5 KO mice</w:t>
            </w:r>
          </w:p>
          <w:p w:rsidR="00C37C4D" w:rsidRPr="00C37C4D" w:rsidRDefault="00C37C4D" w:rsidP="00585823">
            <w:pPr>
              <w:rPr>
                <w:rFonts w:asciiTheme="minorHAnsi" w:hAnsiTheme="minorHAnsi" w:cstheme="minorHAnsi"/>
                <w:sz w:val="14"/>
                <w:szCs w:val="14"/>
                <w:lang w:val="en-US"/>
              </w:rPr>
            </w:pPr>
            <w:r w:rsidRPr="00C37C4D">
              <w:rPr>
                <w:rStyle w:val="Accentuation"/>
                <w:rFonts w:asciiTheme="minorHAnsi" w:hAnsiTheme="minorHAnsi" w:cstheme="minorHAnsi"/>
                <w:sz w:val="14"/>
                <w:szCs w:val="14"/>
                <w:lang w:val="en-US"/>
              </w:rPr>
              <w:t>Tlr5</w:t>
            </w:r>
            <w:r w:rsidRPr="00C37C4D">
              <w:rPr>
                <w:rFonts w:asciiTheme="minorHAnsi" w:hAnsiTheme="minorHAnsi" w:cstheme="minorHAnsi"/>
                <w:sz w:val="14"/>
                <w:szCs w:val="14"/>
                <w:vertAlign w:val="superscript"/>
                <w:lang w:val="en-US"/>
              </w:rPr>
              <w:t>−/−</w:t>
            </w:r>
            <w:r w:rsidRPr="00C37C4D">
              <w:rPr>
                <w:rFonts w:asciiTheme="minorHAnsi" w:hAnsiTheme="minorHAnsi" w:cstheme="minorHAnsi"/>
                <w:sz w:val="14"/>
                <w:szCs w:val="14"/>
                <w:lang w:val="en-US"/>
              </w:rPr>
              <w:t xml:space="preserve"> </w:t>
            </w:r>
            <w:proofErr w:type="spellStart"/>
            <w:r w:rsidRPr="00C37C4D">
              <w:rPr>
                <w:rFonts w:asciiTheme="minorHAnsi" w:hAnsiTheme="minorHAnsi" w:cstheme="minorHAnsi"/>
                <w:sz w:val="14"/>
                <w:szCs w:val="14"/>
              </w:rPr>
              <w:t>γδ</w:t>
            </w:r>
            <w:proofErr w:type="spellEnd"/>
            <w:r w:rsidRPr="00C37C4D">
              <w:rPr>
                <w:rFonts w:asciiTheme="minorHAnsi" w:hAnsiTheme="minorHAnsi" w:cstheme="minorHAnsi"/>
                <w:sz w:val="14"/>
                <w:szCs w:val="14"/>
                <w:lang w:val="en-US"/>
              </w:rPr>
              <w:t>-deficient mice</w:t>
            </w:r>
          </w:p>
          <w:p w:rsidR="00C37C4D" w:rsidRPr="00C37C4D" w:rsidRDefault="00C37C4D" w:rsidP="00585823">
            <w:pPr>
              <w:rPr>
                <w:rFonts w:asciiTheme="minorHAnsi" w:hAnsiTheme="minorHAnsi" w:cstheme="minorHAnsi"/>
                <w:sz w:val="14"/>
                <w:szCs w:val="14"/>
                <w:lang w:val="en-US"/>
              </w:rPr>
            </w:pPr>
            <w:r w:rsidRPr="00C37C4D">
              <w:rPr>
                <w:rFonts w:asciiTheme="minorHAnsi" w:hAnsiTheme="minorHAnsi" w:cstheme="minorHAnsi"/>
                <w:sz w:val="14"/>
                <w:szCs w:val="14"/>
                <w:lang w:val="en-US"/>
              </w:rPr>
              <w:t>Co-housing experiments</w:t>
            </w:r>
          </w:p>
          <w:p w:rsidR="00C37C4D" w:rsidRPr="00C37C4D" w:rsidRDefault="00C37C4D" w:rsidP="00585823">
            <w:pPr>
              <w:rPr>
                <w:rFonts w:asciiTheme="minorHAnsi" w:hAnsiTheme="minorHAnsi" w:cstheme="minorHAnsi"/>
                <w:sz w:val="14"/>
                <w:szCs w:val="14"/>
                <w:lang w:val="en-US"/>
              </w:rPr>
            </w:pPr>
          </w:p>
        </w:tc>
        <w:tc>
          <w:tcPr>
            <w:tcW w:w="1917"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585823">
            <w:pPr>
              <w:rPr>
                <w:rFonts w:asciiTheme="minorHAnsi" w:hAnsiTheme="minorHAnsi" w:cstheme="minorHAnsi"/>
                <w:sz w:val="14"/>
                <w:szCs w:val="14"/>
                <w:lang w:val="en-US"/>
              </w:rPr>
            </w:pPr>
            <w:r w:rsidRPr="00C37C4D">
              <w:rPr>
                <w:rFonts w:asciiTheme="minorHAnsi" w:hAnsiTheme="minorHAnsi" w:cstheme="minorHAnsi"/>
                <w:sz w:val="14"/>
                <w:szCs w:val="14"/>
                <w:lang w:val="en-US"/>
              </w:rPr>
              <w:t>None</w:t>
            </w:r>
          </w:p>
        </w:tc>
        <w:tc>
          <w:tcPr>
            <w:tcW w:w="2206"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585823">
            <w:pPr>
              <w:rPr>
                <w:rFonts w:asciiTheme="minorHAnsi" w:hAnsiTheme="minorHAnsi" w:cstheme="minorHAnsi"/>
                <w:sz w:val="14"/>
                <w:szCs w:val="14"/>
                <w:lang w:val="en-US"/>
              </w:rPr>
            </w:pPr>
            <w:r w:rsidRPr="00C37C4D">
              <w:rPr>
                <w:rFonts w:asciiTheme="minorHAnsi" w:hAnsiTheme="minorHAnsi" w:cstheme="minorHAnsi"/>
                <w:sz w:val="14"/>
                <w:szCs w:val="14"/>
                <w:lang w:val="en-US"/>
              </w:rPr>
              <w:t xml:space="preserve">Differences assigned to genera of </w:t>
            </w:r>
            <w:proofErr w:type="spellStart"/>
            <w:r w:rsidRPr="00C37C4D">
              <w:rPr>
                <w:rStyle w:val="Accentuation"/>
                <w:rFonts w:asciiTheme="minorHAnsi" w:hAnsiTheme="minorHAnsi" w:cstheme="minorHAnsi"/>
                <w:sz w:val="14"/>
                <w:szCs w:val="14"/>
                <w:lang w:val="en-US"/>
              </w:rPr>
              <w:t>Allobaculum</w:t>
            </w:r>
            <w:proofErr w:type="spellEnd"/>
            <w:r w:rsidRPr="00C37C4D">
              <w:rPr>
                <w:rFonts w:asciiTheme="minorHAnsi" w:hAnsiTheme="minorHAnsi" w:cstheme="minorHAnsi"/>
                <w:sz w:val="14"/>
                <w:szCs w:val="14"/>
                <w:lang w:val="en-US"/>
              </w:rPr>
              <w:t xml:space="preserve">, </w:t>
            </w:r>
            <w:r w:rsidRPr="00C37C4D">
              <w:rPr>
                <w:rStyle w:val="Accentuation"/>
                <w:rFonts w:asciiTheme="minorHAnsi" w:hAnsiTheme="minorHAnsi" w:cstheme="minorHAnsi"/>
                <w:sz w:val="14"/>
                <w:szCs w:val="14"/>
                <w:lang w:val="en-US"/>
              </w:rPr>
              <w:t>Bacteroides</w:t>
            </w:r>
            <w:r w:rsidRPr="00C37C4D">
              <w:rPr>
                <w:rFonts w:asciiTheme="minorHAnsi" w:hAnsiTheme="minorHAnsi" w:cstheme="minorHAnsi"/>
                <w:sz w:val="14"/>
                <w:szCs w:val="14"/>
                <w:lang w:val="en-US"/>
              </w:rPr>
              <w:t xml:space="preserve">, and </w:t>
            </w:r>
            <w:r w:rsidRPr="00C37C4D">
              <w:rPr>
                <w:rStyle w:val="Accentuation"/>
                <w:rFonts w:asciiTheme="minorHAnsi" w:hAnsiTheme="minorHAnsi" w:cstheme="minorHAnsi"/>
                <w:sz w:val="14"/>
                <w:szCs w:val="14"/>
                <w:lang w:val="en-US"/>
              </w:rPr>
              <w:t>Lactobacillus</w:t>
            </w:r>
          </w:p>
        </w:tc>
        <w:tc>
          <w:tcPr>
            <w:tcW w:w="1917"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585823" w:rsidP="00585823">
            <w:pPr>
              <w:rPr>
                <w:rFonts w:asciiTheme="minorHAnsi" w:hAnsiTheme="minorHAnsi" w:cstheme="minorHAnsi"/>
                <w:sz w:val="14"/>
                <w:szCs w:val="14"/>
                <w:lang w:val="en-US"/>
              </w:rPr>
            </w:pPr>
            <w:r>
              <w:rPr>
                <w:rFonts w:asciiTheme="minorHAnsi" w:hAnsiTheme="minorHAnsi" w:cstheme="minorHAnsi"/>
                <w:sz w:val="14"/>
                <w:szCs w:val="14"/>
                <w:lang w:val="en-US"/>
              </w:rPr>
              <w:t>None</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585823">
            <w:pPr>
              <w:rPr>
                <w:rFonts w:asciiTheme="minorHAnsi" w:hAnsiTheme="minorHAnsi" w:cstheme="minorHAnsi"/>
                <w:sz w:val="14"/>
                <w:szCs w:val="14"/>
                <w:lang w:val="en-US"/>
              </w:rPr>
            </w:pPr>
            <w:r w:rsidRPr="00C37C4D">
              <w:rPr>
                <w:rFonts w:asciiTheme="minorHAnsi" w:hAnsiTheme="minorHAnsi" w:cstheme="minorHAnsi"/>
                <w:sz w:val="14"/>
                <w:szCs w:val="14"/>
                <w:lang w:val="en-US"/>
              </w:rPr>
              <w:t>Deleterious role of flagellin-harboring gut commensals on (IL-6 or IL-17 driven) peripheral inflammation</w:t>
            </w:r>
          </w:p>
        </w:tc>
        <w:tc>
          <w:tcPr>
            <w:tcW w:w="1917"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F72381" w:rsidP="00585823">
            <w:pPr>
              <w:rPr>
                <w:rFonts w:asciiTheme="minorHAnsi" w:hAnsiTheme="minorHAnsi" w:cstheme="minorHAnsi"/>
                <w:sz w:val="14"/>
                <w:szCs w:val="14"/>
                <w:lang w:val="en-US"/>
              </w:rPr>
            </w:pPr>
            <w:r w:rsidRPr="00C37C4D">
              <w:rPr>
                <w:rFonts w:asciiTheme="minorHAnsi" w:hAnsiTheme="minorHAnsi" w:cstheme="minorHAnsi"/>
                <w:sz w:val="14"/>
                <w:szCs w:val="14"/>
                <w:lang w:val="en-US"/>
              </w:rPr>
              <w:t>Crosstalk</w:t>
            </w:r>
            <w:r w:rsidR="00C37C4D" w:rsidRPr="00C37C4D">
              <w:rPr>
                <w:rFonts w:asciiTheme="minorHAnsi" w:hAnsiTheme="minorHAnsi" w:cstheme="minorHAnsi"/>
                <w:sz w:val="14"/>
                <w:szCs w:val="14"/>
                <w:lang w:val="en-US"/>
              </w:rPr>
              <w:t xml:space="preserve"> between MDSC and </w:t>
            </w:r>
            <w:proofErr w:type="spellStart"/>
            <w:r w:rsidR="00C37C4D" w:rsidRPr="00C37C4D">
              <w:rPr>
                <w:rFonts w:asciiTheme="minorHAnsi" w:hAnsiTheme="minorHAnsi" w:cstheme="minorHAnsi"/>
                <w:sz w:val="14"/>
                <w:szCs w:val="14"/>
              </w:rPr>
              <w:t>γδ</w:t>
            </w:r>
            <w:proofErr w:type="spellEnd"/>
            <w:r w:rsidR="00C37C4D" w:rsidRPr="00C37C4D">
              <w:rPr>
                <w:rFonts w:asciiTheme="minorHAnsi" w:hAnsiTheme="minorHAnsi" w:cstheme="minorHAnsi"/>
                <w:sz w:val="14"/>
                <w:szCs w:val="14"/>
                <w:lang w:val="en-US"/>
              </w:rPr>
              <w:t>-T cells related to gut commensals. Role of IL-6 and IL-17 in tumor-induced inflammation and propagation.</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Pr>
          <w:p w:rsidR="00C37C4D" w:rsidRPr="00C37C4D" w:rsidRDefault="00B776F4" w:rsidP="00585823">
            <w:pPr>
              <w:rPr>
                <w:rFonts w:asciiTheme="minorHAnsi" w:hAnsiTheme="minorHAnsi" w:cstheme="minorHAnsi"/>
                <w:sz w:val="14"/>
                <w:szCs w:val="14"/>
                <w:lang w:val="is-IS"/>
              </w:rPr>
            </w:pPr>
            <w:r>
              <w:rPr>
                <w:rFonts w:asciiTheme="minorHAnsi" w:hAnsiTheme="minorHAnsi" w:cstheme="minorHAnsi"/>
                <w:sz w:val="14"/>
                <w:szCs w:val="14"/>
                <w:lang w:val="is-IS"/>
              </w:rPr>
              <w:fldChar w:fldCharType="begin"/>
            </w:r>
            <w:r>
              <w:rPr>
                <w:rFonts w:asciiTheme="minorHAnsi" w:hAnsiTheme="minorHAnsi" w:cstheme="minorHAnsi"/>
                <w:sz w:val="14"/>
                <w:szCs w:val="14"/>
                <w:lang w:val="is-IS"/>
              </w:rPr>
              <w:instrText xml:space="preserve"> ADDIN ZOTERO_ITEM CSL_CITATION {"citationID":"m6StF21T","properties":{"formattedCitation":"(Rutkowski et al. 2015)","plainCitation":"(Rutkowski et al. 2015)","noteIndex":0},"citationItems":[{"id":3060,"uris":["http://zotero.org/users/2801898/items/HF236SW9"],"uri":["http://zotero.org/users/2801898/items/HF236SW9"],"itemData":{"id":3060,"type":"article-journal","abstract":"The dominant TLR5(R392X) polymorphism abrogates flagellin responses in &gt;7% of humans. We report that TLR5-dependent commensal bacteria drive malignant progression at extramucosal locations by increasing systemic IL-6, which drives mobilization of myeloid-derived suppressor cells (MDSCs). Mechanistically, expanded granulocytic MDSCs cause γδ lymphocytes in TLR5-responsive tumors to secrete galectin-1, dampening antitumor immunity and accelerating malignant progression. In contrast, IL-17 is consistently upregulated in TLR5-unresponsive tumor-bearing mice but only accelerates malignant progression in IL-6-unresponsive tumors. Importantly, depletion of commensal bacteria abrogates TLR5-dependent differences in tumor growth. Contrasting differences in inflammatory cytokines and malignant evolution are recapitulated in TLR5-responsive/unresponsive ovarian and breast cancer patients. Therefore, inflammation, antitumor immunity, and the clinical outcome of cancer patients are influenced by a common TLR5 polymorphism.","container-title":"Cancer Cell","DOI":"10.1016/j.ccell.2014.11.009","ISSN":"1878-3686","issue":"1","journalAbbreviation":"Cancer Cell","language":"eng","note":"PMID: 25533336\nPMCID: PMC4293269","page":"27-40","source":"PubMed","title":"Microbially driven TLR5-dependent signaling governs distal malignant progression through tumor-promoting inflammation","volume":"27","author":[{"family":"Rutkowski","given":"Melanie R."},{"family":"Stephen","given":"Tom L."},{"family":"Svoronos","given":"Nikolaos"},{"family":"Allegrezza","given":"Michael J."},{"family":"Tesone","given":"Amelia J."},{"family":"Perales-Puchalt","given":"Alfredo"},{"family":"Brencicova","given":"Eva"},{"family":"Escovar-Fadul","given":"Ximena"},{"family":"Nguyen","given":"Jenny M."},{"family":"Cadungog","given":"Mark G."},{"family":"Zhang","given":"Rugang"},{"family":"Salatino","given":"Mariana"},{"family":"Tchou","given":"Julia"},{"family":"Rabinovich","given":"Gabriel A."},{"family":"Conejo-Garcia","given":"Jose R."}],"issued":{"date-parts":[["2015",1,12]]}}}],"schema":"https://github.com/citation-style-language/schema/raw/master/csl-citation.json"} </w:instrText>
            </w:r>
            <w:r>
              <w:rPr>
                <w:rFonts w:asciiTheme="minorHAnsi" w:hAnsiTheme="minorHAnsi" w:cstheme="minorHAnsi"/>
                <w:sz w:val="14"/>
                <w:szCs w:val="14"/>
                <w:lang w:val="is-IS"/>
              </w:rPr>
              <w:fldChar w:fldCharType="separate"/>
            </w:r>
            <w:r>
              <w:rPr>
                <w:rFonts w:asciiTheme="minorHAnsi" w:hAnsiTheme="minorHAnsi" w:cstheme="minorHAnsi"/>
                <w:noProof/>
                <w:sz w:val="14"/>
                <w:szCs w:val="14"/>
                <w:lang w:val="is-IS"/>
              </w:rPr>
              <w:t>(Rutkowski et al. 2015)</w:t>
            </w:r>
            <w:r>
              <w:rPr>
                <w:rFonts w:asciiTheme="minorHAnsi" w:hAnsiTheme="minorHAnsi" w:cstheme="minorHAnsi"/>
                <w:sz w:val="14"/>
                <w:szCs w:val="14"/>
                <w:lang w:val="is-IS"/>
              </w:rPr>
              <w:fldChar w:fldCharType="end"/>
            </w:r>
          </w:p>
        </w:tc>
      </w:tr>
      <w:tr w:rsidR="00585823" w:rsidRPr="00244861" w:rsidTr="0091404C">
        <w:trPr>
          <w:gridBefore w:val="1"/>
          <w:wBefore w:w="13" w:type="dxa"/>
          <w:trHeight w:val="106"/>
        </w:trPr>
        <w:tc>
          <w:tcPr>
            <w:tcW w:w="2397" w:type="dxa"/>
            <w:gridSpan w:val="3"/>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KP autochthonous lung cancer model</w:t>
            </w:r>
          </w:p>
        </w:tc>
        <w:tc>
          <w:tcPr>
            <w:tcW w:w="1859"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SPF</w:t>
            </w:r>
          </w:p>
        </w:tc>
        <w:tc>
          <w:tcPr>
            <w:tcW w:w="1917"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None</w:t>
            </w:r>
          </w:p>
        </w:tc>
        <w:tc>
          <w:tcPr>
            <w:tcW w:w="2206"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585823" w:rsidRDefault="00C37C4D" w:rsidP="00C37C4D">
            <w:pPr>
              <w:rPr>
                <w:rFonts w:asciiTheme="minorHAnsi" w:hAnsiTheme="minorHAnsi" w:cstheme="minorHAnsi"/>
                <w:i/>
                <w:sz w:val="14"/>
                <w:szCs w:val="14"/>
                <w:lang w:val="en-US"/>
              </w:rPr>
            </w:pPr>
            <w:proofErr w:type="spellStart"/>
            <w:r w:rsidRPr="00C37C4D">
              <w:rPr>
                <w:rFonts w:asciiTheme="minorHAnsi" w:hAnsiTheme="minorHAnsi" w:cstheme="minorHAnsi"/>
                <w:i/>
                <w:sz w:val="14"/>
                <w:szCs w:val="14"/>
                <w:lang w:val="en-US"/>
              </w:rPr>
              <w:t>Veillonella</w:t>
            </w:r>
            <w:proofErr w:type="spellEnd"/>
            <w:r w:rsidRPr="00C37C4D">
              <w:rPr>
                <w:rFonts w:asciiTheme="minorHAnsi" w:hAnsiTheme="minorHAnsi" w:cstheme="minorHAnsi"/>
                <w:i/>
                <w:sz w:val="14"/>
                <w:szCs w:val="14"/>
                <w:lang w:val="en-US"/>
              </w:rPr>
              <w:t xml:space="preserve"> </w:t>
            </w:r>
            <w:proofErr w:type="spellStart"/>
            <w:r w:rsidRPr="00C37C4D">
              <w:rPr>
                <w:rFonts w:asciiTheme="minorHAnsi" w:hAnsiTheme="minorHAnsi" w:cstheme="minorHAnsi"/>
                <w:i/>
                <w:sz w:val="14"/>
                <w:szCs w:val="14"/>
                <w:lang w:val="en-US"/>
              </w:rPr>
              <w:t>parvula</w:t>
            </w:r>
            <w:proofErr w:type="spellEnd"/>
          </w:p>
          <w:p w:rsidR="00C37C4D" w:rsidRPr="00C37C4D" w:rsidRDefault="00C37C4D" w:rsidP="00C37C4D">
            <w:pPr>
              <w:rPr>
                <w:rFonts w:asciiTheme="minorHAnsi" w:hAnsiTheme="minorHAnsi" w:cstheme="minorHAnsi"/>
                <w:i/>
                <w:sz w:val="14"/>
                <w:szCs w:val="14"/>
                <w:lang w:val="en-US"/>
              </w:rPr>
            </w:pPr>
            <w:r w:rsidRPr="00C37C4D">
              <w:rPr>
                <w:rFonts w:asciiTheme="minorHAnsi" w:hAnsiTheme="minorHAnsi" w:cstheme="minorHAnsi"/>
                <w:sz w:val="14"/>
                <w:szCs w:val="14"/>
                <w:lang w:val="en-US"/>
              </w:rPr>
              <w:t>Increased total bacterial burden and reduced diversity</w:t>
            </w:r>
            <w:r w:rsidRPr="00C37C4D">
              <w:rPr>
                <w:rFonts w:asciiTheme="minorHAnsi" w:hAnsiTheme="minorHAnsi" w:cstheme="minorHAnsi"/>
                <w:i/>
                <w:sz w:val="14"/>
                <w:szCs w:val="14"/>
                <w:lang w:val="en-US"/>
              </w:rPr>
              <w:t xml:space="preserve"> (</w:t>
            </w:r>
            <w:r w:rsidRPr="00C37C4D">
              <w:rPr>
                <w:rFonts w:asciiTheme="minorHAnsi" w:hAnsiTheme="minorHAnsi" w:cstheme="minorHAnsi"/>
                <w:sz w:val="14"/>
                <w:szCs w:val="14"/>
                <w:lang w:val="en-US"/>
              </w:rPr>
              <w:t>enrichment with</w:t>
            </w:r>
            <w:r w:rsidRPr="00C37C4D">
              <w:rPr>
                <w:rFonts w:asciiTheme="minorHAnsi" w:hAnsiTheme="minorHAnsi" w:cstheme="minorHAnsi"/>
                <w:i/>
                <w:sz w:val="14"/>
                <w:szCs w:val="14"/>
                <w:lang w:val="en-US"/>
              </w:rPr>
              <w:t xml:space="preserve"> </w:t>
            </w:r>
            <w:proofErr w:type="spellStart"/>
            <w:r w:rsidRPr="00C37C4D">
              <w:rPr>
                <w:rFonts w:asciiTheme="minorHAnsi" w:hAnsiTheme="minorHAnsi" w:cstheme="minorHAnsi"/>
                <w:i/>
                <w:sz w:val="14"/>
                <w:szCs w:val="14"/>
                <w:lang w:val="en-US"/>
              </w:rPr>
              <w:t>Herbaspirillum</w:t>
            </w:r>
            <w:proofErr w:type="spellEnd"/>
            <w:r w:rsidRPr="00C37C4D">
              <w:rPr>
                <w:rFonts w:asciiTheme="minorHAnsi" w:hAnsiTheme="minorHAnsi" w:cstheme="minorHAnsi"/>
                <w:i/>
                <w:sz w:val="14"/>
                <w:szCs w:val="14"/>
                <w:lang w:val="en-US"/>
              </w:rPr>
              <w:t xml:space="preserve"> </w:t>
            </w:r>
            <w:r w:rsidRPr="00585823">
              <w:rPr>
                <w:rFonts w:asciiTheme="minorHAnsi" w:hAnsiTheme="minorHAnsi" w:cstheme="minorHAnsi"/>
                <w:iCs/>
                <w:sz w:val="14"/>
                <w:szCs w:val="14"/>
                <w:lang w:val="en-US"/>
              </w:rPr>
              <w:t xml:space="preserve">and </w:t>
            </w:r>
            <w:proofErr w:type="spellStart"/>
            <w:r w:rsidRPr="00C37C4D">
              <w:rPr>
                <w:rFonts w:asciiTheme="minorHAnsi" w:hAnsiTheme="minorHAnsi" w:cstheme="minorHAnsi"/>
                <w:i/>
                <w:sz w:val="14"/>
                <w:szCs w:val="14"/>
                <w:lang w:val="en-US"/>
              </w:rPr>
              <w:t>Sphingomonadaceae</w:t>
            </w:r>
            <w:proofErr w:type="spellEnd"/>
            <w:r w:rsidRPr="00C37C4D">
              <w:rPr>
                <w:rFonts w:asciiTheme="minorHAnsi" w:hAnsiTheme="minorHAnsi" w:cstheme="minorHAnsi"/>
                <w:i/>
                <w:sz w:val="14"/>
                <w:szCs w:val="14"/>
                <w:lang w:val="en-US"/>
              </w:rPr>
              <w:t xml:space="preserve">, </w:t>
            </w:r>
            <w:r w:rsidRPr="00C37C4D">
              <w:rPr>
                <w:rFonts w:asciiTheme="minorHAnsi" w:hAnsiTheme="minorHAnsi" w:cstheme="minorHAnsi"/>
                <w:sz w:val="14"/>
                <w:szCs w:val="14"/>
                <w:lang w:val="en-US"/>
              </w:rPr>
              <w:t>and reduced</w:t>
            </w:r>
            <w:r w:rsidRPr="00C37C4D">
              <w:rPr>
                <w:rFonts w:asciiTheme="minorHAnsi" w:hAnsiTheme="minorHAnsi" w:cstheme="minorHAnsi"/>
                <w:i/>
                <w:sz w:val="14"/>
                <w:szCs w:val="14"/>
                <w:lang w:val="en-US"/>
              </w:rPr>
              <w:t xml:space="preserve"> </w:t>
            </w:r>
            <w:proofErr w:type="spellStart"/>
            <w:r w:rsidRPr="00C37C4D">
              <w:rPr>
                <w:rFonts w:asciiTheme="minorHAnsi" w:hAnsiTheme="minorHAnsi" w:cstheme="minorHAnsi"/>
                <w:i/>
                <w:sz w:val="14"/>
                <w:szCs w:val="14"/>
                <w:lang w:val="en-US"/>
              </w:rPr>
              <w:t>Aggr</w:t>
            </w:r>
            <w:r w:rsidR="00DB327F">
              <w:rPr>
                <w:rFonts w:asciiTheme="minorHAnsi" w:hAnsiTheme="minorHAnsi" w:cstheme="minorHAnsi"/>
                <w:i/>
                <w:sz w:val="14"/>
                <w:szCs w:val="14"/>
                <w:lang w:val="en-US"/>
              </w:rPr>
              <w:t>e</w:t>
            </w:r>
            <w:r w:rsidRPr="00C37C4D">
              <w:rPr>
                <w:rFonts w:asciiTheme="minorHAnsi" w:hAnsiTheme="minorHAnsi" w:cstheme="minorHAnsi"/>
                <w:i/>
                <w:sz w:val="14"/>
                <w:szCs w:val="14"/>
                <w:lang w:val="en-US"/>
              </w:rPr>
              <w:t>gatibacter</w:t>
            </w:r>
            <w:proofErr w:type="spellEnd"/>
            <w:r w:rsidRPr="00C37C4D">
              <w:rPr>
                <w:rFonts w:asciiTheme="minorHAnsi" w:hAnsiTheme="minorHAnsi" w:cstheme="minorHAnsi"/>
                <w:i/>
                <w:sz w:val="14"/>
                <w:szCs w:val="14"/>
                <w:lang w:val="en-US"/>
              </w:rPr>
              <w:t xml:space="preserve"> </w:t>
            </w:r>
            <w:r w:rsidRPr="00C37C4D">
              <w:rPr>
                <w:rFonts w:asciiTheme="minorHAnsi" w:hAnsiTheme="minorHAnsi" w:cstheme="minorHAnsi"/>
                <w:sz w:val="14"/>
                <w:szCs w:val="14"/>
                <w:lang w:val="en-US"/>
              </w:rPr>
              <w:t>and</w:t>
            </w:r>
            <w:r w:rsidRPr="00C37C4D">
              <w:rPr>
                <w:rFonts w:asciiTheme="minorHAnsi" w:hAnsiTheme="minorHAnsi" w:cstheme="minorHAnsi"/>
                <w:i/>
                <w:sz w:val="14"/>
                <w:szCs w:val="14"/>
                <w:lang w:val="en-US"/>
              </w:rPr>
              <w:t xml:space="preserve"> Lactobacillus)</w:t>
            </w:r>
          </w:p>
        </w:tc>
        <w:tc>
          <w:tcPr>
            <w:tcW w:w="1917"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585823"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Interalveolar</w:t>
            </w:r>
            <w:r w:rsidR="00C37C4D" w:rsidRPr="00C37C4D">
              <w:rPr>
                <w:rFonts w:asciiTheme="minorHAnsi" w:hAnsiTheme="minorHAnsi" w:cstheme="minorHAnsi"/>
                <w:sz w:val="14"/>
                <w:szCs w:val="14"/>
                <w:lang w:val="en-US"/>
              </w:rPr>
              <w:t xml:space="preserve"> spreading in lower airway tract</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Enhancing tumor engraftment and local dissemination</w:t>
            </w:r>
          </w:p>
        </w:tc>
        <w:tc>
          <w:tcPr>
            <w:tcW w:w="1917"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 xml:space="preserve">Induction of PD-L1 on tumor cells and IL-17 local inflammation and turning on the MAPK/mTOR pathway. </w:t>
            </w:r>
            <w:proofErr w:type="gramStart"/>
            <w:r w:rsidR="00DB327F" w:rsidRPr="00C37C4D">
              <w:rPr>
                <w:rFonts w:asciiTheme="minorHAnsi" w:hAnsiTheme="minorHAnsi" w:cstheme="minorHAnsi"/>
                <w:sz w:val="14"/>
                <w:szCs w:val="14"/>
              </w:rPr>
              <w:t>γ</w:t>
            </w:r>
            <w:proofErr w:type="gramEnd"/>
            <w:r w:rsidRPr="00C37C4D">
              <w:rPr>
                <w:rFonts w:asciiTheme="minorHAnsi" w:hAnsiTheme="minorHAnsi" w:cstheme="minorHAnsi"/>
                <w:sz w:val="14"/>
                <w:szCs w:val="14"/>
                <w:lang w:val="en-US"/>
              </w:rPr>
              <w:t>6</w:t>
            </w:r>
            <w:r w:rsidR="00DB327F" w:rsidRPr="00C37C4D">
              <w:rPr>
                <w:rFonts w:asciiTheme="minorHAnsi" w:hAnsiTheme="minorHAnsi" w:cstheme="minorHAnsi"/>
                <w:sz w:val="14"/>
                <w:szCs w:val="14"/>
              </w:rPr>
              <w:t>δ</w:t>
            </w:r>
            <w:r w:rsidRPr="00C37C4D">
              <w:rPr>
                <w:rFonts w:asciiTheme="minorHAnsi" w:hAnsiTheme="minorHAnsi" w:cstheme="minorHAnsi"/>
                <w:sz w:val="14"/>
                <w:szCs w:val="14"/>
                <w:lang w:val="en-US"/>
              </w:rPr>
              <w:t>1 T cells producing IL-17 triggered by neutrophils</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Pr>
          <w:p w:rsidR="00C37C4D" w:rsidRDefault="00244861" w:rsidP="00C37C4D">
            <w:pPr>
              <w:rPr>
                <w:rFonts w:asciiTheme="minorHAnsi" w:hAnsiTheme="minorHAnsi" w:cstheme="minorHAnsi"/>
                <w:color w:val="000000" w:themeColor="text1"/>
                <w:sz w:val="14"/>
                <w:szCs w:val="14"/>
                <w:lang w:val="en-US"/>
              </w:rPr>
            </w:pPr>
            <w:r>
              <w:rPr>
                <w:rFonts w:asciiTheme="minorHAnsi" w:hAnsiTheme="minorHAnsi" w:cstheme="minorHAnsi"/>
                <w:color w:val="000000" w:themeColor="text1"/>
                <w:sz w:val="14"/>
                <w:szCs w:val="14"/>
                <w:lang w:val="en-US"/>
              </w:rPr>
              <w:fldChar w:fldCharType="begin"/>
            </w:r>
            <w:r>
              <w:rPr>
                <w:rFonts w:asciiTheme="minorHAnsi" w:hAnsiTheme="minorHAnsi" w:cstheme="minorHAnsi"/>
                <w:color w:val="000000" w:themeColor="text1"/>
                <w:sz w:val="14"/>
                <w:szCs w:val="14"/>
              </w:rPr>
              <w:instrText xml:space="preserve"> ADDIN ZOTERO_ITEM CSL_CITATION {"citationID":"hyvb7QNL","properties":{"formattedCitation":"(Tsay et al. 2020)","plainCitation":"(Tsay et al. 2020)","noteIndex":0},"citationItems":[{"id":2947,"uris":["http://zotero.org/users/2801898/items/JF9PMZSY"],"uri":["http://zotero.org/users/2801898/items/JF9PMZSY"],"itemData":{"id":2947,"type":"article-journal","abstract":"In lung cancer, enrichment of the lower airway microbiota with oral commensals commonly occurs and ex vivo models support that some of these bacteria can trigger host transcriptomic signatures associated with carcinogenesis. Here, we show that this lower airway dysbiotic signature was more prevalent in group IIIB-IV TNM stage lung cancer and is associated with poor prognosis, as shown by decreased survival among subjects with early stage disease (I-IIIA) and worse tumor progression as measured by RECIST scores among subjects with IIIB-IV stage disease. In addition, this lower airway microbiota signature was associated with upregulation of IL-17, PI3K, MAPK and ERK pathways in airway transcriptome, and we identified Veillonella parvula as the most abundant taxon driving this association. In a KP lung cancer model, lower airway dysbiosis with V. parvula led to decreased survival, increased tumor burden, IL-17 inflammatory phenotype and activation of checkpoint inhibitor markers.","container-title":"Cancer Discovery","DOI":"10.1158/2159-8290.CD-20-0263","ISSN":"2159-8290","journalAbbreviation":"Cancer Discov","language":"eng","note":"PMID: 33177060","source":"PubMed","title":"Lower airway dysbiosis affects lung cancer progression","author":[{"family":"Tsay","given":"Jun-Chieh J."},{"family":"Wu","given":"Benjamin G."},{"family":"Sulaiman","given":"Imran"},{"family":"Gershner","given":"Katherine"},{"family":"Schluger","given":"Rosemary"},{"family":"Li","given":"Yonghua"},{"family":"Yie","given":"T</w:instrText>
            </w:r>
            <w:r w:rsidRPr="00244861">
              <w:rPr>
                <w:rFonts w:asciiTheme="minorHAnsi" w:hAnsiTheme="minorHAnsi" w:cstheme="minorHAnsi"/>
                <w:color w:val="000000" w:themeColor="text1"/>
                <w:sz w:val="14"/>
                <w:szCs w:val="14"/>
                <w:lang w:val="en-US"/>
              </w:rPr>
              <w:instrText xml:space="preserve">ing-An"},{"family":"Meyn","given":"Peter"},{"family":"Olsen","given":"Evan"},{"family":"Perez","given":"Luisannay"},{"family":"Franca","given":"Brendan"},{"family":"Carpenito","given":"Joseph"},{"family":"Iizumi","given":"Tadasu"},{"family":"El-Ashmawy","given":"Mariam"},{"family":"Badri","given":"Michelle"},{"family":"Morton","given":"James T."},{"family":"Shen","given":"Nan"},{"family":"He","given":"Linchen"},{"family":"Michaud","given":"Gaetane"},{"family":"Rafeq","given":"Samaan"},{"family":"Bessich","given":"Jamie L."},{"family":"Smith","given":"Robert L."},{"family":"Sauthoff","given":"Harald"},{"family":"Felner","given":"Kevin"},{"family":"Pillai","given":"Ray"},{"family":"Zavitsanou","given":"Anastasia-Maria"},{"family":"Koralov","given":"Sergei B."},{"family":"Mezzano","given":"Valeria"},{"family":"Loomis","given":"Cynthia A."},{"family":"Moreira","given":"Andre L."},{"family":"Moore","given":"William"},{"family":"Tsirigos","given":"Aristotelis"},{"family":"Heguy","given":"Adriana"},{"family":"Rom","given":"William N."},{"family":"Sterman","given":"Daniel H."},{"family":"Pass","given":"Harvey I."},{"family":"Clemente","given":"Jose C."},{"family":"Li","given":"Huilin"},{"family":"Bonneau","given":"Richard"},{"family":"Wong","given":"Kwok-Kin"},{"family":"Papagiannakopoulos","given":"Thales"},{"family":"Segal","given":"Leopoldo N."}],"issued":{"date-parts":[["2020",11,11]]}}}],"schema":"https://github.com/citation-style-language/schema/raw/master/csl-citation.json"} </w:instrText>
            </w:r>
            <w:r>
              <w:rPr>
                <w:rFonts w:asciiTheme="minorHAnsi" w:hAnsiTheme="minorHAnsi" w:cstheme="minorHAnsi"/>
                <w:color w:val="000000" w:themeColor="text1"/>
                <w:sz w:val="14"/>
                <w:szCs w:val="14"/>
                <w:lang w:val="en-US"/>
              </w:rPr>
              <w:fldChar w:fldCharType="separate"/>
            </w:r>
            <w:r w:rsidRPr="00244861">
              <w:rPr>
                <w:rFonts w:asciiTheme="minorHAnsi" w:hAnsiTheme="minorHAnsi" w:cstheme="minorHAnsi"/>
                <w:noProof/>
                <w:color w:val="000000" w:themeColor="text1"/>
                <w:sz w:val="14"/>
                <w:szCs w:val="14"/>
                <w:lang w:val="en-US"/>
              </w:rPr>
              <w:t>(Tsay et al. 2020)</w:t>
            </w:r>
            <w:r>
              <w:rPr>
                <w:rFonts w:asciiTheme="minorHAnsi" w:hAnsiTheme="minorHAnsi" w:cstheme="minorHAnsi"/>
                <w:color w:val="000000" w:themeColor="text1"/>
                <w:sz w:val="14"/>
                <w:szCs w:val="14"/>
                <w:lang w:val="en-US"/>
              </w:rPr>
              <w:fldChar w:fldCharType="end"/>
            </w:r>
          </w:p>
          <w:p w:rsidR="00244861" w:rsidRDefault="00244861" w:rsidP="00C37C4D">
            <w:pPr>
              <w:rPr>
                <w:rFonts w:asciiTheme="minorHAnsi" w:hAnsiTheme="minorHAnsi" w:cstheme="minorHAnsi"/>
                <w:color w:val="000000" w:themeColor="text1"/>
                <w:sz w:val="14"/>
                <w:szCs w:val="14"/>
                <w:lang w:val="en-US"/>
              </w:rPr>
            </w:pPr>
          </w:p>
          <w:p w:rsidR="00244861" w:rsidRPr="00244861" w:rsidRDefault="00244861" w:rsidP="00C37C4D">
            <w:pPr>
              <w:rPr>
                <w:rFonts w:asciiTheme="minorHAnsi" w:hAnsiTheme="minorHAnsi" w:cstheme="minorHAnsi"/>
                <w:color w:val="000000" w:themeColor="text1"/>
                <w:sz w:val="14"/>
                <w:szCs w:val="14"/>
                <w:lang w:val="en-US"/>
              </w:rPr>
            </w:pPr>
          </w:p>
          <w:p w:rsidR="00C37C4D" w:rsidRPr="00244861" w:rsidRDefault="00244861" w:rsidP="00244861">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{"citationID":"tOpFi9vp","properties":{"formattedCitation":"(Jin et al. 2019)","plainCitation":"(Jin et al. 2019)","noteIndex":0},"citationItems":[{"id":3066,"uris":["http://zotero.org/users/2801898/items/CDAMPSIM"],"uri":["http://zotero.org/users/2801898/items/CDAMPSIM"],"itemData":{"id":3066,"type":"article-journal","abstract":"Lung cancer is closely associated with chronic inflammation, but the causes of inflammation and the specific immune mediators have not been fully elucidated. The lung is a mucosal tissue colonized by a diverse bacterial community, and pulmonary infections commonly present in lung cancer patients are linked to clinical outcomes. Here, we provide evidence that local microbiota provoke inflammation associated with lung adenocarcinoma by activating lung-resident γδ T cells. Germ-free or antibiotic-treated mice were significantly protected from lung cancer development induced by Kras mutation and p53 loss. Mechanistically, commensal bacteria stimulated Myd88-dependent IL-1β and IL-23 production from myeloid cells, inducing proliferation and activation of Vγ6+Vδ1+ γδ T cells that produced IL-17 and other effector molecules to promote inflammation and tumor cell proliferation. Our findings clearly link local microbiota-immune crosstalk to lung tumor development and thereby define key cellular and molecular mediators that may serve as effective targets in lung cancer intervention.","container-title":"Cell","DOI":"10.1016/j.cell.2018.12.040","ISSN":"1097-4172","issue":"5","journalAbbreviation":"Cell","language":"eng","note":"PMID: 30712876\nPMCID: PMC6691977","page":"998-1013.e16","source":"PubMed","title":"Commensal Microbiota Promote Lung Cancer Development via γδ T Cells","volume":"176","author":[{"family":"Jin","given":"Chengcheng"},{"family":"Lagoudas","given":"Georgia K."},{"family":"Zhao","given":"Chen"},{"family":"Bullman","given":"Susan"},{"family":"Bhutkar","given":"Arjun"},{"family":"Hu","given":"Bo"},{"family":"Ameh","given":"Samuel"},{"family":"Sandel","given":"Demi"},{"family":"Liang","given":"Xu Sue"},{"family":"Mazzilli","given":"Sarah"},{"family":"Whary","given":"Mark T."},{"family":"Meyerson","given":"Matthew"},{"family":"Germain","given":"Ronald"},{"family":"Blainey","given":"Paul C."},{"family":"Fox","given":"James G."},{"family":"Jacks","given":"Tyler"}],"issued":{"date-parts":[["2019",2,21]]}}}],"schema":"https://github.com/citation-style-language/schema/raw/master/csl-citation.json"}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(Jin et al. 2019)</w:t>
            </w:r>
            <w:r>
              <w:rPr>
                <w:rFonts w:asciiTheme="minorHAnsi" w:hAnsiTheme="minorHAnsi" w:cstheme="minorHAnsi"/>
                <w:sz w:val="14"/>
                <w:szCs w:val="14"/>
                <w:lang w:val="en-US"/>
              </w:rPr>
              <w:fldChar w:fldCharType="end"/>
            </w:r>
          </w:p>
        </w:tc>
      </w:tr>
      <w:tr w:rsidR="00585823" w:rsidRPr="00DB327F" w:rsidTr="0091404C">
        <w:trPr>
          <w:gridBefore w:val="1"/>
          <w:wBefore w:w="13" w:type="dxa"/>
          <w:trHeight w:val="106"/>
        </w:trPr>
        <w:tc>
          <w:tcPr>
            <w:tcW w:w="2397" w:type="dxa"/>
            <w:gridSpan w:val="3"/>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*BRPKp110 HR+ mouse mammary cancer</w:t>
            </w:r>
          </w:p>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w:t>
            </w:r>
            <w:proofErr w:type="spellStart"/>
            <w:r w:rsidRPr="00C37C4D">
              <w:rPr>
                <w:rFonts w:asciiTheme="minorHAnsi" w:hAnsiTheme="minorHAnsi" w:cstheme="minorHAnsi"/>
                <w:sz w:val="14"/>
                <w:szCs w:val="14"/>
                <w:lang w:val="en-US"/>
              </w:rPr>
              <w:t>PyMT</w:t>
            </w:r>
            <w:proofErr w:type="spellEnd"/>
            <w:r w:rsidRPr="00C37C4D">
              <w:rPr>
                <w:rFonts w:asciiTheme="minorHAnsi" w:hAnsiTheme="minorHAnsi" w:cstheme="minorHAnsi"/>
                <w:sz w:val="14"/>
                <w:szCs w:val="14"/>
                <w:lang w:val="en-US"/>
              </w:rPr>
              <w:t xml:space="preserve"> mammary tumors</w:t>
            </w:r>
          </w:p>
          <w:p w:rsidR="00C37C4D" w:rsidRPr="008B716E" w:rsidRDefault="00C37C4D" w:rsidP="008B716E">
            <w:pPr>
              <w:autoSpaceDE w:val="0"/>
              <w:autoSpaceDN w:val="0"/>
              <w:adjustRightInd w:val="0"/>
              <w:rPr>
                <w:rFonts w:asciiTheme="minorHAnsi" w:eastAsiaTheme="minorHAnsi" w:hAnsiTheme="minorHAnsi" w:cstheme="minorHAnsi"/>
                <w:sz w:val="14"/>
                <w:szCs w:val="14"/>
                <w:lang w:val="en-US" w:eastAsia="en-US"/>
              </w:rPr>
            </w:pPr>
            <w:r w:rsidRPr="00C37C4D">
              <w:rPr>
                <w:rFonts w:asciiTheme="minorHAnsi" w:eastAsiaTheme="minorHAnsi" w:hAnsiTheme="minorHAnsi" w:cstheme="minorHAnsi"/>
                <w:sz w:val="14"/>
                <w:szCs w:val="14"/>
                <w:lang w:val="en-US" w:eastAsia="en-US"/>
              </w:rPr>
              <w:t>*LKRasG12Dp53flx/</w:t>
            </w:r>
            <w:proofErr w:type="spellStart"/>
            <w:r w:rsidRPr="00C37C4D">
              <w:rPr>
                <w:rFonts w:asciiTheme="minorHAnsi" w:eastAsiaTheme="minorHAnsi" w:hAnsiTheme="minorHAnsi" w:cstheme="minorHAnsi"/>
                <w:sz w:val="14"/>
                <w:szCs w:val="14"/>
                <w:lang w:val="en-US" w:eastAsia="en-US"/>
              </w:rPr>
              <w:t>flxL</w:t>
            </w:r>
            <w:proofErr w:type="spellEnd"/>
            <w:r w:rsidRPr="00C37C4D">
              <w:rPr>
                <w:rFonts w:asciiTheme="minorHAnsi" w:eastAsiaTheme="minorHAnsi" w:hAnsiTheme="minorHAnsi" w:cstheme="minorHAnsi"/>
                <w:sz w:val="14"/>
                <w:szCs w:val="14"/>
                <w:lang w:val="en-US" w:eastAsia="en-US"/>
              </w:rPr>
              <w:t>-Stop-L-</w:t>
            </w:r>
            <w:proofErr w:type="spellStart"/>
            <w:r w:rsidRPr="00C37C4D">
              <w:rPr>
                <w:rFonts w:asciiTheme="minorHAnsi" w:eastAsiaTheme="minorHAnsi" w:hAnsiTheme="minorHAnsi" w:cstheme="minorHAnsi"/>
                <w:sz w:val="14"/>
                <w:szCs w:val="14"/>
                <w:lang w:val="en-US" w:eastAsia="en-US"/>
              </w:rPr>
              <w:t>Myristoylated</w:t>
            </w:r>
            <w:proofErr w:type="spellEnd"/>
            <w:r w:rsidRPr="00C37C4D">
              <w:rPr>
                <w:rFonts w:asciiTheme="minorHAnsi" w:eastAsiaTheme="minorHAnsi" w:hAnsiTheme="minorHAnsi" w:cstheme="minorHAnsi"/>
                <w:sz w:val="14"/>
                <w:szCs w:val="14"/>
                <w:lang w:val="en-US" w:eastAsia="en-US"/>
              </w:rPr>
              <w:t xml:space="preserve"> p110a_GFP. mice</w:t>
            </w:r>
          </w:p>
        </w:tc>
        <w:tc>
          <w:tcPr>
            <w:tcW w:w="1859"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ATB (bacitracin, neomycin)</w:t>
            </w:r>
          </w:p>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and FMT</w:t>
            </w:r>
          </w:p>
        </w:tc>
        <w:tc>
          <w:tcPr>
            <w:tcW w:w="1917"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Dysbiosis prior to tumor inoculation</w:t>
            </w:r>
          </w:p>
        </w:tc>
        <w:tc>
          <w:tcPr>
            <w:tcW w:w="2206"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ATB-induced drop in bacterial richness</w:t>
            </w:r>
          </w:p>
        </w:tc>
        <w:tc>
          <w:tcPr>
            <w:tcW w:w="1917"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 xml:space="preserve">Oral administration of </w:t>
            </w:r>
            <w:proofErr w:type="spellStart"/>
            <w:r w:rsidRPr="00C37C4D">
              <w:rPr>
                <w:rFonts w:asciiTheme="minorHAnsi" w:hAnsiTheme="minorHAnsi" w:cstheme="minorHAnsi"/>
                <w:sz w:val="14"/>
                <w:szCs w:val="14"/>
                <w:lang w:val="en-US"/>
              </w:rPr>
              <w:t>dysbiotic</w:t>
            </w:r>
            <w:proofErr w:type="spellEnd"/>
            <w:r w:rsidRPr="00C37C4D">
              <w:rPr>
                <w:rFonts w:asciiTheme="minorHAnsi" w:hAnsiTheme="minorHAnsi" w:cstheme="minorHAnsi"/>
                <w:sz w:val="14"/>
                <w:szCs w:val="14"/>
                <w:lang w:val="en-US"/>
              </w:rPr>
              <w:t xml:space="preserve"> </w:t>
            </w:r>
            <w:proofErr w:type="spellStart"/>
            <w:r w:rsidRPr="00C37C4D">
              <w:rPr>
                <w:rFonts w:asciiTheme="minorHAnsi" w:hAnsiTheme="minorHAnsi" w:cstheme="minorHAnsi"/>
                <w:sz w:val="14"/>
                <w:szCs w:val="14"/>
                <w:lang w:val="en-US"/>
              </w:rPr>
              <w:t>caecal</w:t>
            </w:r>
            <w:proofErr w:type="spellEnd"/>
            <w:r w:rsidRPr="00C37C4D">
              <w:rPr>
                <w:rFonts w:asciiTheme="minorHAnsi" w:hAnsiTheme="minorHAnsi" w:cstheme="minorHAnsi"/>
                <w:sz w:val="14"/>
                <w:szCs w:val="14"/>
                <w:lang w:val="en-US"/>
              </w:rPr>
              <w:t xml:space="preserve"> content</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C37C4D">
            <w:pPr>
              <w:rPr>
                <w:rFonts w:asciiTheme="minorHAnsi" w:hAnsiTheme="minorHAnsi" w:cstheme="minorHAnsi"/>
                <w:sz w:val="14"/>
                <w:szCs w:val="14"/>
                <w:lang w:val="en-US"/>
              </w:rPr>
            </w:pPr>
            <w:r w:rsidRPr="00C37C4D">
              <w:rPr>
                <w:rFonts w:asciiTheme="minorHAnsi" w:hAnsiTheme="minorHAnsi" w:cstheme="minorHAnsi"/>
                <w:sz w:val="14"/>
                <w:szCs w:val="14"/>
                <w:lang w:val="en-US"/>
              </w:rPr>
              <w:t>Increased fibrosis and collagen deposition in mammary gland and TME</w:t>
            </w:r>
          </w:p>
        </w:tc>
        <w:tc>
          <w:tcPr>
            <w:tcW w:w="1917"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C37C4D" w:rsidRPr="00C37C4D" w:rsidRDefault="00C37C4D" w:rsidP="00C37C4D">
            <w:pPr>
              <w:rPr>
                <w:rFonts w:asciiTheme="minorHAnsi" w:hAnsiTheme="minorHAnsi" w:cstheme="minorHAnsi"/>
                <w:sz w:val="14"/>
                <w:szCs w:val="14"/>
                <w:lang w:val="en-US"/>
              </w:rPr>
            </w:pPr>
            <w:proofErr w:type="spellStart"/>
            <w:r w:rsidRPr="00C37C4D">
              <w:rPr>
                <w:rFonts w:asciiTheme="minorHAnsi" w:hAnsiTheme="minorHAnsi" w:cstheme="minorHAnsi"/>
                <w:sz w:val="14"/>
                <w:szCs w:val="14"/>
                <w:lang w:val="en-US"/>
              </w:rPr>
              <w:t>Dysbiosis+tumor</w:t>
            </w:r>
            <w:proofErr w:type="spellEnd"/>
            <w:r w:rsidRPr="00C37C4D">
              <w:rPr>
                <w:rFonts w:asciiTheme="minorHAnsi" w:hAnsiTheme="minorHAnsi" w:cstheme="minorHAnsi"/>
                <w:sz w:val="14"/>
                <w:szCs w:val="14"/>
                <w:lang w:val="en-US"/>
              </w:rPr>
              <w:t xml:space="preserve"> inoculation increased Cxcl2 and CCL2 and Cxcl10 in the mammary gland and IL-23, Arg1, IL-6 producing myeloid MDSC recruitment in tumor beds leading to increased stromal inflammation</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Pr>
          <w:p w:rsidR="00C37C4D" w:rsidRPr="00C37C4D"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{"citationID":"hmx6s8Tl","properties":{"formattedCitation":"(Buchta Rosean et al. 2019)","plainCitation":"(Buchta Rosean et al. 2019)","noteIndex":0},"citationItems":[{"id":3069,"uris":["http://zotero.org/users/2801898/items/NWVLQ32S"],"uri":["http://zotero.org/users/2801898/items/NWVLQ32S"],"itemData":{"id":3069,"type":"article-journal","abstract":"It is unknown why some patients with hormone receptor-positive (HR+) breast cancer present with more aggressive and invasive disease. Metastatic dissemination occurs early in disease and is facilitated by cross-talk between the tumor and tissue environment, suggesting that undefined host-intrinsic factors enhance early dissemination and the probability of developing metastatic disease. Here, we have identified commensal dysbiosis as a host-intrinsic factor associated with metastatic dissemination. Using a mouse model of HR+ mammary cancer, we demonstrate that a preestablished disruption of commensal homeostasis results in enhanced circulating tumor cells and subsequent dissemination to the tumor-draining lymph nodes and lungs. Commensal dysbiosis promoted early inflammation within the mammary gland that was sustained during HR+ mammary tumor progression. Furthermore, dysbiosis enhanced fibrosis and collagen deposition both systemically and locally within the tumor microenvironment and induced significant myeloid infiltration into the mammary gland and breast tumor. These effects were recapitulated both by directly targeting gut microbes using nonabsorbable antibiotics and by fecal microbiota transplantation of dysbiotic cecal contents, demonstrating the direct impact of gut dysbiosis on mammary tumor dissemination. This study identifies dysbiosis as a preexisting, host-intrinsic regulator of tissue inflammation, myeloid recruitment, fibrosis, and dissemination of tumor cells in HR+ breast cancer. SIGNIFICANCE: Identification of commensal dysbiosis as a host-intrinsic factor mediating evolution of metastatic breast cancer allows for development of interventions or diagnostic tools for patients at highest risk for developing metastatic disease.See related commentary by Ingman, p. 3539.","container-title":"Cancer Research","DOI":"10.1158/0008-5472.CAN-18-3464","ISSN":"1538-7445","issue":"14","journalAbbreviation":"Cancer Res","language":"eng","note":"PMID: 31064848\nPMCID: PMC6983951","page":"3662-3675","source":"PubMed","title":"Preexisting Commensal Dysbiosis Is a Host-Intrinsic Regulator of Tissue Inflammation and Tumor Cell Dissemination in Hormone Receptor-Positive Breast Cancer","volume":"79","author":[{"family":"Buchta Rosean","given":"Claire"},{"family":"Bostic","given":"Raegan R."},{"family":"Ferey","given":"Joshua C. M."},{"family":"Feng","given":"Tzu-Yu"},{"family":"Azar","given":"Francesca N."},{"family":"Tung","given":"Kenneth S."},{"family":"Dozmorov","given":"Mikhail G."},{"family":"Smirnova","given":"Ekaterina"},{"family":"Bos","given":"Paula D."},{"family":"Rutkowski","given":"Melanie R."}],"issued":{"date-parts":[["2019",7,15]]}}}],"schema":"https://github.com/citation-style-language/schema/raw/master/csl-citation.json"}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(Buchta Rosean et al. 2019)</w:t>
            </w:r>
            <w:r>
              <w:rPr>
                <w:rFonts w:asciiTheme="minorHAnsi" w:hAnsiTheme="minorHAnsi" w:cstheme="minorHAnsi"/>
                <w:sz w:val="14"/>
                <w:szCs w:val="14"/>
                <w:lang w:val="en-US"/>
              </w:rPr>
              <w:fldChar w:fldCharType="end"/>
            </w:r>
          </w:p>
        </w:tc>
      </w:tr>
      <w:tr w:rsidR="00585823" w:rsidRPr="00244861" w:rsidTr="0091404C">
        <w:trPr>
          <w:gridBefore w:val="1"/>
          <w:wBefore w:w="13" w:type="dxa"/>
          <w:trHeight w:val="106"/>
        </w:trPr>
        <w:tc>
          <w:tcPr>
            <w:tcW w:w="2397" w:type="dxa"/>
            <w:gridSpan w:val="3"/>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*CT26 and MC38 colon cancers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*4T1 mammary cancer</w:t>
            </w:r>
          </w:p>
        </w:tc>
        <w:tc>
          <w:tcPr>
            <w:tcW w:w="1859"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SPF mice</w:t>
            </w:r>
          </w:p>
        </w:tc>
        <w:tc>
          <w:tcPr>
            <w:tcW w:w="1917"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None (</w:t>
            </w:r>
            <w:proofErr w:type="spellStart"/>
            <w:r w:rsidRPr="00585823">
              <w:rPr>
                <w:rFonts w:asciiTheme="minorHAnsi" w:hAnsiTheme="minorHAnsi" w:cstheme="minorHAnsi"/>
                <w:sz w:val="14"/>
                <w:szCs w:val="14"/>
                <w:lang w:val="en-US"/>
              </w:rPr>
              <w:t>eubiosis</w:t>
            </w:r>
            <w:proofErr w:type="spellEnd"/>
            <w:r w:rsidRPr="00585823">
              <w:rPr>
                <w:rFonts w:asciiTheme="minorHAnsi" w:hAnsiTheme="minorHAnsi" w:cstheme="minorHAnsi"/>
                <w:sz w:val="14"/>
                <w:szCs w:val="14"/>
                <w:lang w:val="en-US"/>
              </w:rPr>
              <w:t>)</w:t>
            </w:r>
          </w:p>
        </w:tc>
        <w:tc>
          <w:tcPr>
            <w:tcW w:w="2206"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Nanoparticles from Gram negative bacteria and E. coli </w:t>
            </w:r>
            <w:r w:rsidRPr="00585823">
              <w:rPr>
                <w:rFonts w:asciiTheme="minorHAnsi" w:hAnsiTheme="minorHAnsi" w:cstheme="minorHAnsi"/>
                <w:sz w:val="14"/>
                <w:szCs w:val="14"/>
              </w:rPr>
              <w:t>Δ</w:t>
            </w:r>
            <w:proofErr w:type="spellStart"/>
            <w:r w:rsidRPr="00585823">
              <w:rPr>
                <w:rFonts w:asciiTheme="minorHAnsi" w:hAnsiTheme="minorHAnsi" w:cstheme="minorHAnsi"/>
                <w:sz w:val="14"/>
                <w:szCs w:val="14"/>
                <w:lang w:val="en-US"/>
              </w:rPr>
              <w:t>msbB</w:t>
            </w:r>
            <w:proofErr w:type="spellEnd"/>
            <w:r w:rsidRPr="00585823">
              <w:rPr>
                <w:rFonts w:asciiTheme="minorHAnsi" w:hAnsiTheme="minorHAnsi" w:cstheme="minorHAnsi"/>
                <w:sz w:val="14"/>
                <w:szCs w:val="14"/>
                <w:lang w:val="en-US"/>
              </w:rPr>
              <w:t xml:space="preserve"> OMV</w:t>
            </w:r>
          </w:p>
          <w:p w:rsidR="00C37C4D" w:rsidRPr="00585823" w:rsidRDefault="00C37C4D" w:rsidP="00C37C4D">
            <w:pPr>
              <w:rPr>
                <w:rFonts w:asciiTheme="minorHAnsi" w:hAnsiTheme="minorHAnsi" w:cstheme="minorHAnsi"/>
                <w:sz w:val="14"/>
                <w:szCs w:val="14"/>
                <w:lang w:val="en-US"/>
              </w:rPr>
            </w:pPr>
          </w:p>
        </w:tc>
        <w:tc>
          <w:tcPr>
            <w:tcW w:w="1917"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Intravenous injection of outer membrane vesicles from E. coli (OMV) every 3 days for 20 days</w:t>
            </w:r>
          </w:p>
        </w:tc>
        <w:tc>
          <w:tcPr>
            <w:tcW w:w="1919"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Cxcl10 and IFN</w:t>
            </w:r>
            <w:r w:rsidR="00DB327F" w:rsidRPr="00C37C4D">
              <w:rPr>
                <w:rFonts w:asciiTheme="minorHAnsi" w:hAnsiTheme="minorHAnsi" w:cstheme="minorHAnsi"/>
                <w:sz w:val="14"/>
                <w:szCs w:val="14"/>
              </w:rPr>
              <w:t>γ</w:t>
            </w:r>
            <w:r w:rsidR="00DB327F" w:rsidRPr="00585823">
              <w:rPr>
                <w:rFonts w:asciiTheme="minorHAnsi" w:hAnsiTheme="minorHAnsi" w:cstheme="minorHAnsi"/>
                <w:sz w:val="14"/>
                <w:szCs w:val="14"/>
                <w:lang w:val="en-US"/>
              </w:rPr>
              <w:t xml:space="preserve"> </w:t>
            </w:r>
            <w:r w:rsidRPr="00585823">
              <w:rPr>
                <w:rFonts w:asciiTheme="minorHAnsi" w:hAnsiTheme="minorHAnsi" w:cstheme="minorHAnsi"/>
                <w:sz w:val="14"/>
                <w:szCs w:val="14"/>
                <w:lang w:val="en-US"/>
              </w:rPr>
              <w:t>systemic secretion</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 and NK cell stimulation</w:t>
            </w:r>
          </w:p>
        </w:tc>
        <w:tc>
          <w:tcPr>
            <w:tcW w:w="1917"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 and NK cell dependent tumor growth retardation with OMV</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Pr>
          <w:p w:rsidR="00C37C4D" w:rsidRPr="00585823"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{"citationID":"NleqcJq1","properties":{"formattedCitation":"(Kim et al. 2017)","plainCitation":"(Kim et al. 2017)","noteIndex":0},"citationItems":[{"id":3074,"uris":["http://zotero.org/users/2801898/items/CA2TMHL4"],"uri":["http://zotero.org/users/2801898/items/CA2TMHL4"],"itemData":{"id":3074,"type":"article-journal","abstract":"Gram-negative bacteria actively secrete outer membrane vesicles, spherical nano-meter-sized proteolipids enriched with outer membrane proteins, to the surroundings. Outer membrane vesicles have gained wide interests as non-living complex vaccines or delivery vehicles. However, no study has used outer membrane vesicles in treating cancer thus far. Here we investigate the potential of bacterial outer membrane vesicles as therapeutic agents to treat cancer via immunotherapy. Our results show remarkable capability of bacterial outer membrane vesicles to effectively induce long-term antitumor immune responses that can fully eradicate established tumors without notable adverse effects. Moreover, systematically administered bacterial outer membrane vesicles specifically target and accumulate in the tumor tissue, and subsequently induce the production of antitumor cytokines CXCL10 and interferon-γ. This antitumor effect is interferon-γ dependent, as interferon-γ-deficient mice could not induce such outer membrane vesicle-mediated immune response. Together, our results herein demonstrate the potential of bacterial outer membrane vesicles as effective immunotherapeutic agent that can treat various cancers without apparent adverse effects.","container-title":"Nature Communications","DOI":"10.1038/s41467-017-00729-8","ISSN":"2041-1723","issue":"1","language":"en","note":"number: 1\npublisher: Nature Publishing Group","page":"626","source":"www.nature.com","title":"Bacterial outer membrane vesicles suppress tumor by interferon-γ-mediated antitumor response","volume":"8","author":[{"family":"Kim","given":"Oh Youn"},{"family":"Park","given":"Hyun Taek"},{"family":"Dinh","given":"Nhung Thi Hong"},{"family":"Choi","given":"Seng Jin"},{"family":"Lee","given":"Jaewook"},{"family":"Kim","given":"Ji Hyun"},{"family":"Lee","given":"Seung-Woo"},{"family":"Gho","given":"Yong Song"}],"issued":{"date-parts":[["2017",9,20]]}}}],"schema":"https://github.com/citation-style-language/schema/raw/master/csl-citation.json"}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(Kim et al. 2017)</w:t>
            </w:r>
            <w:r>
              <w:rPr>
                <w:rFonts w:asciiTheme="minorHAnsi" w:hAnsiTheme="minorHAnsi" w:cstheme="minorHAnsi"/>
                <w:sz w:val="14"/>
                <w:szCs w:val="14"/>
                <w:lang w:val="en-US"/>
              </w:rPr>
              <w:fldChar w:fldCharType="end"/>
            </w:r>
          </w:p>
        </w:tc>
      </w:tr>
      <w:tr w:rsidR="00C37C4D" w:rsidRPr="00244861" w:rsidTr="0091404C">
        <w:trPr>
          <w:gridBefore w:val="1"/>
          <w:wBefore w:w="13" w:type="dxa"/>
          <w:trHeight w:val="97"/>
        </w:trPr>
        <w:tc>
          <w:tcPr>
            <w:tcW w:w="16275" w:type="dxa"/>
            <w:gridSpan w:val="21"/>
            <w:tcBorders>
              <w:top w:val="single" w:sz="8" w:space="0" w:color="FFFFFF"/>
              <w:left w:val="single" w:sz="4" w:space="0" w:color="auto"/>
              <w:bottom w:val="single" w:sz="8" w:space="0" w:color="FFFFFF"/>
              <w:right w:val="single" w:sz="4" w:space="0" w:color="auto"/>
            </w:tcBorders>
            <w:shd w:val="clear" w:color="auto" w:fill="D9D9D9" w:themeFill="background1" w:themeFillShade="D9"/>
            <w:tcMar>
              <w:top w:w="4" w:type="dxa"/>
              <w:left w:w="4" w:type="dxa"/>
              <w:bottom w:w="0" w:type="dxa"/>
              <w:right w:w="4" w:type="dxa"/>
            </w:tcMar>
            <w:vAlign w:val="bottom"/>
            <w:hideMark/>
          </w:tcPr>
          <w:p w:rsidR="00C37C4D" w:rsidRPr="00244861" w:rsidRDefault="00585823" w:rsidP="00C37C4D">
            <w:pPr>
              <w:rPr>
                <w:sz w:val="20"/>
                <w:szCs w:val="20"/>
                <w:lang w:val="en-US"/>
              </w:rPr>
            </w:pPr>
            <w:r w:rsidRPr="00244861">
              <w:rPr>
                <w:rFonts w:asciiTheme="minorHAnsi" w:hAnsiTheme="minorHAnsi" w:cstheme="minorHAnsi"/>
                <w:b/>
                <w:bCs/>
                <w:sz w:val="15"/>
                <w:szCs w:val="15"/>
                <w:lang w:val="en-US"/>
              </w:rPr>
              <w:t>IM</w:t>
            </w:r>
            <w:r w:rsidR="00C37C4D" w:rsidRPr="00244861">
              <w:rPr>
                <w:rFonts w:asciiTheme="minorHAnsi" w:hAnsiTheme="minorHAnsi" w:cstheme="minorHAnsi"/>
                <w:b/>
                <w:bCs/>
                <w:sz w:val="15"/>
                <w:szCs w:val="15"/>
                <w:lang w:val="en-US"/>
              </w:rPr>
              <w:t>MUNOTHERAPY</w:t>
            </w:r>
          </w:p>
        </w:tc>
      </w:tr>
      <w:tr w:rsidR="00C37C4D" w:rsidRPr="00244861" w:rsidTr="0091404C">
        <w:trPr>
          <w:gridBefore w:val="1"/>
          <w:wBefore w:w="13" w:type="dxa"/>
          <w:trHeight w:val="126"/>
        </w:trPr>
        <w:tc>
          <w:tcPr>
            <w:tcW w:w="16275" w:type="dxa"/>
            <w:gridSpan w:val="21"/>
            <w:tcBorders>
              <w:top w:val="single" w:sz="8" w:space="0" w:color="FFFFFF"/>
              <w:left w:val="single" w:sz="4" w:space="0" w:color="auto"/>
              <w:bottom w:val="single" w:sz="8" w:space="0" w:color="FFFFFF"/>
              <w:right w:val="single" w:sz="4" w:space="0" w:color="auto"/>
            </w:tcBorders>
            <w:shd w:val="clear" w:color="auto" w:fill="D9D9D9" w:themeFill="background1" w:themeFillShade="D9"/>
            <w:tcMar>
              <w:top w:w="4" w:type="dxa"/>
              <w:left w:w="4" w:type="dxa"/>
              <w:bottom w:w="0" w:type="dxa"/>
              <w:right w:w="4" w:type="dxa"/>
            </w:tcMar>
            <w:vAlign w:val="bottom"/>
            <w:hideMark/>
          </w:tcPr>
          <w:p w:rsidR="00C37C4D" w:rsidRPr="00585823" w:rsidRDefault="00C37C4D" w:rsidP="00C37C4D">
            <w:pPr>
              <w:rPr>
                <w:rFonts w:asciiTheme="minorHAnsi" w:hAnsiTheme="minorHAnsi" w:cstheme="minorHAnsi"/>
                <w:b/>
                <w:bCs/>
                <w:i/>
                <w:iCs/>
                <w:sz w:val="14"/>
                <w:szCs w:val="14"/>
                <w:lang w:val="en-US"/>
              </w:rPr>
            </w:pPr>
            <w:r w:rsidRPr="00585823">
              <w:rPr>
                <w:rFonts w:asciiTheme="minorHAnsi" w:hAnsiTheme="minorHAnsi" w:cstheme="minorHAnsi"/>
                <w:b/>
                <w:bCs/>
                <w:i/>
                <w:iCs/>
                <w:sz w:val="14"/>
                <w:szCs w:val="14"/>
                <w:lang w:val="en-US"/>
              </w:rPr>
              <w:t>Immune Checkpoint inhibitors (ICI) +/- chemotherapy</w:t>
            </w:r>
          </w:p>
        </w:tc>
      </w:tr>
      <w:tr w:rsidR="008B716E" w:rsidRPr="00244861" w:rsidTr="0091404C">
        <w:trPr>
          <w:gridBefore w:val="1"/>
          <w:wBefore w:w="13" w:type="dxa"/>
          <w:trHeight w:val="188"/>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*Melanoma</w:t>
            </w:r>
            <w:r w:rsidR="008B716E">
              <w:rPr>
                <w:rFonts w:asciiTheme="minorHAnsi" w:hAnsiTheme="minorHAnsi" w:cstheme="minorHAnsi"/>
                <w:sz w:val="14"/>
                <w:szCs w:val="14"/>
                <w:lang w:val="en-US"/>
              </w:rPr>
              <w:t xml:space="preserve"> </w:t>
            </w:r>
            <w:r w:rsidRPr="00585823">
              <w:rPr>
                <w:rFonts w:asciiTheme="minorHAnsi" w:hAnsiTheme="minorHAnsi" w:cstheme="minorHAnsi"/>
                <w:sz w:val="14"/>
                <w:szCs w:val="14"/>
                <w:lang w:val="en-US"/>
              </w:rPr>
              <w:t xml:space="preserve">B16.SIY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*Bladder cancer MB49 </w:t>
            </w:r>
          </w:p>
          <w:p w:rsidR="00C37C4D" w:rsidRPr="00585823" w:rsidRDefault="00C37C4D" w:rsidP="00C37C4D">
            <w:pPr>
              <w:rPr>
                <w:rFonts w:asciiTheme="minorHAnsi" w:hAnsiTheme="minorHAnsi" w:cstheme="minorHAnsi"/>
                <w:sz w:val="14"/>
                <w:szCs w:val="14"/>
                <w:lang w:val="en-US"/>
              </w:rPr>
            </w:pP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SPF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Taconic (TAC) vs Jackson (JAK) lab</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no ATB</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244861" w:rsidRDefault="00F31D8E" w:rsidP="00C37C4D">
            <w:pPr>
              <w:rPr>
                <w:rFonts w:asciiTheme="minorHAnsi" w:hAnsiTheme="minorHAnsi" w:cstheme="minorHAnsi"/>
                <w:sz w:val="14"/>
                <w:szCs w:val="14"/>
                <w:lang w:val="en-US"/>
              </w:rPr>
            </w:pPr>
            <w:r>
              <w:rPr>
                <w:rFonts w:asciiTheme="minorHAnsi" w:hAnsiTheme="minorHAnsi" w:cstheme="minorHAnsi"/>
                <w:sz w:val="14"/>
                <w:szCs w:val="14"/>
                <w:lang w:val="en-US"/>
              </w:rPr>
              <w:t>a</w:t>
            </w:r>
            <w:r w:rsidR="00DB327F">
              <w:rPr>
                <w:rFonts w:asciiTheme="minorHAnsi" w:hAnsiTheme="minorHAnsi" w:cstheme="minorHAnsi"/>
                <w:sz w:val="14"/>
                <w:szCs w:val="14"/>
                <w:lang w:val="en-US"/>
              </w:rPr>
              <w:t>nti-</w:t>
            </w:r>
            <w:r w:rsidR="00C37C4D" w:rsidRPr="00244861">
              <w:rPr>
                <w:rFonts w:asciiTheme="minorHAnsi" w:hAnsiTheme="minorHAnsi" w:cstheme="minorHAnsi"/>
                <w:sz w:val="14"/>
                <w:szCs w:val="14"/>
                <w:lang w:val="en-US"/>
              </w:rPr>
              <w:t xml:space="preserve">PD-1 </w:t>
            </w:r>
            <w:proofErr w:type="spellStart"/>
            <w:r w:rsidR="00C37C4D" w:rsidRPr="00244861">
              <w:rPr>
                <w:rFonts w:asciiTheme="minorHAnsi" w:hAnsiTheme="minorHAnsi" w:cstheme="minorHAnsi"/>
                <w:sz w:val="14"/>
                <w:szCs w:val="14"/>
                <w:lang w:val="en-US"/>
              </w:rPr>
              <w:t>mAbs</w:t>
            </w:r>
            <w:proofErr w:type="spellEnd"/>
            <w:r w:rsidR="00C37C4D" w:rsidRPr="00244861">
              <w:rPr>
                <w:rFonts w:asciiTheme="minorHAnsi" w:hAnsiTheme="minorHAnsi" w:cstheme="minorHAnsi"/>
                <w:sz w:val="14"/>
                <w:szCs w:val="14"/>
                <w:lang w:val="en-US"/>
              </w:rPr>
              <w:t xml:space="preserve"> </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Bifidobacterium</w:t>
            </w:r>
            <w:r w:rsidRPr="00585823">
              <w:rPr>
                <w:rFonts w:asciiTheme="minorHAnsi" w:hAnsiTheme="minorHAnsi" w:cstheme="minorHAnsi"/>
                <w:sz w:val="14"/>
                <w:szCs w:val="14"/>
                <w:lang w:val="en-US"/>
              </w:rPr>
              <w:t xml:space="preserve"> </w:t>
            </w:r>
            <w:proofErr w:type="spellStart"/>
            <w:r w:rsidRPr="00585823">
              <w:rPr>
                <w:rFonts w:asciiTheme="minorHAnsi" w:hAnsiTheme="minorHAnsi" w:cstheme="minorHAnsi"/>
                <w:sz w:val="14"/>
                <w:szCs w:val="14"/>
                <w:lang w:val="en-US"/>
              </w:rPr>
              <w:t>spp</w:t>
            </w:r>
            <w:proofErr w:type="spellEnd"/>
            <w:r w:rsidRPr="00585823">
              <w:rPr>
                <w:rFonts w:asciiTheme="minorHAnsi" w:hAnsiTheme="minorHAnsi" w:cstheme="minorHAnsi"/>
                <w:sz w:val="14"/>
                <w:szCs w:val="14"/>
                <w:lang w:val="en-US"/>
              </w:rPr>
              <w:t xml:space="preserve"> cocktail (</w:t>
            </w:r>
            <w:r w:rsidRPr="00585823">
              <w:rPr>
                <w:rFonts w:asciiTheme="minorHAnsi" w:hAnsiTheme="minorHAnsi" w:cstheme="minorHAnsi"/>
                <w:i/>
                <w:sz w:val="14"/>
                <w:szCs w:val="14"/>
                <w:lang w:val="en-US"/>
              </w:rPr>
              <w:t xml:space="preserve">B. breve, B. </w:t>
            </w:r>
            <w:proofErr w:type="spellStart"/>
            <w:r w:rsidRPr="00585823">
              <w:rPr>
                <w:rFonts w:asciiTheme="minorHAnsi" w:hAnsiTheme="minorHAnsi" w:cstheme="minorHAnsi"/>
                <w:i/>
                <w:sz w:val="14"/>
                <w:szCs w:val="14"/>
                <w:lang w:val="en-US"/>
              </w:rPr>
              <w:t>longum</w:t>
            </w:r>
            <w:proofErr w:type="spellEnd"/>
            <w:r w:rsidRPr="00585823">
              <w:rPr>
                <w:rFonts w:asciiTheme="minorHAnsi" w:hAnsiTheme="minorHAnsi" w:cstheme="minorHAnsi"/>
                <w:sz w:val="14"/>
                <w:szCs w:val="14"/>
                <w:lang w:val="en-US"/>
              </w:rPr>
              <w:t>)</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gavage with anti-PD1 </w:t>
            </w:r>
            <w:proofErr w:type="spellStart"/>
            <w:r w:rsidRPr="00585823">
              <w:rPr>
                <w:rFonts w:asciiTheme="minorHAnsi" w:hAnsiTheme="minorHAnsi" w:cstheme="minorHAnsi"/>
                <w:sz w:val="14"/>
                <w:szCs w:val="14"/>
                <w:lang w:val="en-US"/>
              </w:rPr>
              <w:t>mAbs</w:t>
            </w:r>
            <w:proofErr w:type="spellEnd"/>
            <w:r w:rsidRPr="00585823">
              <w:rPr>
                <w:rFonts w:asciiTheme="minorHAnsi" w:hAnsiTheme="minorHAnsi" w:cstheme="minorHAnsi"/>
                <w:sz w:val="14"/>
                <w:szCs w:val="14"/>
                <w:lang w:val="en-US"/>
              </w:rPr>
              <w:t xml:space="preserve"> </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Restoring efficacy of ICI</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 mice coming TAC vendor</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Enhanced DC functions and CD8+ T cell priming and CTL recruitment in the TME</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244861" w:rsidRDefault="00244861" w:rsidP="00C37C4D">
            <w:pPr>
              <w:rPr>
                <w:rFonts w:asciiTheme="minorHAnsi" w:hAnsiTheme="minorHAnsi" w:cstheme="minorHAnsi"/>
                <w:sz w:val="14"/>
                <w:szCs w:val="14"/>
              </w:rPr>
            </w:pPr>
            <w:r>
              <w:rPr>
                <w:rFonts w:asciiTheme="minorHAnsi" w:hAnsiTheme="minorHAnsi" w:cstheme="minorHAnsi"/>
                <w:sz w:val="14"/>
                <w:szCs w:val="14"/>
                <w:lang w:val="nl-NL"/>
              </w:rPr>
              <w:fldChar w:fldCharType="begin"/>
            </w:r>
            <w:r>
              <w:rPr>
                <w:rFonts w:asciiTheme="minorHAnsi" w:hAnsiTheme="minorHAnsi" w:cstheme="minorHAnsi"/>
                <w:sz w:val="14"/>
                <w:szCs w:val="14"/>
                <w:lang w:val="nl-NL"/>
              </w:rPr>
              <w:instrText xml:space="preserve"> ADDIN ZOTERO_ITEM CSL_CITATION {"citationID":"KW6gCdLL","properties":{"formattedCitation":"(Sivan et al. 2015)","plainCitation":"(Sivan et al. 2015)","noteIndex":0},"citationItems":[{"id":115,"uris":["http://zotero.org/users/2801898/items/6JRDHVAZ"],"uri":["http://zotero.org/users/2801898/items/6JRDHVAZ"],"itemData":{"id":115,"type":"article-journal","abstract":"T cell infiltration of solid tumors is associated with favorable patient outcomes, yet the mechanisms underlying variable immune responses between individuals are not well understood. One possible modulator could be the intestinal microbiota. We compared melanoma growth in mice harboring distinct commensal microbiota and observed differences in spontaneous antitumor immunity, which were eliminated upon cohousing or after fecal transfer. Sequencing of the 16S ribosomal RNA identified Bifidobacterium as associated with the antitumor effects. Oral administration of Bifidobacterium alone improved tumor control to the same degree as programmed cell death protein 1 ligand 1 (PD-L1)-specific antibody therapy (checkpoint blockade), and combination treatment nearly abolished tumor outgrowth. Augmented dendritic cell function leading to enhanced CD8(+) T cell priming and accumulation in the tumor microenvironment mediated the effect. Our data suggest that manipulating the microbiota may modulate cancer immunotherapy.","container-title":"Science (New York, N.Y.)","DOI":"10.1126/science.aac4255","ISSN":"1095-9203","issue":"6264","journalAbbreviation":"Science","language":"eng","note":"PMID: 26541606","page":"1084-1089","source":"PubMed","title":"Commensal Bifidobacterium promotes antitumor immunity and facilitates anti-PD-L1 efficacy","volume":"350","author":[{"family":"Sivan","given":"Ayelet"},{"family":"Corrales","given":"Leticia"},{"family":"Hubert","given":"Nathaniel"},{"family":"Williams","given":"Jason B."},{"family":"Aquino-Michaels","given":"Keston"},{"family":"Earley","given":"Zachary M."},{"family":"Benyamin","given":"Franco W."},{"family":"Lei","given":"Yuk Man"},{"family":"Jabri","given":"Bana"},{"family":"Alegre","given":"Maria-Luisa"},{"family":"Chang","given":"Eugene B."},{"family":"Gajewski","given":"Thomas F."}],"issued":{"date-parts":[["2015",11,27]]}}}],"schema":"https://github.com/citation-style-language/schema/raw/master/csl-citation.json"} </w:instrText>
            </w:r>
            <w:r>
              <w:rPr>
                <w:rFonts w:asciiTheme="minorHAnsi" w:hAnsiTheme="minorHAnsi" w:cstheme="minorHAnsi"/>
                <w:sz w:val="14"/>
                <w:szCs w:val="14"/>
                <w:lang w:val="nl-NL"/>
              </w:rPr>
              <w:fldChar w:fldCharType="separate"/>
            </w:r>
            <w:r>
              <w:rPr>
                <w:rFonts w:asciiTheme="minorHAnsi" w:hAnsiTheme="minorHAnsi" w:cstheme="minorHAnsi"/>
                <w:noProof/>
                <w:sz w:val="14"/>
                <w:szCs w:val="14"/>
                <w:lang w:val="nl-NL"/>
              </w:rPr>
              <w:t>(Sivan et al. 2015)</w:t>
            </w:r>
            <w:r>
              <w:rPr>
                <w:rFonts w:asciiTheme="minorHAnsi" w:hAnsiTheme="minorHAnsi" w:cstheme="minorHAnsi"/>
                <w:sz w:val="14"/>
                <w:szCs w:val="14"/>
                <w:lang w:val="nl-NL"/>
              </w:rPr>
              <w:fldChar w:fldCharType="end"/>
            </w:r>
          </w:p>
        </w:tc>
      </w:tr>
      <w:tr w:rsidR="00585823" w:rsidRPr="00DB327F" w:rsidTr="0091404C">
        <w:trPr>
          <w:gridBefore w:val="1"/>
          <w:wBefore w:w="13" w:type="dxa"/>
          <w:trHeight w:val="462"/>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DB327F" w:rsidRDefault="00C37C4D" w:rsidP="00C37C4D">
            <w:pPr>
              <w:rPr>
                <w:rFonts w:asciiTheme="minorHAnsi" w:hAnsiTheme="minorHAnsi" w:cstheme="minorHAnsi"/>
                <w:sz w:val="14"/>
                <w:szCs w:val="14"/>
              </w:rPr>
            </w:pPr>
            <w:r w:rsidRPr="00DB327F">
              <w:rPr>
                <w:rFonts w:asciiTheme="minorHAnsi" w:hAnsiTheme="minorHAnsi" w:cstheme="minorHAnsi"/>
                <w:sz w:val="14"/>
                <w:szCs w:val="14"/>
              </w:rPr>
              <w:t xml:space="preserve">*MCA-205 </w:t>
            </w:r>
            <w:proofErr w:type="spellStart"/>
            <w:r w:rsidRPr="00DB327F">
              <w:rPr>
                <w:rFonts w:asciiTheme="minorHAnsi" w:hAnsiTheme="minorHAnsi" w:cstheme="minorHAnsi"/>
                <w:sz w:val="14"/>
                <w:szCs w:val="14"/>
              </w:rPr>
              <w:t>sarcoma</w:t>
            </w:r>
            <w:proofErr w:type="spellEnd"/>
          </w:p>
          <w:p w:rsidR="00C37C4D" w:rsidRPr="00DB327F" w:rsidRDefault="00C37C4D" w:rsidP="00C37C4D">
            <w:pPr>
              <w:rPr>
                <w:rFonts w:asciiTheme="minorHAnsi" w:hAnsiTheme="minorHAnsi" w:cstheme="minorHAnsi"/>
                <w:sz w:val="14"/>
                <w:szCs w:val="14"/>
              </w:rPr>
            </w:pPr>
            <w:r w:rsidRPr="00DB327F">
              <w:rPr>
                <w:rFonts w:asciiTheme="minorHAnsi" w:hAnsiTheme="minorHAnsi" w:cstheme="minorHAnsi"/>
                <w:sz w:val="14"/>
                <w:szCs w:val="14"/>
              </w:rPr>
              <w:t xml:space="preserve">*RET </w:t>
            </w:r>
            <w:proofErr w:type="spellStart"/>
            <w:r w:rsidRPr="00DB327F">
              <w:rPr>
                <w:rFonts w:asciiTheme="minorHAnsi" w:hAnsiTheme="minorHAnsi" w:cstheme="minorHAnsi"/>
                <w:sz w:val="14"/>
                <w:szCs w:val="14"/>
              </w:rPr>
              <w:t>melanoma</w:t>
            </w:r>
            <w:proofErr w:type="spellEnd"/>
          </w:p>
          <w:p w:rsidR="00C37C4D" w:rsidRPr="00DB327F" w:rsidRDefault="00C37C4D" w:rsidP="00C37C4D">
            <w:pPr>
              <w:rPr>
                <w:rFonts w:asciiTheme="minorHAnsi" w:hAnsiTheme="minorHAnsi" w:cstheme="minorHAnsi"/>
                <w:sz w:val="14"/>
                <w:szCs w:val="14"/>
              </w:rPr>
            </w:pPr>
            <w:r w:rsidRPr="00DB327F">
              <w:rPr>
                <w:rFonts w:asciiTheme="minorHAnsi" w:hAnsiTheme="minorHAnsi" w:cstheme="minorHAnsi"/>
                <w:sz w:val="14"/>
                <w:szCs w:val="14"/>
              </w:rPr>
              <w:t xml:space="preserve">*MC38 colon </w:t>
            </w:r>
            <w:proofErr w:type="spellStart"/>
            <w:r w:rsidRPr="00DB327F">
              <w:rPr>
                <w:rFonts w:asciiTheme="minorHAnsi" w:hAnsiTheme="minorHAnsi" w:cstheme="minorHAnsi"/>
                <w:sz w:val="14"/>
                <w:szCs w:val="14"/>
              </w:rPr>
              <w:t>carcinom</w:t>
            </w:r>
            <w:r w:rsidR="008B716E" w:rsidRPr="00DB327F">
              <w:rPr>
                <w:rFonts w:asciiTheme="minorHAnsi" w:hAnsiTheme="minorHAnsi" w:cstheme="minorHAnsi"/>
                <w:sz w:val="14"/>
                <w:szCs w:val="14"/>
              </w:rPr>
              <w:t>a</w:t>
            </w:r>
            <w:proofErr w:type="spellEnd"/>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GF or ATB and FMT from melanoma patients </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244861" w:rsidRDefault="00F31D8E" w:rsidP="00C37C4D">
            <w:pPr>
              <w:rPr>
                <w:rFonts w:asciiTheme="minorHAnsi" w:hAnsiTheme="minorHAnsi" w:cstheme="minorHAnsi"/>
                <w:sz w:val="14"/>
                <w:szCs w:val="14"/>
                <w:lang w:val="en-US"/>
              </w:rPr>
            </w:pPr>
            <w:r>
              <w:rPr>
                <w:rFonts w:asciiTheme="minorHAnsi" w:hAnsiTheme="minorHAnsi" w:cstheme="minorHAnsi"/>
                <w:sz w:val="14"/>
                <w:szCs w:val="14"/>
                <w:lang w:val="en-US"/>
              </w:rPr>
              <w:t>a</w:t>
            </w:r>
            <w:r w:rsidR="00DB327F">
              <w:rPr>
                <w:rFonts w:asciiTheme="minorHAnsi" w:hAnsiTheme="minorHAnsi" w:cstheme="minorHAnsi"/>
                <w:sz w:val="14"/>
                <w:szCs w:val="14"/>
                <w:lang w:val="en-US"/>
              </w:rPr>
              <w:t>nti-</w:t>
            </w:r>
            <w:r w:rsidR="00C37C4D" w:rsidRPr="00244861">
              <w:rPr>
                <w:rFonts w:asciiTheme="minorHAnsi" w:hAnsiTheme="minorHAnsi" w:cstheme="minorHAnsi"/>
                <w:sz w:val="14"/>
                <w:szCs w:val="14"/>
                <w:lang w:val="en-US"/>
              </w:rPr>
              <w:t>CTLA</w:t>
            </w:r>
            <w:r w:rsidR="00F72381">
              <w:rPr>
                <w:rFonts w:asciiTheme="minorHAnsi" w:hAnsiTheme="minorHAnsi" w:cstheme="minorHAnsi"/>
                <w:sz w:val="14"/>
                <w:szCs w:val="14"/>
                <w:lang w:val="en-US"/>
              </w:rPr>
              <w:t>-</w:t>
            </w:r>
            <w:r w:rsidR="00C37C4D" w:rsidRPr="00244861">
              <w:rPr>
                <w:rFonts w:asciiTheme="minorHAnsi" w:hAnsiTheme="minorHAnsi" w:cstheme="minorHAnsi"/>
                <w:sz w:val="14"/>
                <w:szCs w:val="14"/>
                <w:lang w:val="en-US"/>
              </w:rPr>
              <w:t xml:space="preserve">4 </w:t>
            </w:r>
            <w:proofErr w:type="spellStart"/>
            <w:r w:rsidR="00C37C4D" w:rsidRPr="00244861">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Bacteroidales</w:t>
            </w:r>
            <w:proofErr w:type="spellEnd"/>
            <w:r w:rsidRPr="00585823">
              <w:rPr>
                <w:rFonts w:asciiTheme="minorHAnsi" w:hAnsiTheme="minorHAnsi" w:cstheme="minorHAnsi"/>
                <w:sz w:val="14"/>
                <w:szCs w:val="14"/>
                <w:lang w:val="en-US"/>
              </w:rPr>
              <w:t xml:space="preserve"> or </w:t>
            </w:r>
            <w:proofErr w:type="spellStart"/>
            <w:r w:rsidRPr="00585823">
              <w:rPr>
                <w:rFonts w:asciiTheme="minorHAnsi" w:hAnsiTheme="minorHAnsi" w:cstheme="minorHAnsi"/>
                <w:sz w:val="14"/>
                <w:szCs w:val="14"/>
                <w:lang w:val="en-US"/>
              </w:rPr>
              <w:t>Burkholderiales</w:t>
            </w:r>
            <w:proofErr w:type="spellEnd"/>
            <w:r w:rsidRPr="00585823">
              <w:rPr>
                <w:rFonts w:asciiTheme="minorHAnsi" w:hAnsiTheme="minorHAnsi" w:cstheme="minorHAnsi"/>
                <w:i/>
                <w:sz w:val="14"/>
                <w:szCs w:val="14"/>
                <w:lang w:val="en-US"/>
              </w:rPr>
              <w:t xml:space="preserve"> </w:t>
            </w:r>
            <w:r w:rsidRPr="00585823">
              <w:rPr>
                <w:rFonts w:asciiTheme="minorHAnsi" w:hAnsiTheme="minorHAnsi" w:cstheme="minorHAnsi"/>
                <w:sz w:val="14"/>
                <w:szCs w:val="14"/>
                <w:lang w:val="en-US"/>
              </w:rPr>
              <w:t>order</w:t>
            </w:r>
            <w:r w:rsidRPr="00585823">
              <w:rPr>
                <w:rFonts w:asciiTheme="minorHAnsi" w:hAnsiTheme="minorHAnsi" w:cstheme="minorHAnsi"/>
                <w:i/>
                <w:sz w:val="14"/>
                <w:szCs w:val="14"/>
                <w:lang w:val="en-US"/>
              </w:rPr>
              <w:t xml:space="preserve"> </w:t>
            </w:r>
            <w:r w:rsidRPr="00585823">
              <w:rPr>
                <w:rFonts w:asciiTheme="minorHAnsi" w:hAnsiTheme="minorHAnsi" w:cstheme="minorHAnsi"/>
                <w:sz w:val="14"/>
                <w:szCs w:val="14"/>
                <w:lang w:val="en-US"/>
              </w:rPr>
              <w:t>(</w:t>
            </w:r>
            <w:r w:rsidRPr="00585823">
              <w:rPr>
                <w:rFonts w:asciiTheme="minorHAnsi" w:hAnsiTheme="minorHAnsi" w:cstheme="minorHAnsi"/>
                <w:i/>
                <w:sz w:val="14"/>
                <w:szCs w:val="14"/>
                <w:lang w:val="en-US"/>
              </w:rPr>
              <w:t xml:space="preserve">B. fragilis, </w:t>
            </w:r>
            <w:proofErr w:type="spellStart"/>
            <w:proofErr w:type="gramStart"/>
            <w:r w:rsidRPr="00585823">
              <w:rPr>
                <w:rFonts w:asciiTheme="minorHAnsi" w:hAnsiTheme="minorHAnsi" w:cstheme="minorHAnsi"/>
                <w:i/>
                <w:sz w:val="14"/>
                <w:szCs w:val="14"/>
                <w:lang w:val="en-US"/>
              </w:rPr>
              <w:t>B.thetaiotaiomicron</w:t>
            </w:r>
            <w:proofErr w:type="spellEnd"/>
            <w:proofErr w:type="gramEnd"/>
            <w:r w:rsidRPr="00585823">
              <w:rPr>
                <w:rFonts w:asciiTheme="minorHAnsi" w:hAnsiTheme="minorHAnsi" w:cstheme="minorHAnsi"/>
                <w:i/>
                <w:sz w:val="14"/>
                <w:szCs w:val="14"/>
                <w:lang w:val="en-US"/>
              </w:rPr>
              <w:t xml:space="preserve">) B. </w:t>
            </w:r>
            <w:proofErr w:type="spellStart"/>
            <w:r w:rsidRPr="00585823">
              <w:rPr>
                <w:rFonts w:asciiTheme="minorHAnsi" w:hAnsiTheme="minorHAnsi" w:cstheme="minorHAnsi"/>
                <w:i/>
                <w:sz w:val="14"/>
                <w:szCs w:val="14"/>
                <w:lang w:val="en-US"/>
              </w:rPr>
              <w:t>cepacia</w:t>
            </w:r>
            <w:proofErr w:type="spellEnd"/>
            <w:r w:rsidRPr="00585823">
              <w:rPr>
                <w:rFonts w:asciiTheme="minorHAnsi" w:hAnsiTheme="minorHAnsi" w:cstheme="minorHAnsi"/>
                <w:i/>
                <w:sz w:val="14"/>
                <w:szCs w:val="14"/>
                <w:lang w:val="en-US"/>
              </w:rPr>
              <w:t>)</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gavage with anti-CTLA-4 </w:t>
            </w:r>
            <w:proofErr w:type="spellStart"/>
            <w:r w:rsidRPr="00585823">
              <w:rPr>
                <w:rFonts w:asciiTheme="minorHAnsi" w:hAnsiTheme="minorHAnsi" w:cstheme="minorHAnsi"/>
                <w:sz w:val="14"/>
                <w:szCs w:val="14"/>
                <w:lang w:val="en-US"/>
              </w:rPr>
              <w:t>mAbs</w:t>
            </w:r>
            <w:proofErr w:type="spellEnd"/>
            <w:r w:rsidRPr="00585823">
              <w:rPr>
                <w:rFonts w:asciiTheme="minorHAnsi" w:hAnsiTheme="minorHAnsi" w:cstheme="minorHAnsi"/>
                <w:sz w:val="14"/>
                <w:szCs w:val="14"/>
                <w:lang w:val="en-US"/>
              </w:rPr>
              <w:t xml:space="preserve"> </w:t>
            </w:r>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Restoring therapeutic response to </w:t>
            </w:r>
            <w:r w:rsidR="00DB327F">
              <w:rPr>
                <w:rFonts w:asciiTheme="minorHAnsi" w:hAnsiTheme="minorHAnsi" w:cstheme="minorHAnsi"/>
                <w:sz w:val="14"/>
                <w:szCs w:val="14"/>
                <w:lang w:val="en-US"/>
              </w:rPr>
              <w:t>anti-</w:t>
            </w:r>
            <w:r w:rsidRPr="00585823">
              <w:rPr>
                <w:rFonts w:asciiTheme="minorHAnsi" w:hAnsiTheme="minorHAnsi" w:cstheme="minorHAnsi"/>
                <w:sz w:val="14"/>
                <w:szCs w:val="14"/>
                <w:lang w:val="en-US"/>
              </w:rPr>
              <w:t xml:space="preserve">CTLA-4 </w:t>
            </w:r>
            <w:proofErr w:type="spellStart"/>
            <w:r w:rsidRPr="00585823">
              <w:rPr>
                <w:rFonts w:asciiTheme="minorHAnsi" w:hAnsiTheme="minorHAnsi" w:cstheme="minorHAnsi"/>
                <w:sz w:val="14"/>
                <w:szCs w:val="14"/>
                <w:lang w:val="en-US"/>
              </w:rPr>
              <w:t>mAb</w:t>
            </w:r>
            <w:proofErr w:type="spellEnd"/>
            <w:r w:rsidRPr="00585823">
              <w:rPr>
                <w:rFonts w:asciiTheme="minorHAnsi" w:hAnsiTheme="minorHAnsi" w:cstheme="minorHAnsi"/>
                <w:sz w:val="14"/>
                <w:szCs w:val="14"/>
                <w:lang w:val="en-US"/>
              </w:rPr>
              <w:t xml:space="preserve"> in FMT- or ATB treated mice</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Maturation of tumor DC and induction of IL-12-dependent systemic TH1-immune responses </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244861"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pt-BR"/>
              </w:rPr>
              <w:fldChar w:fldCharType="begin"/>
            </w:r>
            <w:r>
              <w:rPr>
                <w:rFonts w:asciiTheme="minorHAnsi" w:hAnsiTheme="minorHAnsi" w:cstheme="minorHAnsi"/>
                <w:sz w:val="14"/>
                <w:szCs w:val="14"/>
                <w:lang w:val="pt-BR"/>
              </w:rPr>
              <w:instrText xml:space="preserve"> ADDIN ZOTERO_ITEM CSL_CITATION {"citationID":"EmFeyXED","properties":{"formattedCitation":"(V\\uc0\\u233{}tizou et al. 2015)","plainCitation":"(Vétizou et al. 2015)","noteIndex":0},"citationItems":[{"id":116,"uris":["http://zotero.org/users/2801898/items/AR2UVQKX"],"uri":["http://zotero.org/users/2801898/items/AR2UVQKX"],"itemData":{"id":116,"type":"article-journal","abstract":"Antibodies targeting CTLA-4 have been successfully used as cancer immunotherapy. We find that the antitumor effects of CTLA-4 blockade depend on distinct Bacteroides species. In mice and patients, T cell responses specific for B. thetaiotaomicron or B. fragilis were associated with the efficacy of CTLA-4 blockade. Tumors in antibiotic-treated or germ-free mice did not respond to CTLA blockade. This defect was overcome by gavage with B. fragilis, by immunization with B. fragilis polysaccharides, or by adoptive transfer of B. fragilis-specific T cells. Fecal microbial transplantation from humans to mice confirmed that treatment of melanoma patients with antibodies against CTLA-4 favored the outgrowth of B. fragilis with anticancer properties. This study reveals a key role for Bacteroidales in the immunostimulatory effects of CTLA-4 blockade.","container-title":"Science (New York, N.Y.)","DOI":"10.1126/science.aad1329","ISSN":"1095-9203","issue":"6264","journalAbbreviation":"Science","language":"eng","note":"PMID: 26541610\nPMCID: PMC4721659","page":"1079-1084","source":"PubMed","title":"Anticancer immunotherapy by CTLA-4 blockade relies on the gut microbiota","volume":"350","author":[{"family":"Vétizou","given":"Marie"},{"family":"Pitt","given":"Jonathan M."},{"family":"Daillère","given":"Romain"},{"family":"Lepage","given":"Patricia"},{"family":"Waldschmitt","given":"Nadine"},{"family":"Flament","given":"Caroline"},{"family":"Rusakiewicz","given":"Sylvie"},{"family":"Routy","given":"Bertrand"},{"family":"Roberti","given":"Maria P."},{"family":"Duong","given":"Connie P. M."},{"family":"Poirier-Colame","given":"Vichnou"},{"family":"Roux","given":"Antoine"},{"family":"Becharef","given":"Sonia"},{"family":"Formenti","given":"Silvia"},{"family":"Golden","given":"Encouse"},{"family":"Cording","given":"Sascha"},{"family":"Eberl","given":"Gerard"},{"family":"Schlitzer","given":"Andreas"},{"family":"Ginhoux","given":"Florent"},{"family":"Mani","given":"Sridhar"},{"family":"Yamazaki","given":"Takahiro"},{"family":"Jacquelot","given":"Nicolas"},{"family":"Enot","given":"David P."},{"family":"Bérard","given":"Marion"},{"family":"Nigou","given":"Jérôme"},{"family":"Opolon","given":"Paule"},{"family":"Eggermont","given":"Alexander"},{"family":"Woerther","given":"Paul-Louis"},{"family":"Chachaty","given":"Elisabeth"},{"family":"Chaput","given":"Nathalie"},{"family":"Robert","given":"Caroline"},{"family":"Mateus","given":"Christina"},{"family":"Kroemer","given":"Guido"},{"family":"Raoult","given":"Didier"},{"family":"Boneca","given":"Ivo Gomperts"},{"family":"Carbonnel","given":"Franck"},{"family":"Chamaillard","given":"Mathias"},{"family":"Zitvogel","given":"Laurence"}],"issued":{"date-parts":[["2015",11,27]]}}}],"schema":"https://github.com/citation-style-language/schema/raw/master/csl-citation.json"} </w:instrText>
            </w:r>
            <w:r>
              <w:rPr>
                <w:rFonts w:asciiTheme="minorHAnsi" w:hAnsiTheme="minorHAnsi" w:cstheme="minorHAnsi"/>
                <w:sz w:val="14"/>
                <w:szCs w:val="14"/>
                <w:lang w:val="pt-BR"/>
              </w:rPr>
              <w:fldChar w:fldCharType="separate"/>
            </w:r>
            <w:r w:rsidRPr="00244861">
              <w:rPr>
                <w:rFonts w:ascii="Calibri" w:hAnsiTheme="minorHAnsi" w:cs="Calibri"/>
                <w:sz w:val="14"/>
                <w:lang w:val="en-US"/>
              </w:rPr>
              <w:t>(Vétizou et al. 2015)</w:t>
            </w:r>
            <w:r>
              <w:rPr>
                <w:rFonts w:asciiTheme="minorHAnsi" w:hAnsiTheme="minorHAnsi" w:cstheme="minorHAnsi"/>
                <w:sz w:val="14"/>
                <w:szCs w:val="14"/>
                <w:lang w:val="pt-BR"/>
              </w:rPr>
              <w:fldChar w:fldCharType="end"/>
            </w:r>
          </w:p>
        </w:tc>
      </w:tr>
      <w:tr w:rsidR="008B716E" w:rsidRPr="00DB327F" w:rsidTr="0091404C">
        <w:trPr>
          <w:gridBefore w:val="1"/>
          <w:wBefore w:w="13" w:type="dxa"/>
          <w:trHeight w:val="462"/>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*MCA-205 sarcom</w:t>
            </w:r>
            <w:r w:rsidR="008B716E" w:rsidRPr="00244861">
              <w:rPr>
                <w:rFonts w:asciiTheme="minorHAnsi" w:hAnsiTheme="minorHAnsi" w:cstheme="minorHAnsi"/>
                <w:sz w:val="14"/>
                <w:szCs w:val="14"/>
                <w:lang w:val="en-US"/>
              </w:rPr>
              <w:t>a</w:t>
            </w:r>
          </w:p>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 xml:space="preserve">*MC38 MSI colon carcinoma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*CT26 MSS colon cancer </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GF recipient </w:t>
            </w:r>
            <w:r w:rsidRPr="00585823">
              <w:rPr>
                <w:rFonts w:asciiTheme="minorHAnsi" w:hAnsiTheme="minorHAnsi" w:cstheme="minorHAnsi"/>
                <w:sz w:val="14"/>
                <w:szCs w:val="14"/>
                <w:lang w:val="en-US"/>
              </w:rPr>
              <w:br/>
              <w:t>or ATB</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SPF or FMT from colon cancer patients</w:t>
            </w:r>
          </w:p>
          <w:p w:rsidR="00C37C4D" w:rsidRPr="00585823" w:rsidRDefault="00C37C4D" w:rsidP="00C37C4D">
            <w:pPr>
              <w:rPr>
                <w:rFonts w:asciiTheme="minorHAnsi" w:hAnsiTheme="minorHAnsi" w:cstheme="minorHAnsi"/>
                <w:sz w:val="14"/>
                <w:szCs w:val="14"/>
                <w:lang w:val="en-US"/>
              </w:rPr>
            </w:pP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Sequential oxaliplatin chemotherapy </w:t>
            </w:r>
            <w:r w:rsidRPr="00585823">
              <w:rPr>
                <w:rFonts w:asciiTheme="minorHAnsi" w:hAnsiTheme="minorHAnsi" w:cstheme="minorHAnsi"/>
                <w:sz w:val="14"/>
                <w:szCs w:val="14"/>
                <w:lang w:val="en-US"/>
              </w:rPr>
              <w:br/>
              <w:t>and a</w:t>
            </w:r>
            <w:r w:rsidR="00DB327F">
              <w:rPr>
                <w:rFonts w:asciiTheme="minorHAnsi" w:hAnsiTheme="minorHAnsi" w:cstheme="minorHAnsi"/>
                <w:sz w:val="14"/>
                <w:szCs w:val="14"/>
                <w:lang w:val="en-US"/>
              </w:rPr>
              <w:t>nti-</w:t>
            </w:r>
            <w:r w:rsidRPr="00585823">
              <w:rPr>
                <w:rFonts w:asciiTheme="minorHAnsi" w:hAnsiTheme="minorHAnsi" w:cstheme="minorHAnsi"/>
                <w:sz w:val="14"/>
                <w:szCs w:val="14"/>
                <w:lang w:val="en-US"/>
              </w:rPr>
              <w:t xml:space="preserve">PD-1 </w:t>
            </w:r>
            <w:proofErr w:type="spellStart"/>
            <w:r w:rsidRPr="00585823">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Erysipelatotrichaceae</w:t>
            </w:r>
            <w:proofErr w:type="spellEnd"/>
          </w:p>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Bacteroidaceae</w:t>
            </w:r>
            <w:proofErr w:type="spellEnd"/>
            <w:r w:rsidRPr="00585823">
              <w:rPr>
                <w:rFonts w:asciiTheme="minorHAnsi" w:hAnsiTheme="minorHAnsi" w:cstheme="minorHAnsi"/>
                <w:sz w:val="14"/>
                <w:szCs w:val="14"/>
                <w:lang w:val="en-US"/>
              </w:rPr>
              <w:t xml:space="preserve"> </w:t>
            </w:r>
            <w:proofErr w:type="spellStart"/>
            <w:r w:rsidRPr="00585823">
              <w:rPr>
                <w:rFonts w:asciiTheme="minorHAnsi" w:hAnsiTheme="minorHAnsi" w:cstheme="minorHAnsi"/>
                <w:sz w:val="14"/>
                <w:szCs w:val="14"/>
                <w:lang w:val="en-US"/>
              </w:rPr>
              <w:t>Fusobacteriaceae</w:t>
            </w:r>
            <w:proofErr w:type="spellEnd"/>
          </w:p>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Prevotellaceae</w:t>
            </w:r>
            <w:proofErr w:type="spellEnd"/>
          </w:p>
          <w:p w:rsidR="00C37C4D" w:rsidRPr="00585823" w:rsidRDefault="00C37C4D" w:rsidP="00C37C4D">
            <w:pPr>
              <w:rPr>
                <w:rFonts w:asciiTheme="minorHAnsi" w:hAnsiTheme="minorHAnsi" w:cstheme="minorHAnsi"/>
                <w:i/>
                <w:sz w:val="14"/>
                <w:szCs w:val="14"/>
                <w:lang w:val="en-US"/>
              </w:rPr>
            </w:pPr>
            <w:r w:rsidRPr="00585823">
              <w:rPr>
                <w:rFonts w:asciiTheme="minorHAnsi" w:hAnsiTheme="minorHAnsi" w:cstheme="minorHAnsi"/>
                <w:sz w:val="14"/>
                <w:szCs w:val="14"/>
                <w:lang w:val="en-US"/>
              </w:rPr>
              <w:t>family members. (</w:t>
            </w:r>
            <w:r w:rsidRPr="00585823">
              <w:rPr>
                <w:rFonts w:asciiTheme="minorHAnsi" w:hAnsiTheme="minorHAnsi" w:cstheme="minorHAnsi"/>
                <w:i/>
                <w:sz w:val="14"/>
                <w:szCs w:val="14"/>
                <w:lang w:val="en-US"/>
              </w:rPr>
              <w:t xml:space="preserve">B. fragilis, </w:t>
            </w:r>
            <w:proofErr w:type="spellStart"/>
            <w:proofErr w:type="gramStart"/>
            <w:r w:rsidRPr="00585823">
              <w:rPr>
                <w:rFonts w:asciiTheme="minorHAnsi" w:hAnsiTheme="minorHAnsi" w:cstheme="minorHAnsi"/>
                <w:i/>
                <w:sz w:val="14"/>
                <w:szCs w:val="14"/>
                <w:lang w:val="en-US"/>
              </w:rPr>
              <w:t>E.ramosum</w:t>
            </w:r>
            <w:proofErr w:type="spellEnd"/>
            <w:proofErr w:type="gramEnd"/>
            <w:r w:rsidRPr="00585823">
              <w:rPr>
                <w:rFonts w:asciiTheme="minorHAnsi" w:hAnsiTheme="minorHAnsi" w:cstheme="minorHAnsi"/>
                <w:i/>
                <w:sz w:val="14"/>
                <w:szCs w:val="14"/>
                <w:lang w:val="en-US"/>
              </w:rPr>
              <w:t>,</w:t>
            </w:r>
          </w:p>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i/>
                <w:sz w:val="14"/>
                <w:szCs w:val="14"/>
                <w:lang w:val="en-US"/>
              </w:rPr>
              <w:t xml:space="preserve">P. </w:t>
            </w:r>
            <w:proofErr w:type="spellStart"/>
            <w:proofErr w:type="gramStart"/>
            <w:r w:rsidRPr="00244861">
              <w:rPr>
                <w:rFonts w:asciiTheme="minorHAnsi" w:hAnsiTheme="minorHAnsi" w:cstheme="minorHAnsi"/>
                <w:i/>
                <w:sz w:val="14"/>
                <w:szCs w:val="14"/>
                <w:lang w:val="en-US"/>
              </w:rPr>
              <w:t>clara</w:t>
            </w:r>
            <w:proofErr w:type="spellEnd"/>
            <w:r w:rsidRPr="00244861">
              <w:rPr>
                <w:rFonts w:asciiTheme="minorHAnsi" w:hAnsiTheme="minorHAnsi" w:cstheme="minorHAnsi"/>
                <w:i/>
                <w:sz w:val="14"/>
                <w:szCs w:val="14"/>
                <w:lang w:val="en-US"/>
              </w:rPr>
              <w:t>,  F.</w:t>
            </w:r>
            <w:proofErr w:type="gramEnd"/>
            <w:r w:rsidRPr="00244861">
              <w:rPr>
                <w:rFonts w:asciiTheme="minorHAnsi" w:hAnsiTheme="minorHAnsi" w:cstheme="minorHAnsi"/>
                <w:i/>
                <w:sz w:val="14"/>
                <w:szCs w:val="14"/>
                <w:lang w:val="en-US"/>
              </w:rPr>
              <w:t xml:space="preserve"> </w:t>
            </w:r>
            <w:proofErr w:type="spellStart"/>
            <w:r w:rsidRPr="00244861">
              <w:rPr>
                <w:rFonts w:asciiTheme="minorHAnsi" w:hAnsiTheme="minorHAnsi" w:cstheme="minorHAnsi"/>
                <w:i/>
                <w:sz w:val="14"/>
                <w:szCs w:val="14"/>
                <w:lang w:val="en-US"/>
              </w:rPr>
              <w:t>nucleatum</w:t>
            </w:r>
            <w:proofErr w:type="spellEnd"/>
            <w:r w:rsidRPr="00244861">
              <w:rPr>
                <w:rFonts w:asciiTheme="minorHAnsi" w:hAnsiTheme="minorHAnsi" w:cstheme="minorHAnsi"/>
                <w:sz w:val="14"/>
                <w:szCs w:val="14"/>
                <w:lang w:val="en-US"/>
              </w:rPr>
              <w:t>)</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Combinations of ileal commensals+oxaliplatinum-anti-PD1 </w:t>
            </w:r>
            <w:proofErr w:type="spellStart"/>
            <w:r w:rsidRPr="00585823">
              <w:rPr>
                <w:rFonts w:asciiTheme="minorHAnsi" w:hAnsiTheme="minorHAnsi" w:cstheme="minorHAnsi"/>
                <w:sz w:val="14"/>
                <w:szCs w:val="14"/>
                <w:lang w:val="en-US"/>
              </w:rPr>
              <w:t>mAbs</w:t>
            </w:r>
            <w:proofErr w:type="spellEnd"/>
            <w:r w:rsidRPr="00585823">
              <w:rPr>
                <w:rFonts w:asciiTheme="minorHAnsi" w:hAnsiTheme="minorHAnsi" w:cstheme="minorHAnsi"/>
                <w:sz w:val="14"/>
                <w:szCs w:val="14"/>
                <w:lang w:val="en-US"/>
              </w:rPr>
              <w:t xml:space="preserve"> in MSS colon cancers</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Synergistic effects of OXA+a</w:t>
            </w:r>
            <w:r w:rsidR="00DB327F">
              <w:rPr>
                <w:rFonts w:asciiTheme="minorHAnsi" w:hAnsiTheme="minorHAnsi" w:cstheme="minorHAnsi"/>
                <w:sz w:val="14"/>
                <w:szCs w:val="14"/>
                <w:lang w:val="en-US"/>
              </w:rPr>
              <w:t>nti-</w:t>
            </w:r>
            <w:r w:rsidRPr="00585823">
              <w:rPr>
                <w:rFonts w:asciiTheme="minorHAnsi" w:hAnsiTheme="minorHAnsi" w:cstheme="minorHAnsi"/>
                <w:sz w:val="14"/>
                <w:szCs w:val="14"/>
                <w:lang w:val="en-US"/>
              </w:rPr>
              <w:t xml:space="preserve">PD1 in the presence of immunogenic ileal commensals </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Ileal apoptosis+ ileal immunogenic bacteria induce IL-1</w:t>
            </w:r>
            <w:r w:rsidRPr="00585823">
              <w:rPr>
                <w:rFonts w:asciiTheme="minorHAnsi" w:hAnsiTheme="minorHAnsi" w:cstheme="minorHAnsi"/>
                <w:sz w:val="14"/>
                <w:szCs w:val="14"/>
              </w:rPr>
              <w:t>β</w:t>
            </w:r>
            <w:r w:rsidRPr="00585823">
              <w:rPr>
                <w:rFonts w:asciiTheme="minorHAnsi" w:hAnsiTheme="minorHAnsi" w:cstheme="minorHAnsi"/>
                <w:sz w:val="14"/>
                <w:szCs w:val="14"/>
                <w:lang w:val="en-US"/>
              </w:rPr>
              <w:t xml:space="preserve"> and IL-12 DC release and elicitation of B cells, IgG2b serum levels and TFH immunity associated with tumor regression.</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it-IT"/>
              </w:rPr>
              <w:fldChar w:fldCharType="begin"/>
            </w:r>
            <w:r>
              <w:rPr>
                <w:rFonts w:asciiTheme="minorHAnsi" w:hAnsiTheme="minorHAnsi" w:cstheme="minorHAnsi"/>
                <w:sz w:val="14"/>
                <w:szCs w:val="14"/>
                <w:lang w:val="it-IT"/>
              </w:rPr>
              <w:instrText xml:space="preserve"> ADDIN ZOTERO_ITEM CSL_CITATION {"citationID":"ojNq4zxa","properties":{"formattedCitation":"(Roberti et al. 2020; Picard et al. 2020)","plainCitation":"(Roberti et al. 2020; Picard et al. 2020)","noteIndex":0},"citationItems":[{"id":3076,"uris":["http://zotero.org/users/2801898/items/4UY9HHXC"],"uri":["http://zotero.org/users/2801898/items/4UY9HHXC"],"itemData":{"id":3076,"type":"article-journal","abstract":"The prognosis of colon cancer (CC) is dictated by tumor-infiltrating lymphocytes, including follicular helper T (TFH) cells and the efficacy of chemotherapy-induced immune responses. It remains unclear whether gut microbes contribute to the elicitation of TFH cell-driven responses. Here, we show that the ileal microbiota dictates tolerogenic versus immunogenic cell death of ileal intestinal epithelial cells (IECs) and the accumulation of TFH cells in patients with CC and mice. Suppression of IEC apoptosis led to compromised chemotherapy-induced immunosurveillance against CC in mice. Protective immune responses against CC were associated with residence of Bacteroides fragilis and Erysipelotrichaceae in the ileum. In the presence of these commensals, apoptotic ileal IECs elicited PD-1+ TFH cells in an interleukin-1R1- and interleukin-12-dependent manner. The ileal microbiome governed the efficacy of chemotherapy and PD-1 blockade in CC independently of microsatellite instability. These findings demonstrate that immunogenic ileal apoptosis contributes to the prognosis of chemotherapy-treated CC.","container-title":"Nature Medicine","DOI":"10.1038/s41591-020-0882-8","ISSN":"1546-170X","issue":"6","journalAbbreviation":"Nat Med","language":"eng","note":"PMID: 32451498","page":"919-931","source":"PubMed","title":"Chemotherapy-induced ileal crypt apoptosis and the ileal microbiome shape immunosurveillance and prognosis of proximal colon cancer","volume":"26","author":[{"family":"Roberti","given":"Maria Paula"},{"family":"Yonekura","given":"Satoru"},{"family":"Duong","given":"Connie P. M."},{"family":"Picard","given":"Marion"},{"family":"Ferrere","given":"Gladys"},{"family":"Tidjani Alou","given":"Maryam"},{"family":"Rauber","given":"Conrad"},{"family":"Iebba","given":"Valerio"},{"family":"Lehmann","given":"Christian H. K."},{"family":"Amon","given":"Lukas"},{"family":"Dudziak","given":"Diana"},{"family":"Derosa","given":"Lisa"},{"family":"Routy","given":"Bertrand"},{"family":"Flament","given":"Caroline"},{"family":"Richard","given":"Corentin"},{"family":"Daillère","given":"Romain"},{"family":"Fluckiger","given":"Aurélie"},{"family":"Van Seuningen","given":"Isabelle"},{"family":"Chamaillard","given":"Mathias"},{"family":"Vincent","given":"Audrey"},{"family":"Kourula","given":"Stephanie"},{"family":"Opolon","given":"Paule"},{"family":"Ly","given":"Pierre"},{"family":"Pizzato","given":"Eugénie"},{"family":"Becharef","given":"Sonia"},{"family":"Paillet","given":"Juliette"},{"family":"Klein","given":"Christophe"},{"family":"Marliot","given":"Florence"},{"family":"Pietrantonio","given":"Filippo"},{"family":"Benoist","given":"Stéphane"},{"family":"Scoazec","given":"Jean-Yves"},{"family":"Dartigues","given":"Peggy"},{"family":"Hollebecque","given":"Antoine"},{"family":"Malka","given":"David"},{"family":"Pagès","given":"Franck"},{"family":"Galon","given":"Jérôme"},{"family":"Gomperts Boneca","given":"Ivo"},{"family":"Lepage","given":"Patricia"},{"family":"Ryffel","given":"Bernard"},{"family":"Raoult","given":"Didier"},{"family":"Eggermont","given":"Alexander"},{"family":"Vanden Berghe","given":"Tom"},{"family":"Ghiringhelli","given":"François"},{"family":"Vandenabeele","given":"Peter"},{"family":"Kroemer","given":"Guido"},{"family":"Zitvogel","given":"Laurence"}],"issued":{"date-parts":[["2020",6]]}}},{"id":3078,"uris":["http://zotero.org/users/2801898/items/L6RZLDWG"],"uri":["http://zotero.org/users/2801898/items/L6RZLDWG"],"itemData":{"id":3078,"type":"article-journal","abstract":"Ileal epithelial cell apoptosis and the local microbiota modulate the effects of oxaliplatin against proximal colon cancer by modulating tumor immunosurveillance. Here, we identified an ileal immune profile associated with the prognosis of colon cancer and responses to chemotherapy. The whole immune ileal transcriptome was upregulated in poor-prognosis patients with proximal colon cancer, while the colonic immunity of healthy and neoplastic areas was downregulated (except for the Th17 fingerprint) in such patients. Similar observations were made across experimental models of implanted and spontaneous murine colon cancer, showing a relationship between carcinogenesis and ileal inflammation. Conversely, oxaliplatin-based chemotherapy could restore a favorable, attenuated ileal immune fingerprint in responders. These results suggest that chemotherapy inversely shapes the immune profile of the ileum-tumor axis, influencing clinical outcome.","container-title":"Cell Death and Differentiation","DOI":"10.1038/s41418-020-00684-w","ISSN":"1476-5403","journalAbbreviation":"Cell Death Differ","language":"eng","note":"PMID: 33262469","source":"PubMed","title":"Ileal immune tonus is a prognosis marker of proximal colon cancer in mice and patients","author":[{"family":"Picard","given":"Marion"},{"family":"Yonekura","given":"Satoru"},{"family":"Slowicka","given":"Karolina"},{"family":"Petta","given":"Ioanna"},{"family":"Rauber","given":"Conrad"},{"family":"Routy","given":"Bertrand"},{"family":"Richard","given":"Corentin"},{"family":"Iebba","given":"Valerio"},{"family":"Tidjani Alou","given":"Maryam"},{"family":"Becharef","given":"Sonia"},{"family":"Ly","given":"Pierre"},{"family":"Pizzato","given":"Eugenie"},{"family":"Lehmann","given":"Christian H. K."},{"family":"Amon","given":"Lukas"},{"family":"Klein","given":"Christophe"},{"family":"Opolon","given":"Paule"},{"family":"Gomperts Boneca","given":"Ivo"},{"family":"Scoazec","given":"Jean-Yves"},{"family":"Hollebecque","given":"Antoine"},{"family":"Malka","given":"David"},{"family":"Ghiringhelli","given":"François"},{"family":"Dudziak","given":"Diana"},{"family":"Berx","given":"Geert"},{"family":"Vereecke","given":"Lars"},{"family":"Loo","given":"Geert","non-dropping-particle":"van"},{"family":"Kroemer","given":"Guido"},{"family":"Zitvogel","given":"Laurence"},{"family":"Roberti","given":"Maria Paula"}],"issued":{"date-parts":[["2020",12,1]]}}}],"schema":"https://github.com/citation-style-language/schema/raw/master/csl-citation.json"} </w:instrText>
            </w:r>
            <w:r>
              <w:rPr>
                <w:rFonts w:asciiTheme="minorHAnsi" w:hAnsiTheme="minorHAnsi" w:cstheme="minorHAnsi"/>
                <w:sz w:val="14"/>
                <w:szCs w:val="14"/>
                <w:lang w:val="it-IT"/>
              </w:rPr>
              <w:fldChar w:fldCharType="separate"/>
            </w:r>
            <w:r>
              <w:rPr>
                <w:rFonts w:asciiTheme="minorHAnsi" w:hAnsiTheme="minorHAnsi" w:cstheme="minorHAnsi"/>
                <w:noProof/>
                <w:sz w:val="14"/>
                <w:szCs w:val="14"/>
                <w:lang w:val="it-IT"/>
              </w:rPr>
              <w:t>(Roberti et al. 2020; Picard et al. 2020)</w:t>
            </w:r>
            <w:r>
              <w:rPr>
                <w:rFonts w:asciiTheme="minorHAnsi" w:hAnsiTheme="minorHAnsi" w:cstheme="minorHAnsi"/>
                <w:sz w:val="14"/>
                <w:szCs w:val="14"/>
                <w:lang w:val="it-IT"/>
              </w:rPr>
              <w:fldChar w:fldCharType="end"/>
            </w:r>
            <w:r w:rsidR="00C37C4D" w:rsidRPr="00585823">
              <w:rPr>
                <w:rFonts w:asciiTheme="minorHAnsi" w:hAnsiTheme="minorHAnsi" w:cstheme="minorHAnsi"/>
                <w:sz w:val="14"/>
                <w:szCs w:val="14"/>
                <w:highlight w:val="yellow"/>
                <w:lang w:val="en-US"/>
              </w:rPr>
              <w:t xml:space="preserve"> </w:t>
            </w:r>
          </w:p>
        </w:tc>
      </w:tr>
      <w:tr w:rsidR="00585823" w:rsidRPr="00DB327F" w:rsidTr="0091404C">
        <w:trPr>
          <w:gridBefore w:val="1"/>
          <w:wBefore w:w="13" w:type="dxa"/>
          <w:trHeight w:val="462"/>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*BP melanoma</w:t>
            </w:r>
          </w:p>
          <w:p w:rsidR="00C37C4D" w:rsidRPr="00585823" w:rsidRDefault="00C37C4D" w:rsidP="00C37C4D">
            <w:pPr>
              <w:rPr>
                <w:rFonts w:asciiTheme="minorHAnsi" w:hAnsiTheme="minorHAnsi" w:cstheme="minorHAnsi"/>
                <w:sz w:val="14"/>
                <w:szCs w:val="14"/>
                <w:lang w:val="en-US"/>
              </w:rPr>
            </w:pP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FMT from R and NR melanoma patients</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F31D8E" w:rsidP="00C37C4D">
            <w:pPr>
              <w:rPr>
                <w:rFonts w:asciiTheme="minorHAnsi" w:hAnsiTheme="minorHAnsi" w:cstheme="minorHAnsi"/>
                <w:sz w:val="14"/>
                <w:szCs w:val="14"/>
                <w:lang w:val="en-US"/>
              </w:rPr>
            </w:pPr>
            <w:r>
              <w:rPr>
                <w:rFonts w:asciiTheme="minorHAnsi" w:hAnsiTheme="minorHAnsi" w:cstheme="minorHAnsi"/>
                <w:sz w:val="14"/>
                <w:szCs w:val="14"/>
                <w:lang w:val="en-US"/>
              </w:rPr>
              <w:t>a</w:t>
            </w:r>
            <w:r w:rsidR="00C37C4D" w:rsidRPr="00585823">
              <w:rPr>
                <w:rFonts w:asciiTheme="minorHAnsi" w:hAnsiTheme="minorHAnsi" w:cstheme="minorHAnsi"/>
                <w:sz w:val="14"/>
                <w:szCs w:val="14"/>
                <w:lang w:val="en-US"/>
              </w:rPr>
              <w:t xml:space="preserve">nti-PD1 </w:t>
            </w:r>
            <w:proofErr w:type="spellStart"/>
            <w:r w:rsidR="00C37C4D" w:rsidRPr="00585823">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Oral gavages of hosts with FMT from melanoma patients</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w:t>
            </w:r>
            <w:r w:rsidRPr="00585823">
              <w:rPr>
                <w:rFonts w:asciiTheme="minorHAnsi" w:hAnsiTheme="minorHAnsi" w:cstheme="minorHAnsi"/>
                <w:i/>
                <w:sz w:val="14"/>
                <w:szCs w:val="14"/>
                <w:lang w:val="en-US"/>
              </w:rPr>
              <w:t xml:space="preserve">None </w:t>
            </w:r>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Increased responsiveness to anti-PD1 </w:t>
            </w:r>
            <w:proofErr w:type="spellStart"/>
            <w:r w:rsidRPr="00585823">
              <w:rPr>
                <w:rFonts w:asciiTheme="minorHAnsi" w:hAnsiTheme="minorHAnsi" w:cstheme="minorHAnsi"/>
                <w:sz w:val="14"/>
                <w:szCs w:val="14"/>
                <w:lang w:val="en-US"/>
              </w:rPr>
              <w:t>mAbs</w:t>
            </w:r>
            <w:proofErr w:type="spellEnd"/>
            <w:r w:rsidRPr="00585823">
              <w:rPr>
                <w:rFonts w:asciiTheme="minorHAnsi" w:hAnsiTheme="minorHAnsi" w:cstheme="minorHAnsi"/>
                <w:sz w:val="14"/>
                <w:szCs w:val="14"/>
                <w:lang w:val="en-US"/>
              </w:rPr>
              <w:t xml:space="preserve"> </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Immune changes in gut, spleen and TME: increased of TH1 and decrease of TH17 </w:t>
            </w:r>
            <w:r w:rsidR="00244861" w:rsidRPr="00585823">
              <w:rPr>
                <w:rFonts w:asciiTheme="minorHAnsi" w:hAnsiTheme="minorHAnsi" w:cstheme="minorHAnsi"/>
                <w:sz w:val="14"/>
                <w:szCs w:val="14"/>
                <w:lang w:val="en-US"/>
              </w:rPr>
              <w:t>TILs in</w:t>
            </w:r>
            <w:r w:rsidRPr="00585823">
              <w:rPr>
                <w:rFonts w:asciiTheme="minorHAnsi" w:hAnsiTheme="minorHAnsi" w:cstheme="minorHAnsi"/>
                <w:sz w:val="14"/>
                <w:szCs w:val="14"/>
                <w:lang w:val="en-US"/>
              </w:rPr>
              <w:t xml:space="preserve"> TME, </w:t>
            </w:r>
            <w:r w:rsidRPr="00585823">
              <w:rPr>
                <w:rFonts w:asciiTheme="minorHAnsi" w:hAnsiTheme="minorHAnsi" w:cstheme="minorHAnsi"/>
                <w:sz w:val="14"/>
                <w:szCs w:val="14"/>
                <w:lang w:val="en-US"/>
              </w:rPr>
              <w:lastRenderedPageBreak/>
              <w:t xml:space="preserve">ascribed to enrichment in </w:t>
            </w:r>
            <w:proofErr w:type="spellStart"/>
            <w:r w:rsidRPr="00585823">
              <w:rPr>
                <w:rFonts w:asciiTheme="minorHAnsi" w:hAnsiTheme="minorHAnsi" w:cstheme="minorHAnsi"/>
                <w:i/>
                <w:sz w:val="14"/>
                <w:szCs w:val="14"/>
                <w:lang w:val="en-US"/>
              </w:rPr>
              <w:t>Faecalibacterium</w:t>
            </w:r>
            <w:proofErr w:type="spellEnd"/>
            <w:r w:rsidRPr="00585823">
              <w:rPr>
                <w:rFonts w:asciiTheme="minorHAnsi" w:hAnsiTheme="minorHAnsi" w:cstheme="minorHAnsi"/>
                <w:sz w:val="14"/>
                <w:szCs w:val="14"/>
                <w:lang w:val="en-US"/>
              </w:rPr>
              <w:t xml:space="preserve"> spp.</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tcPr>
          <w:p w:rsidR="00C37C4D" w:rsidRPr="00244861" w:rsidRDefault="00244861" w:rsidP="00C37C4D">
            <w:pPr>
              <w:rPr>
                <w:rFonts w:asciiTheme="minorHAnsi" w:hAnsiTheme="minorHAnsi" w:cstheme="minorHAnsi"/>
                <w:sz w:val="14"/>
                <w:szCs w:val="14"/>
                <w:lang w:val="en-US"/>
              </w:rPr>
            </w:pPr>
            <w:r>
              <w:rPr>
                <w:rStyle w:val="citation-part"/>
                <w:rFonts w:asciiTheme="minorHAnsi" w:hAnsiTheme="minorHAnsi" w:cstheme="minorHAnsi"/>
                <w:sz w:val="14"/>
                <w:szCs w:val="14"/>
                <w:lang w:val="en-US"/>
              </w:rPr>
              <w:lastRenderedPageBreak/>
              <w:fldChar w:fldCharType="begin"/>
            </w:r>
            <w:r>
              <w:rPr>
                <w:rStyle w:val="citation-part"/>
                <w:rFonts w:asciiTheme="minorHAnsi" w:hAnsiTheme="minorHAnsi" w:cstheme="minorHAnsi"/>
                <w:sz w:val="14"/>
                <w:szCs w:val="14"/>
                <w:lang w:val="en-US"/>
              </w:rPr>
              <w:instrText xml:space="preserve"> ADDIN ZOTERO_ITEM CSL_CITATION {"citationID":"6KwlVbjc","properties":{"formattedCitation":"(Gopalakrishnan et al. 2018; Rutkowski et al. 2015)","plainCitation":"(Gopalakrishnan et al. 2018; Rutkowski et al. 2015)","noteIndex":0},"citationItems":[{"id":462,"uris":["http://zotero.org/users/2801898/items/ZYV5YQNZ"],"uri":["http://zotero.org/users/2801898/items/ZYV5YQNZ"],"itemData":{"id":462,"type":"article-journal","abstract":"Preclinical mouse models suggest that the gut microbiome modulates tumor response to checkpoint blockade immunotherapy; however, this has not been well-characterized in human cancer patients. Here we examined the oral and gut microbiome of melanoma patients undergoing anti-programmed cell death 1 protein (PD-1) immunotherapy (n = 112). Significant differences were observed in the diversity and composition of the patient gut microbiome of responders versus nonresponders. Analysis of patient fecal microbiome samples (n = 43, 30 responders, 13 nonresponders) showed significantly higher alpha diversity (P &lt; 0.01) and relative abundance of bacteria of the Ruminococcaceae family (P &lt; 0.01) in responding patients. Metagenomic studies revealed functional differences in gut bacteria in responders, including enrichment of anabolic pathways. Immune profiling suggested enhanced systemic and antitumor immunity in responding patients with a favorable gut microbiome as well as in germ-free mice receiving fecal transplants from responding patients. Together, these data have important implications for the treatment of melanoma patients with immune checkpoint inhibitors.","container-title":"Science (New York, N.Y.)","DOI":"10.1126/science.aan4236","ISSN":"1095-9203","issue":"6371","journalAbbreviation":"Science","language":"eng","note":"PMID: 29097493","page":"97-103","source":"PubMed","title":"Gut microbiome modulates response to anti-PD-1 immunotherapy in melanoma patients","volume":"359","author":[{"family":"Gopalakrishnan","given":"V."},{"family":"Spencer","given":"C. N."},{"family":"Nezi","given":"L."},{"family":"Reuben","given":"A."},{"family":"Andrews","given":"M. C."},{"family":"Karpinets","given":"T. V."},{"family":"Prieto","given":"P. A."},{"family":"Vicente","given":"D."},{"family":"Hoffman","given":"K."},{"family":"Wei","given":"S. C."},{"family":"Cogdill","given":"A. P."},{"family":"Zhao","given":"L."},{"family":"Hudgens","given":"C. W."},{"family":"Hutchinson","given":"D. S."},{"family":"Manzo","given":"T."},{"family":"Petaccia de Macedo","given":"M."},{"family":"Cotechini","given":"T."},{"family":"Kumar","given":"T."},{"family":"Chen","given":"W. S."},{"family":"Reddy","given":"S. M."},{"family":"Szczepaniak Sloane","given":"R."},{"family":"Galloway-Pena","given":"J."},{"family":"Jiang","given":"H."},{"family":"Chen","given":"P. L."},{"family":"Shpall","given":"E. J."},{"family":"Rezvani","given":"K."},{"family":"Alousi","given":"A. M."},{"family":"Chemaly","given":"R. F."},{"family":"Shelburne","given":"S."},{"family":"Vence","given":"L. M."},{"family":"Okhuysen","given":"P. C."},{"family":"Jensen","given":"V. B."},{"family":"Swennes","given":"A. G."},{"family":"McAllister","given":"F."},{"family":"Marcelo Riquelme Sanchez","given":"E."},{"family":"Zhang","given":"Y."},{"family":"Le Chatelier","given":"E."},{"family":"Zitvogel","given":"L."},{"family":"Pons","given":"N."},{"family":"Austin-Breneman","given":"J. L."},{"family":"Haydu","given":"L. E."},{"family":"Burton","given":"E. M."},{"family":"Gardner","given":"J. M."},{"family":"Sirmans","given":"E."},{"family":"Hu","given":"J."},{"family":"Lazar","given":"A. J."},{"family":"Tsujikawa","given":"T."},{"family":"Diab","given":"A."},{"family":"Tawbi","given":"H."},{"family":"Glitza","given":"I. C."},{"family":"Hwu","given":"W. J."},{"family":"Patel","given":"S. P."},{"family":"Woodman","given":"S. E."},{"family":"Amaria","given":"R. N."},{"family":"Davies","given":"M. A."},{"family":"Gershenwald","given":"J. E."},{"family":"Hwu","given":"P."},{"family":"Lee","given":"J. E."},{"family":"Zhang","given":"J."},{"family":"Coussens","given":"L. M."},{"family":"Cooper","given":"Z. A."},{"family":"Futreal","given":"P. A."},{"family":"Daniel","given":"C. R."},{"family":"Ajami","given":"N. J."},{"family":"Petrosino","given":"J. F."},{"family":"Tetzlaff","given":"M. T."},{"family":"Sharma","given":"P."},{"family":"Allison","given":"J. P."},{"family":"Jenq","given":"R. R."},{"family":"Wargo","given":"J. A."}],"issued":{"date-parts":[["2018"]],"season":"05"}}},{"id":3060,"uris":["http://zotero.org/users/2801898/items/HF236SW9"],"uri":["http://zotero.org/users/2801898/items/HF236SW9"],"itemData":{"id":3060,"type":"article-journal","abstract":"The dominant TLR5(R392X) polymorphism abrogates flagellin responses in &gt;7% of humans. We report that TLR5-dependent commensal bacteria drive malignant progression at extramucosal locations by increasing systemic IL-6, which drives mobilization of myeloid-derived suppressor cells (MDSCs). Mechanistically, expanded granulocytic MDSCs cause γδ lymphocytes in TLR5-responsive tumors to secrete galectin-1, dampening antitumor immunity and accelerating malignant progression. In contrast, IL-17 is consistently upregulated in TLR5-unresponsive tumor-bearing mice but only accelerates malignant progression in IL-6-unresponsive tumors. Importantly, depletion of commensal bacteria abrogates TLR5-dependent differences in tumor growth. Contrasting differences in inflammatory cytokines and malignant evolution are recapitulated in TLR5-responsive/unresponsive ovarian and breast cancer patients. Therefore, inflammation, antitumor immunity, and the clinical outcome of cancer patients are influenced by a common TLR5 polymorphism.","container-title":"Cancer Cell","DOI":"10.1016/j.ccell.2014.11.009","ISSN":"1878-3686","issue":"1","journalAbbreviation":"Cancer Cell","language":"eng","note":"PMID: 25533336\nPMCID: PMC4293269","page":"27-40","source":"PubMed","title":"Microbially driven TLR5-dependent signaling governs distal malignant progression through tumor-promoting inflammation","volume":"27","author":[{"family":"Rutkowski","given":"Melanie R."},{"family":"Stephen","given":"Tom L."},{"family":"Svoronos","given":"Nikolaos"},{"family":"Allegrezza","given":"Michael J."},{"family":"Tesone","given":"Amelia J."},{"family":"Perales-Puchalt","given":"Alfredo"},{"family":"Brencicova","given":"Eva"},{"family":"Escovar-Fadul","given":"Ximena"},{"family":"Nguyen","given":"Jenny M."},{"family":"Cadungog","given":"Mark G."},{"family":"Zhang","given":"Rugang"},{"family":"Salatino","given":"Mariana"},{"family":"Tchou","given":"Julia"},{"family":"Rabinovich","given":"Gabriel A."},{"family":"Conejo-Garcia","given":"Jose R."}],"issued":{"date-parts":[["2015",1,12]]}}}],"schema":"https://github.com/citation-style-language/schema/raw/master/csl-citation.json"} </w:instrText>
            </w:r>
            <w:r>
              <w:rPr>
                <w:rStyle w:val="citation-part"/>
                <w:rFonts w:asciiTheme="minorHAnsi" w:hAnsiTheme="minorHAnsi" w:cstheme="minorHAnsi"/>
                <w:sz w:val="14"/>
                <w:szCs w:val="14"/>
                <w:lang w:val="en-US"/>
              </w:rPr>
              <w:fldChar w:fldCharType="separate"/>
            </w:r>
            <w:r>
              <w:rPr>
                <w:rStyle w:val="citation-part"/>
                <w:rFonts w:asciiTheme="minorHAnsi" w:hAnsiTheme="minorHAnsi" w:cstheme="minorHAnsi"/>
                <w:noProof/>
                <w:sz w:val="14"/>
                <w:szCs w:val="14"/>
                <w:lang w:val="en-US"/>
              </w:rPr>
              <w:t>(Gopalakrishnan et al. 2018; Rutkowski et al. 2015)</w:t>
            </w:r>
            <w:r>
              <w:rPr>
                <w:rStyle w:val="citation-part"/>
                <w:rFonts w:asciiTheme="minorHAnsi" w:hAnsiTheme="minorHAnsi" w:cstheme="minorHAnsi"/>
                <w:sz w:val="14"/>
                <w:szCs w:val="14"/>
                <w:lang w:val="en-US"/>
              </w:rPr>
              <w:fldChar w:fldCharType="end"/>
            </w:r>
            <w:r w:rsidRPr="00244861">
              <w:rPr>
                <w:rFonts w:asciiTheme="minorHAnsi" w:hAnsiTheme="minorHAnsi" w:cstheme="minorHAnsi"/>
                <w:sz w:val="14"/>
                <w:szCs w:val="14"/>
                <w:lang w:val="en-US"/>
              </w:rPr>
              <w:t xml:space="preserve"> </w:t>
            </w:r>
          </w:p>
          <w:p w:rsidR="00C37C4D" w:rsidRPr="00244861" w:rsidRDefault="00C37C4D" w:rsidP="00C37C4D">
            <w:pPr>
              <w:rPr>
                <w:rFonts w:asciiTheme="minorHAnsi" w:hAnsiTheme="minorHAnsi" w:cstheme="minorHAnsi"/>
                <w:sz w:val="14"/>
                <w:szCs w:val="14"/>
                <w:lang w:val="en-US"/>
              </w:rPr>
            </w:pPr>
          </w:p>
          <w:p w:rsidR="00C37C4D" w:rsidRPr="00585823" w:rsidRDefault="00C37C4D" w:rsidP="00C37C4D">
            <w:pPr>
              <w:rPr>
                <w:rFonts w:asciiTheme="minorHAnsi" w:hAnsiTheme="minorHAnsi" w:cstheme="minorHAnsi"/>
                <w:sz w:val="14"/>
                <w:szCs w:val="14"/>
                <w:lang w:val="it-IT"/>
              </w:rPr>
            </w:pPr>
          </w:p>
        </w:tc>
      </w:tr>
      <w:tr w:rsidR="008B716E" w:rsidRPr="00DB327F" w:rsidTr="0091404C">
        <w:trPr>
          <w:gridBefore w:val="1"/>
          <w:wBefore w:w="13" w:type="dxa"/>
          <w:trHeight w:val="370"/>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*MCA-205 sarcoma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*RET melanoma *Orthotopic LLC lung carcinoma </w:t>
            </w:r>
            <w:r w:rsidRPr="00585823">
              <w:rPr>
                <w:rFonts w:asciiTheme="minorHAnsi" w:hAnsiTheme="minorHAnsi" w:cstheme="minorHAnsi"/>
                <w:sz w:val="14"/>
                <w:szCs w:val="14"/>
                <w:lang w:val="en-US"/>
              </w:rPr>
              <w:br/>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GF or ATB in SPF or prior to FMT from NSCLC NR patients </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anti-PD-1 </w:t>
            </w:r>
            <w:proofErr w:type="spellStart"/>
            <w:r w:rsidRPr="00585823">
              <w:rPr>
                <w:rFonts w:asciiTheme="minorHAnsi" w:hAnsiTheme="minorHAnsi" w:cstheme="minorHAnsi"/>
                <w:sz w:val="14"/>
                <w:szCs w:val="14"/>
                <w:lang w:val="en-US"/>
              </w:rPr>
              <w:t>mAbs</w:t>
            </w:r>
            <w:proofErr w:type="spellEnd"/>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anti-CTLA4 Abs</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i/>
                <w:sz w:val="14"/>
                <w:szCs w:val="14"/>
                <w:lang w:val="en-US"/>
              </w:rPr>
              <w:t>Akkermansia</w:t>
            </w:r>
            <w:proofErr w:type="spellEnd"/>
            <w:r w:rsidRPr="00585823">
              <w:rPr>
                <w:rFonts w:asciiTheme="minorHAnsi" w:hAnsiTheme="minorHAnsi" w:cstheme="minorHAnsi"/>
                <w:i/>
                <w:sz w:val="14"/>
                <w:szCs w:val="14"/>
                <w:lang w:val="en-US"/>
              </w:rPr>
              <w:t xml:space="preserve"> </w:t>
            </w:r>
            <w:proofErr w:type="spellStart"/>
            <w:r w:rsidRPr="00585823">
              <w:rPr>
                <w:rFonts w:asciiTheme="minorHAnsi" w:hAnsiTheme="minorHAnsi" w:cstheme="minorHAnsi"/>
                <w:i/>
                <w:sz w:val="14"/>
                <w:szCs w:val="14"/>
                <w:lang w:val="en-US"/>
              </w:rPr>
              <w:t>muciniphila</w:t>
            </w:r>
            <w:proofErr w:type="spellEnd"/>
            <w:r w:rsidRPr="00585823">
              <w:rPr>
                <w:rFonts w:asciiTheme="minorHAnsi" w:hAnsiTheme="minorHAnsi" w:cstheme="minorHAnsi"/>
                <w:i/>
                <w:sz w:val="14"/>
                <w:szCs w:val="14"/>
                <w:lang w:val="en-US"/>
              </w:rPr>
              <w:t xml:space="preserve"> (</w:t>
            </w:r>
            <w:proofErr w:type="spellStart"/>
            <w:r w:rsidRPr="00585823">
              <w:rPr>
                <w:rFonts w:asciiTheme="minorHAnsi" w:hAnsiTheme="minorHAnsi" w:cstheme="minorHAnsi"/>
                <w:i/>
                <w:sz w:val="14"/>
                <w:szCs w:val="14"/>
                <w:lang w:val="en-US"/>
              </w:rPr>
              <w:t>Akk</w:t>
            </w:r>
            <w:proofErr w:type="spellEnd"/>
            <w:r w:rsidRPr="00585823">
              <w:rPr>
                <w:rFonts w:asciiTheme="minorHAnsi" w:hAnsiTheme="minorHAnsi" w:cstheme="minorHAnsi"/>
                <w:i/>
                <w:sz w:val="14"/>
                <w:szCs w:val="14"/>
                <w:lang w:val="en-US"/>
              </w:rPr>
              <w:t>)</w:t>
            </w:r>
            <w:r w:rsidRPr="00585823">
              <w:rPr>
                <w:rFonts w:asciiTheme="minorHAnsi" w:hAnsiTheme="minorHAnsi" w:cstheme="minorHAnsi"/>
                <w:sz w:val="14"/>
                <w:szCs w:val="14"/>
                <w:lang w:val="en-US"/>
              </w:rPr>
              <w:t xml:space="preserve"> (+/-</w:t>
            </w:r>
            <w:r w:rsidRPr="00585823">
              <w:rPr>
                <w:rFonts w:asciiTheme="minorHAnsi" w:hAnsiTheme="minorHAnsi" w:cstheme="minorHAnsi"/>
                <w:i/>
                <w:sz w:val="14"/>
                <w:szCs w:val="14"/>
                <w:lang w:val="en-US"/>
              </w:rPr>
              <w:t xml:space="preserve">Enterococcus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FMT from NR-NSCLC patients in avatar mice</w:t>
            </w:r>
            <w:r w:rsidRPr="00585823">
              <w:rPr>
                <w:rFonts w:asciiTheme="minorHAnsi" w:hAnsiTheme="minorHAnsi" w:cstheme="minorHAnsi"/>
                <w:sz w:val="14"/>
                <w:szCs w:val="14"/>
                <w:lang w:val="en-US"/>
              </w:rPr>
              <w:br/>
              <w:t xml:space="preserve">supplemented with oral gavages of </w:t>
            </w:r>
            <w:proofErr w:type="spellStart"/>
            <w:r w:rsidRPr="00585823">
              <w:rPr>
                <w:rFonts w:asciiTheme="minorHAnsi" w:hAnsiTheme="minorHAnsi" w:cstheme="minorHAnsi"/>
                <w:sz w:val="14"/>
                <w:szCs w:val="14"/>
                <w:lang w:val="en-US"/>
              </w:rPr>
              <w:t>Akk</w:t>
            </w:r>
            <w:proofErr w:type="spellEnd"/>
            <w:r w:rsidRPr="00585823">
              <w:rPr>
                <w:rFonts w:asciiTheme="minorHAnsi" w:hAnsiTheme="minorHAnsi" w:cstheme="minorHAnsi"/>
                <w:sz w:val="14"/>
                <w:szCs w:val="14"/>
                <w:lang w:val="en-US"/>
              </w:rPr>
              <w:t xml:space="preserve"> during anti- PD-1 </w:t>
            </w:r>
            <w:proofErr w:type="spellStart"/>
            <w:r w:rsidRPr="00585823">
              <w:rPr>
                <w:rFonts w:asciiTheme="minorHAnsi" w:hAnsiTheme="minorHAnsi" w:cstheme="minorHAnsi"/>
                <w:sz w:val="14"/>
                <w:szCs w:val="14"/>
                <w:lang w:val="en-US"/>
              </w:rPr>
              <w:t>mAb</w:t>
            </w:r>
            <w:proofErr w:type="spellEnd"/>
            <w:r w:rsidRPr="00585823">
              <w:rPr>
                <w:rFonts w:asciiTheme="minorHAnsi" w:hAnsiTheme="minorHAnsi" w:cstheme="minorHAnsi"/>
                <w:sz w:val="14"/>
                <w:szCs w:val="14"/>
                <w:lang w:val="en-US"/>
              </w:rPr>
              <w:t>+/- anti CTLA4 Ab-based therapy</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Compensation of dysbiosis and restoration of response to anti-PD</w:t>
            </w:r>
            <w:r w:rsidR="00DB327F">
              <w:rPr>
                <w:rFonts w:asciiTheme="minorHAnsi" w:hAnsiTheme="minorHAnsi" w:cstheme="minorHAnsi"/>
                <w:sz w:val="14"/>
                <w:szCs w:val="14"/>
                <w:lang w:val="en-US"/>
              </w:rPr>
              <w:t>-</w:t>
            </w:r>
            <w:r w:rsidRPr="00585823">
              <w:rPr>
                <w:rFonts w:asciiTheme="minorHAnsi" w:hAnsiTheme="minorHAnsi" w:cstheme="minorHAnsi"/>
                <w:sz w:val="14"/>
                <w:szCs w:val="14"/>
                <w:lang w:val="en-US"/>
              </w:rPr>
              <w:t xml:space="preserve">1 </w:t>
            </w:r>
            <w:proofErr w:type="spellStart"/>
            <w:r w:rsidRPr="00585823">
              <w:rPr>
                <w:rFonts w:asciiTheme="minorHAnsi" w:hAnsiTheme="minorHAnsi" w:cstheme="minorHAnsi"/>
                <w:sz w:val="14"/>
                <w:szCs w:val="14"/>
                <w:lang w:val="en-US"/>
              </w:rPr>
              <w:t>mAbs</w:t>
            </w:r>
            <w:proofErr w:type="spellEnd"/>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*Recruitment of CCR9+CXCR3+CD4+ T cells in the TME via IL-12</w:t>
            </w:r>
            <w:r w:rsidRPr="00585823">
              <w:rPr>
                <w:rFonts w:asciiTheme="minorHAnsi" w:hAnsiTheme="minorHAnsi" w:cstheme="minorHAnsi"/>
                <w:sz w:val="14"/>
                <w:szCs w:val="14"/>
                <w:lang w:val="en-US"/>
              </w:rPr>
              <w:br/>
              <w:t>*Increased CD4/Foxp3 ratio in TILs</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{"citationID":"Nsc8NEyz","properties":{"formattedCitation":"(Routy et al. 2018)","plainCitation":"(Routy et al. 2018)","noteIndex":0},"citationItems":[{"id":1,"uris":["http://zotero.org/users/2801898/items/IPIG83AY"],"uri":["http://zotero.org/users/2801898/items/IPIG83AY"],"itemData":{"id":1,"type":"article-journal","abstract":"Immune checkpoint inhibitors (ICIs) targeting the PD-1/PD-L1 axis induce sustained clinical responses in a sizable minority of cancer patients. We found that primary resistance to ICIs can be attributed to abnormal gut microbiome composition. Antibiotics inhibited the clinical benefit of ICIs in patients with advanced cancer. Fecal microbiota transplantation (FMT) from cancer patients who responded to ICIs into germ-free or antibiotic-treated mice ameliorated the antitumor effects of PD-1 blockade, whereas FMT from nonresponding patients failed to do so. Metagenomics of patient stool samples at diagnosis revealed correlations between clinical responses to ICIs and the relative abundance of Akkermansia muciniphila Oral supplementation with A. muciniphila after FMT with nonresponder feces restored the efficacy of PD-1 blockade in an interleukin-12-dependent manner by increasing the recruitment of CCR9+CXCR3+CD4+ T lymphocytes into mouse tumor beds.","container-title":"Science (New York, N.Y.)","DOI":"10.1126/science.aan3706","ISSN":"1095-9203","issue":"6371","journalAbbreviation":"Science","language":"eng","note":"PMID: 29097494","page":"91-97","source":"PubMed","title":"Gut microbiome influences efficacy of PD-1-based immunotherapy against epithelial tumors","volume":"359","author":[{"family":"Routy","given":"Bertrand"},{"family":"Le Chatelier","given":"Emmanuelle"},{"family":"Derosa","given":"Lisa"},{"family":"Duong","given":"Connie P. M."},{"family":"Alou","given":"Maryam Tidjani"},{"family":"Daillère","given":"Romain"},{"family":"Fluckiger","given":"Aurélie"},{"family":"Messaoudene","given":"Meriem"},{"family":"Rauber","given":"Conrad"},{"family":"Roberti","given":"Maria P."},{"family":"Fidelle","given":"Marine"},{"family":"Flament","given":"Caroline"},{"family":"Poirier-Colame","given":"Vichnou"},{"family":"Opolon","given":"Paule"},{"family":"Klein","given":"Christophe"},{"family":"Iribarren","given":"Kristina"},{"family":"Mondragón","given":"Laura"},{"family":"Jacquelot","given":"Nicolas"},{"family":"Qu","given":"Bo"},{"family":"Ferrere","given":"Gladys"},{"family":"Clémenson","given":"Céline"},{"family":"Mezquita","given":"Laura"},{"family":"Masip","given":"Jordi Remon"},{"family":"Naltet","given":"Charles"},{"family":"Brosseau","given":"Solenn"},{"family":"Kaderbhai","given":"Coureche"},{"family":"Richard","given":"Corentin"},{"family":"Rizvi","given":"Hira"},{"family":"Levenez","given":"Florence"},{"family":"Galleron","given":"Nathalie"},{"family":"Quinquis","given":"Benoit"},{"family":"Pons","given":"Nicolas"},{"family":"Ryffel","given":"Bernhard"},{"family":"Minard-Colin","given":"Véronique"},{"family":"Gonin","given":"Patrick"},{"family":"Soria","given":"Jean-Charles"},{"family":"Deutsch","given":"Eric"},{"family":"Loriot","given":"Yohann"},{"family":"Ghiringhelli","given":"François"},{"family":"Zalcman","given":"Gérard"},{"family":"Goldwasser","given":"François"},{"family":"Escudier","given":"Bernard"},{"family":"Hellmann","given":"Matthew D."},{"family":"Eggermont","given":"Alexander"},{"family":"Raoult","given":"Didier"},{"family":"Albiges","given":"Laurence"},{"family":"Kroemer","given":"Guido"},{"family":"Zitvogel","given":"Laurence"}],"issued":{"date-parts":[["2018",1,5]]}}}],"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(Routy et al. 2018)</w:t>
            </w:r>
            <w:r>
              <w:rPr>
                <w:rFonts w:asciiTheme="minorHAnsi" w:hAnsiTheme="minorHAnsi" w:cstheme="minorHAnsi"/>
                <w:sz w:val="14"/>
                <w:szCs w:val="14"/>
                <w:lang w:val="en-US"/>
              </w:rPr>
              <w:fldChar w:fldCharType="end"/>
            </w:r>
          </w:p>
        </w:tc>
      </w:tr>
      <w:tr w:rsidR="00585823" w:rsidRPr="00DB327F" w:rsidTr="0091404C">
        <w:trPr>
          <w:gridBefore w:val="1"/>
          <w:wBefore w:w="13" w:type="dxa"/>
          <w:trHeight w:val="633"/>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*Orthotopic RENCA kidney carcinoma </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ATB or FMT from R vs NR RCC cancer patients</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a</w:t>
            </w:r>
            <w:r w:rsidR="00DB327F">
              <w:rPr>
                <w:rFonts w:asciiTheme="minorHAnsi" w:hAnsiTheme="minorHAnsi" w:cstheme="minorHAnsi"/>
                <w:sz w:val="14"/>
                <w:szCs w:val="14"/>
                <w:lang w:val="en-US"/>
              </w:rPr>
              <w:t>nti</w:t>
            </w:r>
            <w:r w:rsidRPr="00244861">
              <w:rPr>
                <w:rFonts w:asciiTheme="minorHAnsi" w:hAnsiTheme="minorHAnsi" w:cstheme="minorHAnsi"/>
                <w:sz w:val="14"/>
                <w:szCs w:val="14"/>
                <w:lang w:val="en-US"/>
              </w:rPr>
              <w:t xml:space="preserve">PD-1 </w:t>
            </w:r>
            <w:proofErr w:type="spellStart"/>
            <w:r w:rsidRPr="00244861">
              <w:rPr>
                <w:rFonts w:asciiTheme="minorHAnsi" w:hAnsiTheme="minorHAnsi" w:cstheme="minorHAnsi"/>
                <w:sz w:val="14"/>
                <w:szCs w:val="14"/>
                <w:lang w:val="en-US"/>
              </w:rPr>
              <w:t>mAbs</w:t>
            </w:r>
            <w:proofErr w:type="spellEnd"/>
            <w:r w:rsidRPr="00244861">
              <w:rPr>
                <w:rFonts w:asciiTheme="minorHAnsi" w:hAnsiTheme="minorHAnsi" w:cstheme="minorHAnsi"/>
                <w:sz w:val="14"/>
                <w:szCs w:val="14"/>
                <w:lang w:val="en-US"/>
              </w:rPr>
              <w:t xml:space="preserve"> + </w:t>
            </w:r>
            <w:proofErr w:type="spellStart"/>
            <w:r w:rsidRPr="00244861">
              <w:rPr>
                <w:rFonts w:asciiTheme="minorHAnsi" w:hAnsiTheme="minorHAnsi" w:cstheme="minorHAnsi"/>
                <w:sz w:val="14"/>
                <w:szCs w:val="14"/>
                <w:lang w:val="en-US"/>
              </w:rPr>
              <w:t>a</w:t>
            </w:r>
            <w:r w:rsidR="00DB327F">
              <w:rPr>
                <w:rFonts w:asciiTheme="minorHAnsi" w:hAnsiTheme="minorHAnsi" w:cstheme="minorHAnsi"/>
                <w:sz w:val="14"/>
                <w:szCs w:val="14"/>
                <w:lang w:val="en-US"/>
              </w:rPr>
              <w:t>nti</w:t>
            </w:r>
            <w:r w:rsidRPr="00244861">
              <w:rPr>
                <w:rFonts w:asciiTheme="minorHAnsi" w:hAnsiTheme="minorHAnsi" w:cstheme="minorHAnsi"/>
                <w:sz w:val="14"/>
                <w:szCs w:val="14"/>
                <w:lang w:val="en-US"/>
              </w:rPr>
              <w:t>CTLA</w:t>
            </w:r>
            <w:proofErr w:type="spellEnd"/>
            <w:r w:rsidRPr="00244861">
              <w:rPr>
                <w:rFonts w:asciiTheme="minorHAnsi" w:hAnsiTheme="minorHAnsi" w:cstheme="minorHAnsi"/>
                <w:sz w:val="14"/>
                <w:szCs w:val="14"/>
                <w:lang w:val="en-US"/>
              </w:rPr>
              <w:t xml:space="preserve"> 4 </w:t>
            </w:r>
            <w:proofErr w:type="spellStart"/>
            <w:r w:rsidRPr="00244861">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i/>
                <w:sz w:val="14"/>
                <w:szCs w:val="14"/>
                <w:lang w:val="en-US"/>
              </w:rPr>
              <w:t>Akkermansia</w:t>
            </w:r>
            <w:proofErr w:type="spellEnd"/>
            <w:r w:rsidRPr="00585823">
              <w:rPr>
                <w:rFonts w:asciiTheme="minorHAnsi" w:hAnsiTheme="minorHAnsi" w:cstheme="minorHAnsi"/>
                <w:i/>
                <w:sz w:val="14"/>
                <w:szCs w:val="14"/>
                <w:lang w:val="en-US"/>
              </w:rPr>
              <w:t xml:space="preserve"> </w:t>
            </w:r>
            <w:proofErr w:type="spellStart"/>
            <w:r w:rsidRPr="00585823">
              <w:rPr>
                <w:rFonts w:asciiTheme="minorHAnsi" w:hAnsiTheme="minorHAnsi" w:cstheme="minorHAnsi"/>
                <w:i/>
                <w:sz w:val="14"/>
                <w:szCs w:val="14"/>
                <w:lang w:val="en-US"/>
              </w:rPr>
              <w:t>muciniphila</w:t>
            </w:r>
            <w:proofErr w:type="spellEnd"/>
            <w:r w:rsidRPr="00585823">
              <w:rPr>
                <w:rFonts w:asciiTheme="minorHAnsi" w:hAnsiTheme="minorHAnsi" w:cstheme="minorHAnsi"/>
                <w:sz w:val="14"/>
                <w:szCs w:val="14"/>
                <w:lang w:val="en-US"/>
              </w:rPr>
              <w:t xml:space="preserve"> or </w:t>
            </w:r>
            <w:r w:rsidRPr="00585823">
              <w:rPr>
                <w:rFonts w:asciiTheme="minorHAnsi" w:hAnsiTheme="minorHAnsi" w:cstheme="minorHAnsi"/>
                <w:i/>
                <w:sz w:val="14"/>
                <w:szCs w:val="14"/>
                <w:lang w:val="en-US"/>
              </w:rPr>
              <w:t xml:space="preserve">B. </w:t>
            </w:r>
            <w:proofErr w:type="spellStart"/>
            <w:r w:rsidRPr="00585823">
              <w:rPr>
                <w:rFonts w:asciiTheme="minorHAnsi" w:hAnsiTheme="minorHAnsi" w:cstheme="minorHAnsi"/>
                <w:i/>
                <w:sz w:val="14"/>
                <w:szCs w:val="14"/>
                <w:lang w:val="en-US"/>
              </w:rPr>
              <w:t>salyersae</w:t>
            </w:r>
            <w:proofErr w:type="spellEnd"/>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FMT from NR-RCC patients in avatar mice</w:t>
            </w:r>
            <w:r w:rsidRPr="00585823">
              <w:rPr>
                <w:rFonts w:asciiTheme="minorHAnsi" w:hAnsiTheme="minorHAnsi" w:cstheme="minorHAnsi"/>
                <w:sz w:val="14"/>
                <w:szCs w:val="14"/>
                <w:lang w:val="en-US"/>
              </w:rPr>
              <w:br/>
              <w:t xml:space="preserve">supplemented with oral gavages of </w:t>
            </w:r>
            <w:proofErr w:type="spellStart"/>
            <w:r w:rsidRPr="00585823">
              <w:rPr>
                <w:rFonts w:asciiTheme="minorHAnsi" w:hAnsiTheme="minorHAnsi" w:cstheme="minorHAnsi"/>
                <w:sz w:val="14"/>
                <w:szCs w:val="14"/>
                <w:lang w:val="en-US"/>
              </w:rPr>
              <w:t>Akk</w:t>
            </w:r>
            <w:proofErr w:type="spellEnd"/>
            <w:r w:rsidRPr="00585823">
              <w:rPr>
                <w:rFonts w:asciiTheme="minorHAnsi" w:hAnsiTheme="minorHAnsi" w:cstheme="minorHAnsi"/>
                <w:sz w:val="14"/>
                <w:szCs w:val="14"/>
                <w:lang w:val="en-US"/>
              </w:rPr>
              <w:t xml:space="preserve"> during anti- PD-1 </w:t>
            </w:r>
            <w:proofErr w:type="spellStart"/>
            <w:r w:rsidRPr="00585823">
              <w:rPr>
                <w:rFonts w:asciiTheme="minorHAnsi" w:hAnsiTheme="minorHAnsi" w:cstheme="minorHAnsi"/>
                <w:sz w:val="14"/>
                <w:szCs w:val="14"/>
                <w:lang w:val="en-US"/>
              </w:rPr>
              <w:t>mAb</w:t>
            </w:r>
            <w:proofErr w:type="spellEnd"/>
            <w:r w:rsidRPr="00585823">
              <w:rPr>
                <w:rFonts w:asciiTheme="minorHAnsi" w:hAnsiTheme="minorHAnsi" w:cstheme="minorHAnsi"/>
                <w:sz w:val="14"/>
                <w:szCs w:val="14"/>
                <w:lang w:val="en-US"/>
              </w:rPr>
              <w:t xml:space="preserve">+/- anti CTLA4 </w:t>
            </w:r>
            <w:proofErr w:type="spellStart"/>
            <w:r w:rsidRPr="00585823">
              <w:rPr>
                <w:rFonts w:asciiTheme="minorHAnsi" w:hAnsiTheme="minorHAnsi" w:cstheme="minorHAnsi"/>
                <w:sz w:val="14"/>
                <w:szCs w:val="14"/>
                <w:lang w:val="en-US"/>
              </w:rPr>
              <w:t>mAbs</w:t>
            </w:r>
            <w:proofErr w:type="spellEnd"/>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Restoring responses to combination of ICI</w:t>
            </w:r>
            <w:r w:rsidRPr="00585823">
              <w:rPr>
                <w:rFonts w:asciiTheme="minorHAnsi" w:hAnsiTheme="minorHAnsi" w:cstheme="minorHAnsi"/>
                <w:sz w:val="14"/>
                <w:szCs w:val="14"/>
                <w:lang w:val="en-US"/>
              </w:rPr>
              <w:br/>
              <w:t xml:space="preserve"> </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N</w:t>
            </w:r>
            <w:r w:rsidR="00244861">
              <w:rPr>
                <w:rFonts w:asciiTheme="minorHAnsi" w:hAnsiTheme="minorHAnsi" w:cstheme="minorHAnsi"/>
                <w:sz w:val="14"/>
                <w:szCs w:val="14"/>
                <w:lang w:val="en-US"/>
              </w:rPr>
              <w:t>ot done</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244861"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{"citationID":"IybCtOyf","properties":{"formattedCitation":"(Derosa et al. 2020)","plainCitation":"(Derosa et al. 2020)","noteIndex":0},"citationItems":[{"id":1083,"uris":["http://zotero.org/users/2801898/items/N8C6AHVA"],"uri":["http://zotero.org/users/2801898/items/N8C6AHVA"],"itemData":{"id":1083,"type":"article-journal","abstract":"BACKGROUND: The development of immune checkpoint blockade (ICB) has revolutionized the clinical outcome of renal cell carcinoma (RCC). Nevertheless, improvement of durability and prediction of responses remain unmet medical needs. While it has been recognized that antibiotics (ATBs) decrease the clinical activity of ICB across various malignancies, little is known about the direct impact of distinct intestinal nonpathogenic bacteria (commensals) on therapeutic outcomes of ICB in RCC.\nOBJECTIVE: To evaluate the predictive value of stool bacteria composition for ICB efficacy in a cohort of advanced RCC patients.\nDESIGN, SETTING, AND PARTICIPANTS: We prospectively collected fecal samples from 69 advanced RCC patients treated with nivolumab and enrolled in the GETUG-AFU 26 NIVOREN microbiota translational substudy phase 2 trial (NCT03013335) at Gustave Roussy. We recorded patient characteristics including ATB use, prior systemic therapies, and response criteria. We analyzed 2994 samples of feces from healthy volunteers (HVs). In parallel, preclinical studies performed in RCC-bearing mice that received fecal transplant (FMT) from RCC patients resistant to ICB (NR-FMT) allowed us to draw a cause-effect relationship between gut bacteria composition and clinical outcomes for ICB. The influence of tyrosine kinase inhibitors (TKIs) taken before starting nivolumab on the microbiota composition has also been assessed.\nOUTCOME MEASUREMENTS AND STATISTICAL ANALYSIS: Metagenomic data (MG) from whole genome sequencing (WGS) were analyzed by multivariate and pairwise comparisons/fold ratio to identify bacterial fingerprints related to ATB or prior TKI exposure and patients' therapeutic response (overall response and progression-free survival), and compared with the data from cancer-free donors.\nRESULTS AND LIMITATIONS: Recent ATB use (n = 11; 16%) reduced objective response rates (from 28% to 9%, p &lt; 0.03) and markedly affected the composition of the microbiota, facilitating the dominance of distinct species such as Clostridium hathewayi, which were also preferentially over-represented in stools from RCC patients compared with HVs. Importantly, TKIs taken prior to nivolumab had implications in shifting the microbiota composition. To establish a cause-effect relationship between gut bacteria composition and ICB efficacy, NR-FMT mice were successfully compensated with either FMT from responding RCC patients or beneficial commensals identified by WGS-MG (Akkermansia muciniphila and Bacteroides salyersiae).\nCONCLUSIONS: The composition of the microbiota is influenced by TKIs and ATBs, and impacts the success of immunotherapy. Future studies will help sharpen the role of these specific bacteria and their potential as new biomarkers.\nPATIENT SUMMARY: We used quantitative shotgun DNA sequencing of fecal microbes as well as preclinical models of fecal or bacterial transfer to study the association between stool composition and (pre)clinical outcome to immune checkpoint blockade. Novel insights into the pathophysiological relevance of intestinal dysbiosis in the prognosis of kidney cancer may lead to innovative therapeutic solutions, such as supplementation with probiotics to prevent primary resistance to therapy.","container-title":"European Urology","DOI":"10.1016/j.eururo.2020.04.044","ISSN":"1873-7560","issue":"2","journalAbbreviation":"Eur. Urol.","language":"eng","note":"PMID: 32376136","page":"195-206","source":"PubMed","title":"Gut Bacteria Composition Drives Primary Resistance to Cancer Immunotherapy in Renal Cell Carcinoma Patients","volume":"78","author":[{"family":"Derosa","given":"Lisa"},{"family":"Routy","given":"Bertrand"},{"family":"Fidelle","given":"Marine"},{"family":"Iebba","given":"Valerio"},{"family":"Alla","given":"Laurie"},{"family":"Pasolli","given":"Edoardo"},{"family":"Segata","given":"Nicola"},{"family":"Desnoyer","given":"Aude"},{"family":"Pietrantonio","given":"Filippo"},{"family":"Ferrere","given":"Gladys"},{"family":"Fahrner","given":"Jean-Eudes"},{"family":"Le Chatellier","given":"Emmanuelle"},{"family":"Pons","given":"Nicolas"},{"family":"Galleron","given":"Nathalie"},{"family":"Roume","given":"Hugo"},{"family":"Duong","given":"Connie P. M."},{"family":"Mondragón","given":"Laura"},{"family":"Iribarren","given":"Kristina"},{"family":"Bonvalet","given":"Mélodie"},{"family":"Terrisse","given":"Safae"},{"family":"Rauber","given":"Conrad"},{"family":"Goubet","given":"Anne-Gaëlle"},{"family":"Daillère","given":"Romain"},{"family":"Lemaitre","given":"Fabien"},{"family":"Reni","given":"Anna"},{"family":"Casu","given":"Beatrice"},{"family":"Alou","given":"Maryam Tidjani"},{"family":"Alves Costa Silva","given":"Carolina"},{"family":"Raoult","given":"Didier"},{"family":"Fizazi","given":"Karim"},{"family":"Escudier","given":"Bernard"},{"family":"Kroemer","given":"Guido"},{"family":"Albiges","given":"Laurence"},{"family":"Zitvogel","given":"Laurence"}],"issued":{"date-parts":[["2020",8]]}}}],"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(Derosa et al. 2020)</w:t>
            </w:r>
            <w:r>
              <w:rPr>
                <w:rFonts w:asciiTheme="minorHAnsi" w:hAnsiTheme="minorHAnsi" w:cstheme="minorHAnsi"/>
                <w:sz w:val="14"/>
                <w:szCs w:val="14"/>
                <w:lang w:val="en-US"/>
              </w:rPr>
              <w:fldChar w:fldCharType="end"/>
            </w:r>
          </w:p>
        </w:tc>
      </w:tr>
      <w:tr w:rsidR="008B716E" w:rsidRPr="00244861" w:rsidTr="0091404C">
        <w:trPr>
          <w:gridBefore w:val="1"/>
          <w:wBefore w:w="13" w:type="dxa"/>
          <w:trHeight w:val="370"/>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*MC38 colon carcinoma</w:t>
            </w:r>
          </w:p>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w:t>
            </w:r>
            <w:proofErr w:type="spellStart"/>
            <w:r w:rsidRPr="00244861">
              <w:rPr>
                <w:rFonts w:asciiTheme="minorHAnsi" w:hAnsiTheme="minorHAnsi" w:cstheme="minorHAnsi"/>
                <w:sz w:val="14"/>
                <w:szCs w:val="14"/>
                <w:lang w:val="en-US"/>
              </w:rPr>
              <w:t>Braf</w:t>
            </w:r>
            <w:proofErr w:type="spellEnd"/>
            <w:r w:rsidRPr="00244861">
              <w:rPr>
                <w:rFonts w:asciiTheme="minorHAnsi" w:hAnsiTheme="minorHAnsi" w:cstheme="minorHAnsi"/>
                <w:sz w:val="14"/>
                <w:szCs w:val="14"/>
                <w:lang w:val="en-US"/>
              </w:rPr>
              <w:t xml:space="preserve"> V600E </w:t>
            </w:r>
            <w:proofErr w:type="spellStart"/>
            <w:r w:rsidRPr="00244861">
              <w:rPr>
                <w:rFonts w:asciiTheme="minorHAnsi" w:hAnsiTheme="minorHAnsi" w:cstheme="minorHAnsi"/>
                <w:sz w:val="14"/>
                <w:szCs w:val="14"/>
                <w:lang w:val="en-US"/>
              </w:rPr>
              <w:t>Pten</w:t>
            </w:r>
            <w:proofErr w:type="spellEnd"/>
            <w:r w:rsidRPr="00244861">
              <w:rPr>
                <w:rFonts w:asciiTheme="minorHAnsi" w:hAnsiTheme="minorHAnsi" w:cstheme="minorHAnsi"/>
                <w:sz w:val="14"/>
                <w:szCs w:val="14"/>
                <w:vertAlign w:val="superscript"/>
                <w:lang w:val="en-US"/>
              </w:rPr>
              <w:t xml:space="preserve">-/- </w:t>
            </w:r>
            <w:r w:rsidRPr="00244861">
              <w:rPr>
                <w:rFonts w:asciiTheme="minorHAnsi" w:hAnsiTheme="minorHAnsi" w:cstheme="minorHAnsi"/>
                <w:sz w:val="14"/>
                <w:szCs w:val="14"/>
                <w:lang w:val="en-US"/>
              </w:rPr>
              <w:t xml:space="preserve">melanoma </w:t>
            </w:r>
            <w:r w:rsidRPr="00244861">
              <w:rPr>
                <w:rFonts w:asciiTheme="minorHAnsi" w:hAnsiTheme="minorHAnsi" w:cstheme="minorHAnsi"/>
                <w:sz w:val="14"/>
                <w:szCs w:val="14"/>
                <w:lang w:val="en-US"/>
              </w:rPr>
              <w:br/>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GF or SPF conditions without antibiotics</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anti-PD-1 or</w:t>
            </w:r>
            <w:r w:rsidRPr="00585823">
              <w:rPr>
                <w:rFonts w:asciiTheme="minorHAnsi" w:hAnsiTheme="minorHAnsi" w:cstheme="minorHAnsi"/>
                <w:sz w:val="14"/>
                <w:szCs w:val="14"/>
                <w:lang w:val="en-US"/>
              </w:rPr>
              <w:br/>
              <w:t xml:space="preserve">anti-CTLA 4 </w:t>
            </w:r>
            <w:proofErr w:type="spellStart"/>
            <w:r w:rsidRPr="00585823">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Mixture of a 11 bacteria consortium</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Repetitive oral supplementation early after tumor inoculation </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Enhancing the efficacy of ICI</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Induction of colonic and intratumor IFN</w:t>
            </w:r>
            <w:r w:rsidRPr="00585823">
              <w:rPr>
                <w:rFonts w:ascii="Cambria Math" w:hAnsi="Cambria Math" w:cs="Cambria Math"/>
                <w:sz w:val="14"/>
                <w:szCs w:val="14"/>
              </w:rPr>
              <w:t>𝛄</w:t>
            </w:r>
            <w:r w:rsidRPr="00585823">
              <w:rPr>
                <w:rFonts w:asciiTheme="minorHAnsi" w:hAnsiTheme="minorHAnsi" w:cstheme="minorHAnsi"/>
                <w:sz w:val="14"/>
                <w:szCs w:val="14"/>
                <w:lang w:val="en-US"/>
              </w:rPr>
              <w:t xml:space="preserve"> producing CD8+ T lymphocytes, activation of systemic DC</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Metabolomic changes with the bacteria consortium</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244861"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{"citationID":"azpTo3R7","properties":{"formattedCitation":"(Tanoue et al. 2019)","plainCitation":"(Tanoue et al. 2019)","noteIndex":0},"citationItems":[{"id":550,"uris":["http://zotero.org/users/2801898/items/U83RCG5I"],"uri":["http://zotero.org/users/2801898/items/U83RCG5I"],"itemData":{"id":550,"type":"article-journal","abstract":"A consortium of 11 bacterial strains from the healthy human gut microbiota can strongly induce interferon-γ-producing CD8 T cells in the intestine, and enhance both resistance to bacterial infection and the therapeutic efficacy of immune checkpoint inhibitors.","container-title":"Nature","DOI":"10.1038/s41586-019-0878-z","ISSN":"1476-4687","issue":"7741","language":"En","page":"600","source":"www.nature.com","title":"A defined commensal consortium elicits CD8 T cells and anti-cancer immunity","volume":"565","author":[{"family":"Tanoue","given":"Takeshi"},{"family":"Morita","given":"Satoru"},{"family":"Plichta","given":"Damian R."},{"family":"Skelly","given":"Ashwin N."},{"family":"Suda","given":"Wataru"},{"family":"Sugiura","given":"Yuki"},{"family":"Narushima","given":"Seiko"},{"family":"Vlamakis","given":"Hera"},{"family":"Motoo","given":"Iori"},{"family":"Sugita","given":"Kayoko"},{"family":"Shiota","given":"Atsushi"},{"family":"Takeshita","given":"Kozue"},{"family":"Yasuma-Mitobe","given":"Keiko"},{"family":"Riethmacher","given":"Dieter"},{"family":"Kaisho","given":"Tsuneyasu"},{"family":"Norman","given":"Jason M."},{"family":"Mucida","given":"Daniel"},{"family":"Suematsu","given":"Makoto"},{"family":"Yaguchi","given":"Tomonori"},{"family":"Bucci","given":"Vanni"},{"family":"Inoue","given":"Takashi"},{"family":"Kawakami","given":"Yutaka"},{"family":"Olle","given":"Bernat"},{"family":"Roberts","given":"Bruce"},{"family":"Hattori","given":"Masahira"},{"family":"Xavier","given":"Ramnik J."},{"family":"Atarashi","given":"Koji"},{"family":"Honda","given":"Kenya"}],"issued":{"date-parts":[["2019",1]]}}}],"schema":"https://github.com/citation-style-language/schema/raw/master/csl-citation.json"}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(Tanoue et al. 2019)</w:t>
            </w:r>
            <w:r>
              <w:rPr>
                <w:rFonts w:asciiTheme="minorHAnsi" w:hAnsiTheme="minorHAnsi" w:cstheme="minorHAnsi"/>
                <w:sz w:val="14"/>
                <w:szCs w:val="14"/>
                <w:lang w:val="en-US"/>
              </w:rPr>
              <w:fldChar w:fldCharType="end"/>
            </w:r>
          </w:p>
        </w:tc>
      </w:tr>
      <w:tr w:rsidR="00585823" w:rsidRPr="00244861" w:rsidTr="0091404C">
        <w:trPr>
          <w:gridBefore w:val="1"/>
          <w:wBefore w:w="13" w:type="dxa"/>
          <w:trHeight w:val="370"/>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CT26 and MC38 colon cancer</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w:t>
            </w:r>
            <w:r w:rsidRPr="00585823">
              <w:rPr>
                <w:rFonts w:asciiTheme="minorHAnsi" w:hAnsiTheme="minorHAnsi" w:cstheme="minorHAnsi"/>
                <w:i/>
                <w:iCs/>
                <w:sz w:val="14"/>
                <w:szCs w:val="14"/>
                <w:lang w:val="en-US"/>
              </w:rPr>
              <w:t>Msh2LoxP/</w:t>
            </w:r>
            <w:proofErr w:type="spellStart"/>
            <w:r w:rsidRPr="00585823">
              <w:rPr>
                <w:rFonts w:asciiTheme="minorHAnsi" w:hAnsiTheme="minorHAnsi" w:cstheme="minorHAnsi"/>
                <w:i/>
                <w:iCs/>
                <w:sz w:val="14"/>
                <w:szCs w:val="14"/>
                <w:lang w:val="en-US"/>
              </w:rPr>
              <w:t>LoxPVillin-Cre</w:t>
            </w:r>
            <w:proofErr w:type="spellEnd"/>
            <w:r w:rsidRPr="00585823">
              <w:rPr>
                <w:rFonts w:asciiTheme="minorHAnsi" w:hAnsiTheme="minorHAnsi" w:cstheme="minorHAnsi"/>
                <w:i/>
                <w:iCs/>
                <w:sz w:val="14"/>
                <w:szCs w:val="14"/>
                <w:lang w:val="en-US"/>
              </w:rPr>
              <w:t xml:space="preserve"> autochthonous colon cancer </w:t>
            </w:r>
            <w:r w:rsidRPr="00585823">
              <w:rPr>
                <w:rFonts w:asciiTheme="minorHAnsi" w:hAnsiTheme="minorHAnsi" w:cstheme="minorHAnsi"/>
                <w:sz w:val="14"/>
                <w:szCs w:val="14"/>
                <w:lang w:val="en-US"/>
              </w:rPr>
              <w:t>model</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ATB </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anti-CTLA4, CpG and chemotherapy</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i/>
                <w:sz w:val="14"/>
                <w:szCs w:val="14"/>
                <w:lang w:val="en-US"/>
              </w:rPr>
            </w:pPr>
            <w:r w:rsidRPr="00585823">
              <w:rPr>
                <w:rFonts w:asciiTheme="minorHAnsi" w:hAnsiTheme="minorHAnsi" w:cstheme="minorHAnsi"/>
                <w:i/>
                <w:sz w:val="14"/>
                <w:szCs w:val="14"/>
                <w:lang w:val="en-US"/>
              </w:rPr>
              <w:t xml:space="preserve">Bifidobacterium pseudo </w:t>
            </w:r>
            <w:proofErr w:type="spellStart"/>
            <w:r w:rsidRPr="00585823">
              <w:rPr>
                <w:rFonts w:asciiTheme="minorHAnsi" w:hAnsiTheme="minorHAnsi" w:cstheme="minorHAnsi"/>
                <w:i/>
                <w:sz w:val="14"/>
                <w:szCs w:val="14"/>
                <w:lang w:val="en-US"/>
              </w:rPr>
              <w:t>longum</w:t>
            </w:r>
            <w:proofErr w:type="spellEnd"/>
            <w:r w:rsidRPr="00585823">
              <w:rPr>
                <w:rFonts w:asciiTheme="minorHAnsi" w:hAnsiTheme="minorHAnsi" w:cstheme="minorHAnsi"/>
                <w:i/>
                <w:sz w:val="14"/>
                <w:szCs w:val="14"/>
                <w:lang w:val="en-US"/>
              </w:rPr>
              <w:t xml:space="preserve"> and </w:t>
            </w:r>
            <w:proofErr w:type="spellStart"/>
            <w:r w:rsidRPr="00585823">
              <w:rPr>
                <w:rFonts w:asciiTheme="minorHAnsi" w:hAnsiTheme="minorHAnsi" w:cstheme="minorHAnsi"/>
                <w:i/>
                <w:sz w:val="14"/>
                <w:szCs w:val="14"/>
                <w:lang w:val="en-US"/>
              </w:rPr>
              <w:t>Akkermansia</w:t>
            </w:r>
            <w:proofErr w:type="spellEnd"/>
            <w:r w:rsidRPr="00585823">
              <w:rPr>
                <w:rFonts w:asciiTheme="minorHAnsi" w:hAnsiTheme="minorHAnsi" w:cstheme="minorHAnsi"/>
                <w:i/>
                <w:sz w:val="14"/>
                <w:szCs w:val="14"/>
                <w:lang w:val="en-US"/>
              </w:rPr>
              <w:t xml:space="preserve"> </w:t>
            </w:r>
            <w:r w:rsidRPr="00585823">
              <w:rPr>
                <w:rFonts w:asciiTheme="minorHAnsi" w:hAnsiTheme="minorHAnsi" w:cstheme="minorHAnsi"/>
                <w:sz w:val="14"/>
                <w:szCs w:val="14"/>
                <w:lang w:val="en-US"/>
              </w:rPr>
              <w:t xml:space="preserve">(gut or possibly </w:t>
            </w:r>
            <w:proofErr w:type="spellStart"/>
            <w:r w:rsidRPr="00585823">
              <w:rPr>
                <w:rFonts w:asciiTheme="minorHAnsi" w:hAnsiTheme="minorHAnsi" w:cstheme="minorHAnsi"/>
                <w:sz w:val="14"/>
                <w:szCs w:val="14"/>
                <w:lang w:val="en-US"/>
              </w:rPr>
              <w:t>intratumoral</w:t>
            </w:r>
            <w:proofErr w:type="spellEnd"/>
            <w:r w:rsidRPr="00585823">
              <w:rPr>
                <w:rFonts w:asciiTheme="minorHAnsi" w:hAnsiTheme="minorHAnsi" w:cstheme="minorHAnsi"/>
                <w:sz w:val="14"/>
                <w:szCs w:val="14"/>
                <w:lang w:val="en-US"/>
              </w:rPr>
              <w:t xml:space="preserve"> bacteria)</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DB327F" w:rsidRDefault="00C37C4D" w:rsidP="00C37C4D">
            <w:pPr>
              <w:rPr>
                <w:rFonts w:asciiTheme="minorHAnsi" w:hAnsiTheme="minorHAnsi" w:cstheme="minorHAnsi"/>
                <w:sz w:val="14"/>
                <w:szCs w:val="14"/>
              </w:rPr>
            </w:pPr>
            <w:r w:rsidRPr="00DB327F">
              <w:rPr>
                <w:rFonts w:asciiTheme="minorHAnsi" w:hAnsiTheme="minorHAnsi" w:cstheme="minorHAnsi"/>
                <w:sz w:val="14"/>
                <w:szCs w:val="14"/>
              </w:rPr>
              <w:t xml:space="preserve">Oral </w:t>
            </w:r>
            <w:r w:rsidRPr="00DB327F">
              <w:rPr>
                <w:rFonts w:asciiTheme="minorHAnsi" w:hAnsiTheme="minorHAnsi" w:cstheme="minorHAnsi"/>
                <w:i/>
                <w:sz w:val="14"/>
                <w:szCs w:val="14"/>
              </w:rPr>
              <w:t xml:space="preserve">B. </w:t>
            </w:r>
            <w:proofErr w:type="spellStart"/>
            <w:r w:rsidRPr="00DB327F">
              <w:rPr>
                <w:rFonts w:asciiTheme="minorHAnsi" w:hAnsiTheme="minorHAnsi" w:cstheme="minorHAnsi"/>
                <w:i/>
                <w:sz w:val="14"/>
                <w:szCs w:val="14"/>
              </w:rPr>
              <w:t>pseudolongum</w:t>
            </w:r>
            <w:proofErr w:type="spellEnd"/>
            <w:r w:rsidRPr="00DB327F">
              <w:rPr>
                <w:rFonts w:asciiTheme="minorHAnsi" w:hAnsiTheme="minorHAnsi" w:cstheme="minorHAnsi"/>
                <w:i/>
                <w:sz w:val="14"/>
                <w:szCs w:val="14"/>
              </w:rPr>
              <w:t xml:space="preserve">, L. </w:t>
            </w:r>
            <w:proofErr w:type="spellStart"/>
            <w:r w:rsidRPr="00DB327F">
              <w:rPr>
                <w:rFonts w:asciiTheme="minorHAnsi" w:hAnsiTheme="minorHAnsi" w:cstheme="minorHAnsi"/>
                <w:i/>
                <w:sz w:val="14"/>
                <w:szCs w:val="14"/>
              </w:rPr>
              <w:t>johnsonii</w:t>
            </w:r>
            <w:proofErr w:type="spellEnd"/>
            <w:r w:rsidRPr="00DB327F">
              <w:rPr>
                <w:rFonts w:asciiTheme="minorHAnsi" w:hAnsiTheme="minorHAnsi" w:cstheme="minorHAnsi"/>
                <w:i/>
                <w:sz w:val="14"/>
                <w:szCs w:val="14"/>
              </w:rPr>
              <w:t xml:space="preserve">, </w:t>
            </w:r>
            <w:proofErr w:type="spellStart"/>
            <w:r w:rsidRPr="00DB327F">
              <w:rPr>
                <w:rFonts w:asciiTheme="minorHAnsi" w:hAnsiTheme="minorHAnsi" w:cstheme="minorHAnsi"/>
                <w:i/>
                <w:sz w:val="14"/>
                <w:szCs w:val="14"/>
              </w:rPr>
              <w:t>Olsenella</w:t>
            </w:r>
            <w:proofErr w:type="spellEnd"/>
            <w:r w:rsidRPr="00DB327F">
              <w:rPr>
                <w:rFonts w:asciiTheme="minorHAnsi" w:hAnsiTheme="minorHAnsi" w:cstheme="minorHAnsi"/>
                <w:i/>
                <w:sz w:val="14"/>
                <w:szCs w:val="14"/>
              </w:rPr>
              <w:t xml:space="preserve"> </w:t>
            </w:r>
            <w:proofErr w:type="spellStart"/>
            <w:proofErr w:type="gramStart"/>
            <w:r w:rsidRPr="00DB327F">
              <w:rPr>
                <w:rFonts w:asciiTheme="minorHAnsi" w:hAnsiTheme="minorHAnsi" w:cstheme="minorHAnsi"/>
                <w:i/>
                <w:sz w:val="14"/>
                <w:szCs w:val="14"/>
              </w:rPr>
              <w:t>spp</w:t>
            </w:r>
            <w:proofErr w:type="spellEnd"/>
            <w:r w:rsidRPr="00DB327F">
              <w:rPr>
                <w:rFonts w:asciiTheme="minorHAnsi" w:hAnsiTheme="minorHAnsi" w:cstheme="minorHAnsi"/>
                <w:i/>
                <w:sz w:val="14"/>
                <w:szCs w:val="14"/>
              </w:rPr>
              <w:t>.+</w:t>
            </w:r>
            <w:proofErr w:type="gramEnd"/>
            <w:r w:rsidRPr="00DB327F">
              <w:rPr>
                <w:rFonts w:asciiTheme="minorHAnsi" w:hAnsiTheme="minorHAnsi" w:cstheme="minorHAnsi"/>
                <w:i/>
                <w:sz w:val="14"/>
                <w:szCs w:val="14"/>
              </w:rPr>
              <w:t>ICI</w:t>
            </w:r>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DB327F">
              <w:rPr>
                <w:rFonts w:asciiTheme="minorHAnsi" w:hAnsiTheme="minorHAnsi" w:cstheme="minorHAnsi"/>
                <w:sz w:val="14"/>
                <w:szCs w:val="14"/>
              </w:rPr>
              <w:t xml:space="preserve"> </w:t>
            </w:r>
            <w:r w:rsidRPr="00585823">
              <w:rPr>
                <w:rFonts w:asciiTheme="minorHAnsi" w:hAnsiTheme="minorHAnsi" w:cstheme="minorHAnsi"/>
                <w:sz w:val="14"/>
                <w:szCs w:val="14"/>
                <w:lang w:val="en-US"/>
              </w:rPr>
              <w:t xml:space="preserve">DC exposed to </w:t>
            </w:r>
            <w:r w:rsidRPr="00585823">
              <w:rPr>
                <w:rFonts w:asciiTheme="minorHAnsi" w:hAnsiTheme="minorHAnsi" w:cstheme="minorHAnsi"/>
                <w:i/>
                <w:sz w:val="14"/>
                <w:szCs w:val="14"/>
                <w:lang w:val="en-US"/>
              </w:rPr>
              <w:t xml:space="preserve">B. </w:t>
            </w:r>
            <w:proofErr w:type="spellStart"/>
            <w:r w:rsidRPr="00585823">
              <w:rPr>
                <w:rFonts w:asciiTheme="minorHAnsi" w:hAnsiTheme="minorHAnsi" w:cstheme="minorHAnsi"/>
                <w:i/>
                <w:sz w:val="14"/>
                <w:szCs w:val="14"/>
                <w:lang w:val="en-US"/>
              </w:rPr>
              <w:t>pseudolongum</w:t>
            </w:r>
            <w:proofErr w:type="spellEnd"/>
            <w:r w:rsidRPr="00585823">
              <w:rPr>
                <w:rFonts w:asciiTheme="minorHAnsi" w:hAnsiTheme="minorHAnsi" w:cstheme="minorHAnsi"/>
                <w:sz w:val="14"/>
                <w:szCs w:val="14"/>
                <w:lang w:val="en-US"/>
              </w:rPr>
              <w:t xml:space="preserve"> or </w:t>
            </w:r>
            <w:proofErr w:type="spellStart"/>
            <w:r w:rsidRPr="00585823">
              <w:rPr>
                <w:rFonts w:asciiTheme="minorHAnsi" w:hAnsiTheme="minorHAnsi" w:cstheme="minorHAnsi"/>
                <w:sz w:val="14"/>
                <w:szCs w:val="14"/>
                <w:lang w:val="en-US"/>
              </w:rPr>
              <w:t>A.muc</w:t>
            </w:r>
            <w:proofErr w:type="spellEnd"/>
            <w:r w:rsidRPr="00585823">
              <w:rPr>
                <w:rFonts w:asciiTheme="minorHAnsi" w:hAnsiTheme="minorHAnsi" w:cstheme="minorHAnsi"/>
                <w:sz w:val="14"/>
                <w:szCs w:val="14"/>
                <w:lang w:val="en-US"/>
              </w:rPr>
              <w:t xml:space="preserve"> produce IL-12 which, through IL-12R</w:t>
            </w:r>
            <w:r w:rsidR="00DB327F">
              <w:rPr>
                <w:rFonts w:asciiTheme="minorHAnsi" w:hAnsiTheme="minorHAnsi" w:cstheme="minorHAnsi"/>
                <w:sz w:val="14"/>
                <w:szCs w:val="14"/>
                <w:lang w:val="en-US"/>
              </w:rPr>
              <w:sym w:font="Symbol" w:char="F062"/>
            </w:r>
            <w:r w:rsidRPr="00585823">
              <w:rPr>
                <w:rFonts w:asciiTheme="minorHAnsi" w:hAnsiTheme="minorHAnsi" w:cstheme="minorHAnsi"/>
                <w:sz w:val="14"/>
                <w:szCs w:val="14"/>
                <w:lang w:val="en-US"/>
              </w:rPr>
              <w:t xml:space="preserve"> </w:t>
            </w:r>
            <w:proofErr w:type="spellStart"/>
            <w:r w:rsidRPr="00585823">
              <w:rPr>
                <w:rFonts w:asciiTheme="minorHAnsi" w:hAnsiTheme="minorHAnsi" w:cstheme="minorHAnsi"/>
                <w:sz w:val="14"/>
                <w:szCs w:val="14"/>
                <w:lang w:val="en-US"/>
              </w:rPr>
              <w:t>cosignaling</w:t>
            </w:r>
            <w:proofErr w:type="spellEnd"/>
            <w:r w:rsidRPr="00585823">
              <w:rPr>
                <w:rFonts w:asciiTheme="minorHAnsi" w:hAnsiTheme="minorHAnsi" w:cstheme="minorHAnsi"/>
                <w:sz w:val="14"/>
                <w:szCs w:val="14"/>
                <w:lang w:val="en-US"/>
              </w:rPr>
              <w:t xml:space="preserve"> with A</w:t>
            </w:r>
            <w:r w:rsidRPr="00585823">
              <w:rPr>
                <w:rFonts w:asciiTheme="minorHAnsi" w:hAnsiTheme="minorHAnsi" w:cstheme="minorHAnsi"/>
                <w:sz w:val="14"/>
                <w:szCs w:val="14"/>
                <w:vertAlign w:val="subscript"/>
                <w:lang w:val="en-US"/>
              </w:rPr>
              <w:t>2A</w:t>
            </w:r>
            <w:r w:rsidRPr="00585823">
              <w:rPr>
                <w:rFonts w:asciiTheme="minorHAnsi" w:hAnsiTheme="minorHAnsi" w:cstheme="minorHAnsi"/>
                <w:sz w:val="14"/>
                <w:szCs w:val="14"/>
                <w:lang w:val="en-US"/>
              </w:rPr>
              <w:t>R on T cells induce TH1 differentiation</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Anticancer metabolite inosine </w:t>
            </w:r>
            <w:proofErr w:type="spellStart"/>
            <w:r w:rsidRPr="00585823">
              <w:rPr>
                <w:rFonts w:asciiTheme="minorHAnsi" w:hAnsiTheme="minorHAnsi" w:cstheme="minorHAnsi"/>
                <w:sz w:val="14"/>
                <w:szCs w:val="14"/>
                <w:lang w:val="en-US"/>
              </w:rPr>
              <w:t>translocates</w:t>
            </w:r>
            <w:proofErr w:type="spellEnd"/>
            <w:r w:rsidRPr="00585823">
              <w:rPr>
                <w:rFonts w:asciiTheme="minorHAnsi" w:hAnsiTheme="minorHAnsi" w:cstheme="minorHAnsi"/>
                <w:sz w:val="14"/>
                <w:szCs w:val="14"/>
                <w:lang w:val="en-US"/>
              </w:rPr>
              <w:t xml:space="preserve"> from gut to tumor beds.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Inosine (</w:t>
            </w:r>
            <w:proofErr w:type="spellStart"/>
            <w:r w:rsidRPr="00585823">
              <w:rPr>
                <w:rFonts w:asciiTheme="minorHAnsi" w:hAnsiTheme="minorHAnsi" w:cstheme="minorHAnsi"/>
                <w:sz w:val="14"/>
                <w:szCs w:val="14"/>
                <w:lang w:val="en-US"/>
              </w:rPr>
              <w:t>ip</w:t>
            </w:r>
            <w:proofErr w:type="spellEnd"/>
            <w:r w:rsidRPr="00585823">
              <w:rPr>
                <w:rFonts w:asciiTheme="minorHAnsi" w:hAnsiTheme="minorHAnsi" w:cstheme="minorHAnsi"/>
                <w:sz w:val="14"/>
                <w:szCs w:val="14"/>
                <w:lang w:val="en-US"/>
              </w:rPr>
              <w:t xml:space="preserve">, iv or per </w:t>
            </w:r>
            <w:proofErr w:type="spellStart"/>
            <w:r w:rsidRPr="00585823">
              <w:rPr>
                <w:rFonts w:asciiTheme="minorHAnsi" w:hAnsiTheme="minorHAnsi" w:cstheme="minorHAnsi"/>
                <w:sz w:val="14"/>
                <w:szCs w:val="14"/>
                <w:lang w:val="en-US"/>
              </w:rPr>
              <w:t>os</w:t>
            </w:r>
            <w:proofErr w:type="spellEnd"/>
            <w:r w:rsidRPr="00585823">
              <w:rPr>
                <w:rFonts w:asciiTheme="minorHAnsi" w:hAnsiTheme="minorHAnsi" w:cstheme="minorHAnsi"/>
                <w:sz w:val="14"/>
                <w:szCs w:val="14"/>
                <w:lang w:val="en-US"/>
              </w:rPr>
              <w:t xml:space="preserve">) synergized with anti-CTLA4 </w:t>
            </w:r>
            <w:proofErr w:type="spellStart"/>
            <w:r w:rsidRPr="00585823">
              <w:rPr>
                <w:rFonts w:asciiTheme="minorHAnsi" w:hAnsiTheme="minorHAnsi" w:cstheme="minorHAnsi"/>
                <w:sz w:val="14"/>
                <w:szCs w:val="14"/>
                <w:lang w:val="en-US"/>
              </w:rPr>
              <w:t>mAbs</w:t>
            </w:r>
            <w:proofErr w:type="spellEnd"/>
            <w:r w:rsidRPr="00585823">
              <w:rPr>
                <w:rFonts w:asciiTheme="minorHAnsi" w:hAnsiTheme="minorHAnsi" w:cstheme="minorHAnsi"/>
                <w:sz w:val="14"/>
                <w:szCs w:val="14"/>
                <w:lang w:val="en-US"/>
              </w:rPr>
              <w:t xml:space="preserve"> in an IL-12 and A2AR-dependent manner</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tcPr>
          <w:p w:rsidR="00C37C4D" w:rsidRPr="00585823"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{"citationID":"jbUAxU5H","properties":{"formattedCitation":"(Mager et al. 2020)","plainCitation":"(Mager et al. 2020)","noteIndex":0},"citationItems":[{"id":3083,"uris":["http://zotero.org/users/2801898/items/JZDQ44P2"],"uri":["http://zotero.org/users/2801898/items/JZDQ44P2"],"itemData":{"id":3083,"type":"article-journal","abstract":"Several species of intestinal bacteria have been associated with enhanced efficacy of checkpoint blockade immunotherapy, but the underlying mechanisms by which the microbiome enhances antitumor immunity are unclear. In this study, we isolated three bacterial species-Bifidobacterium pseudolongum, Lactobacillus johnsonii, and Olsenella species-that significantly enhanced efficacy of immune checkpoint inhibitors in four mouse models of cancer. We found that intestinal B. pseudolongum modulated enhanced immunotherapy response through production of the metabolite inosine. Decreased gut barrier function induced by immunotherapy increased systemic translocation of inosine and activated antitumor T cells. The effect of inosine was dependent on T cell expression of the adenosine A2A receptor and required costimulation. Collectively, our study identifies a previously unknown microbial metabolite immune pathway activated by immunotherapy that may be exploited to develop microbial-based adjuvant therapies.","container-title":"Science (New York, N.Y.)","DOI":"10.1126/science.abc3421","ISSN":"1095-9203","issue":"6510","journalAbbreviation":"Science","language":"eng","note":"PMID: 32792462","page":"1481-1489","source":"PubMed","title":"Microbiome-derived inosine modulates response to checkpoint inhibitor immunotherapy","volume":"369","author":[{"family":"Mager","given":"Lukas F."},{"family":"Burkhard","given":"Regula"},{"family":"Pett","given":"Nicola"},{"family":"Cooke","given":"Noah C. A."},{"family":"Brown","given":"Kirsty"},{"family":"Ramay","given":"Hena"},{"family":"Paik","given":"Seungil"},{"family":"Stagg","given":"John"},{"family":"Groves","given":"Ryan A."},{"family":"Gallo","given":"Marco"},{"family":"Lewis","given":"Ian A."},{"family":"Geuking","given":"Markus B."},{"family":"McCoy","given":"Kathy D."}],"issued":{"date-parts":[["2020",9,18]]}}}],"schema":"https://github.com/citation-style-language/schema/raw/master/csl-citation.json"}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(Mager et al. 2020)</w:t>
            </w:r>
            <w:r>
              <w:rPr>
                <w:rFonts w:asciiTheme="minorHAnsi" w:hAnsiTheme="minorHAnsi" w:cstheme="minorHAnsi"/>
                <w:sz w:val="14"/>
                <w:szCs w:val="14"/>
                <w:lang w:val="en-US"/>
              </w:rPr>
              <w:fldChar w:fldCharType="end"/>
            </w:r>
          </w:p>
        </w:tc>
      </w:tr>
      <w:tr w:rsidR="008B716E" w:rsidRPr="00244861" w:rsidTr="0091404C">
        <w:trPr>
          <w:gridBefore w:val="1"/>
          <w:wBefore w:w="13" w:type="dxa"/>
          <w:trHeight w:val="370"/>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*MC38 colon cancer</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ATB</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GF</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Tac versus Jax mice and </w:t>
            </w:r>
          </w:p>
          <w:p w:rsidR="00C37C4D" w:rsidRPr="00244861" w:rsidRDefault="00C37C4D" w:rsidP="00C37C4D">
            <w:pPr>
              <w:rPr>
                <w:rFonts w:asciiTheme="minorHAnsi" w:hAnsiTheme="minorHAnsi" w:cstheme="minorHAnsi"/>
                <w:sz w:val="14"/>
                <w:szCs w:val="14"/>
                <w:lang w:val="en-US"/>
              </w:rPr>
            </w:pPr>
            <w:proofErr w:type="spellStart"/>
            <w:r w:rsidRPr="00244861">
              <w:rPr>
                <w:rStyle w:val="Accentuation"/>
                <w:rFonts w:asciiTheme="minorHAnsi" w:hAnsiTheme="minorHAnsi" w:cstheme="minorHAnsi"/>
                <w:sz w:val="14"/>
                <w:szCs w:val="14"/>
                <w:lang w:val="en-US"/>
              </w:rPr>
              <w:t>Ifnar</w:t>
            </w:r>
            <w:r w:rsidRPr="00244861">
              <w:rPr>
                <w:rStyle w:val="Accentuation"/>
                <w:rFonts w:asciiTheme="minorHAnsi" w:hAnsiTheme="minorHAnsi" w:cstheme="minorHAnsi"/>
                <w:sz w:val="14"/>
                <w:szCs w:val="14"/>
                <w:vertAlign w:val="superscript"/>
                <w:lang w:val="en-US"/>
              </w:rPr>
              <w:t>f</w:t>
            </w:r>
            <w:proofErr w:type="spellEnd"/>
            <w:r w:rsidRPr="00244861">
              <w:rPr>
                <w:rStyle w:val="Accentuation"/>
                <w:rFonts w:asciiTheme="minorHAnsi" w:hAnsiTheme="minorHAnsi" w:cstheme="minorHAnsi"/>
                <w:sz w:val="14"/>
                <w:szCs w:val="14"/>
                <w:vertAlign w:val="superscript"/>
                <w:lang w:val="en-US"/>
              </w:rPr>
              <w:t>/f</w:t>
            </w:r>
            <w:r w:rsidRPr="00244861">
              <w:rPr>
                <w:rStyle w:val="Accentuation"/>
                <w:rFonts w:asciiTheme="minorHAnsi" w:hAnsiTheme="minorHAnsi" w:cstheme="minorHAnsi"/>
                <w:sz w:val="14"/>
                <w:szCs w:val="14"/>
                <w:lang w:val="en-US"/>
              </w:rPr>
              <w:t>Cd11c</w:t>
            </w:r>
            <w:r w:rsidRPr="00244861">
              <w:rPr>
                <w:rFonts w:asciiTheme="minorHAnsi" w:hAnsiTheme="minorHAnsi" w:cstheme="minorHAnsi"/>
                <w:sz w:val="14"/>
                <w:szCs w:val="14"/>
                <w:vertAlign w:val="superscript"/>
                <w:lang w:val="en-US"/>
              </w:rPr>
              <w:t>Cre</w:t>
            </w:r>
            <w:r w:rsidRPr="00244861">
              <w:rPr>
                <w:rFonts w:asciiTheme="minorHAnsi" w:hAnsiTheme="minorHAnsi" w:cstheme="minorHAnsi"/>
                <w:sz w:val="14"/>
                <w:szCs w:val="14"/>
                <w:lang w:val="en-US"/>
              </w:rPr>
              <w:t xml:space="preserve"> mice</w:t>
            </w:r>
          </w:p>
          <w:p w:rsidR="00C37C4D" w:rsidRPr="00585823" w:rsidRDefault="00C37C4D" w:rsidP="00C37C4D">
            <w:pPr>
              <w:rPr>
                <w:rFonts w:asciiTheme="minorHAnsi" w:hAnsiTheme="minorHAnsi" w:cstheme="minorHAnsi"/>
                <w:sz w:val="14"/>
                <w:szCs w:val="14"/>
                <w:lang w:val="en-US"/>
              </w:rPr>
            </w:pP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anti-CD47 </w:t>
            </w:r>
            <w:proofErr w:type="spellStart"/>
            <w:r w:rsidRPr="00585823">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i/>
                <w:sz w:val="14"/>
                <w:szCs w:val="14"/>
                <w:lang w:val="en-US"/>
              </w:rPr>
            </w:pPr>
            <w:r w:rsidRPr="00585823">
              <w:rPr>
                <w:rFonts w:asciiTheme="minorHAnsi" w:hAnsiTheme="minorHAnsi" w:cstheme="minorHAnsi"/>
                <w:sz w:val="14"/>
                <w:szCs w:val="14"/>
                <w:lang w:val="en-US"/>
              </w:rPr>
              <w:t>Oral inoculation of</w:t>
            </w:r>
            <w:r w:rsidRPr="00585823">
              <w:rPr>
                <w:rFonts w:asciiTheme="minorHAnsi" w:hAnsiTheme="minorHAnsi" w:cstheme="minorHAnsi"/>
                <w:i/>
                <w:sz w:val="14"/>
                <w:szCs w:val="14"/>
                <w:lang w:val="en-US"/>
              </w:rPr>
              <w:t xml:space="preserve"> </w:t>
            </w:r>
            <w:proofErr w:type="spellStart"/>
            <w:r w:rsidRPr="00585823">
              <w:rPr>
                <w:rFonts w:asciiTheme="minorHAnsi" w:hAnsiTheme="minorHAnsi" w:cstheme="minorHAnsi"/>
                <w:i/>
                <w:sz w:val="14"/>
                <w:szCs w:val="14"/>
                <w:lang w:val="en-US"/>
              </w:rPr>
              <w:t>Bifidobacteria</w:t>
            </w:r>
            <w:proofErr w:type="spellEnd"/>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administration of </w:t>
            </w:r>
            <w:r w:rsidRPr="00585823">
              <w:rPr>
                <w:rStyle w:val="Accentuation"/>
                <w:rFonts w:asciiTheme="minorHAnsi" w:hAnsiTheme="minorHAnsi" w:cstheme="minorHAnsi"/>
                <w:sz w:val="14"/>
                <w:szCs w:val="14"/>
                <w:lang w:val="en-US"/>
              </w:rPr>
              <w:t>Bifidobacterium</w:t>
            </w:r>
            <w:r w:rsidRPr="00585823">
              <w:rPr>
                <w:rFonts w:asciiTheme="minorHAnsi" w:hAnsiTheme="minorHAnsi" w:cstheme="minorHAnsi"/>
                <w:sz w:val="14"/>
                <w:szCs w:val="14"/>
                <w:lang w:val="en-US"/>
              </w:rPr>
              <w:t xml:space="preserve"> and i.t. injection of anti-CD47 </w:t>
            </w:r>
            <w:proofErr w:type="spellStart"/>
            <w:r w:rsidR="00DB327F">
              <w:rPr>
                <w:rFonts w:asciiTheme="minorHAnsi" w:hAnsiTheme="minorHAnsi" w:cstheme="minorHAnsi"/>
                <w:sz w:val="14"/>
                <w:szCs w:val="14"/>
                <w:lang w:val="en-US"/>
              </w:rPr>
              <w:t>mAbs</w:t>
            </w:r>
            <w:proofErr w:type="spellEnd"/>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Stimulation of the STING signaling pathway</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Induction of IFN</w:t>
            </w:r>
            <w:r w:rsidR="00F31D8E">
              <w:rPr>
                <w:rFonts w:asciiTheme="minorHAnsi" w:hAnsiTheme="minorHAnsi" w:cstheme="minorHAnsi"/>
                <w:sz w:val="14"/>
                <w:szCs w:val="14"/>
                <w:lang w:val="en-US"/>
              </w:rPr>
              <w:sym w:font="Symbol" w:char="F062"/>
            </w:r>
            <w:r w:rsidRPr="00585823">
              <w:rPr>
                <w:rFonts w:asciiTheme="minorHAnsi" w:hAnsiTheme="minorHAnsi" w:cstheme="minorHAnsi"/>
                <w:sz w:val="14"/>
                <w:szCs w:val="14"/>
                <w:lang w:val="en-US"/>
              </w:rPr>
              <w:t xml:space="preserve"> in tumor DC. </w:t>
            </w:r>
            <w:proofErr w:type="spellStart"/>
            <w:proofErr w:type="gramStart"/>
            <w:r w:rsidRPr="00585823">
              <w:rPr>
                <w:rFonts w:asciiTheme="minorHAnsi" w:hAnsiTheme="minorHAnsi" w:cstheme="minorHAnsi"/>
                <w:sz w:val="14"/>
                <w:szCs w:val="14"/>
                <w:lang w:val="en-US"/>
              </w:rPr>
              <w:t>Intratumoral</w:t>
            </w:r>
            <w:proofErr w:type="spellEnd"/>
            <w:r w:rsidRPr="00585823">
              <w:rPr>
                <w:rFonts w:asciiTheme="minorHAnsi" w:hAnsiTheme="minorHAnsi" w:cstheme="minorHAnsi"/>
                <w:sz w:val="14"/>
                <w:szCs w:val="14"/>
                <w:lang w:val="en-US"/>
              </w:rPr>
              <w:t xml:space="preserve">  (</w:t>
            </w:r>
            <w:proofErr w:type="gramEnd"/>
            <w:r w:rsidRPr="00585823">
              <w:rPr>
                <w:rFonts w:asciiTheme="minorHAnsi" w:hAnsiTheme="minorHAnsi" w:cstheme="minorHAnsi"/>
                <w:sz w:val="14"/>
                <w:szCs w:val="14"/>
                <w:lang w:val="en-US"/>
              </w:rPr>
              <w:t xml:space="preserve">i.t) elimination of </w:t>
            </w:r>
            <w:r w:rsidRPr="00585823">
              <w:rPr>
                <w:rStyle w:val="Accentuation"/>
                <w:rFonts w:asciiTheme="minorHAnsi" w:hAnsiTheme="minorHAnsi" w:cstheme="minorHAnsi"/>
                <w:sz w:val="14"/>
                <w:szCs w:val="14"/>
                <w:lang w:val="en-US"/>
              </w:rPr>
              <w:t>Bifidobacterium</w:t>
            </w:r>
            <w:r w:rsidRPr="00585823">
              <w:rPr>
                <w:rFonts w:asciiTheme="minorHAnsi" w:hAnsiTheme="minorHAnsi" w:cstheme="minorHAnsi"/>
                <w:sz w:val="14"/>
                <w:szCs w:val="14"/>
                <w:lang w:val="en-US"/>
              </w:rPr>
              <w:t xml:space="preserve"> by an antibiotic cocktail reduced the cross-priming ability of tumor DCs</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tcPr>
          <w:p w:rsidR="00C37C4D" w:rsidRPr="00244861" w:rsidRDefault="00244861"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Pr>
                <w:rFonts w:asciiTheme="minorHAnsi" w:hAnsiTheme="minorHAnsi" w:cstheme="minorHAnsi"/>
                <w:sz w:val="14"/>
                <w:szCs w:val="14"/>
                <w:lang w:val="en-US"/>
              </w:rPr>
              <w:instrText xml:space="preserve"> ADDIN ZOTERO_ITEM CSL_CITATION {"citationID":"J2Vu8JhA","properties":{"formattedCitation":"(Y. Shi et al. 2020)","plainCitation":"(Y. Shi et al. 2020)","noteIndex":0},"citationItems":[{"id":3085,"uris":["http://zotero.org/users/2801898/items/HIHWRBPD"],"uri":["http://zotero.org/users/2801898/items/HIHWRBPD"],"itemData":{"id":3085,"type":"article-journal","abstract":"Most studies focus on how intestinal microbiota influence cancer immunotherapy through activating gut immunity. However, immunotherapies related to innate responses such as CD47 blockade rely on the rapid immune responses within the tumor microenvironment. Using one defined anaerobic gut microbiota to track whether microbiota interact with host immunity, we observed that Bifidobacterium facilitates local anti-CD47 immunotherapy on tumor tissues through the capacity to accumulate within the tumor microenvironment. Systemic administration of Bifidobacterium leads to its accumulation within the tumor and converts the nonresponder mice into responders to anti-CD47 immunotherapy in a stimulator of interferon genes (STING)- and interferon-dependent fashion. Local delivery of Bifidobacterium potently stimulates STING signaling and increases cross-priming of dendritic cells after anti-CD47 treatment. Our study identifies the mechanism by which gut microbiota preferentially colonize in tumor sites and facilitate immunotherapy via STING signaling.","container-title":"The Journal of Experimental Medicine","DOI":"10.1084/jem.20192282","ISSN":"1540-9538","issue":"5","journalAbbreviation":"J Exp Med","language":"eng","note":"PMID: 32142585\nPMCID: PMC7201921","source":"PubMed","title":"Intratumoral accumulation of gut microbiota facilitates CD47-based immunotherapy via STING signaling","volume":"217","author":[{"family":"Shi","given":"Yaoyao"},{"family":"Zheng","given":"Wenxin"},{"family":"Yang","given":"Kaiting"},{"family":"Harris","given":"Katharine G."},{"family":"Ni","given":"Kaiyuan"},{"family":"Xue","given":"Lai"},{"family":"Lin","given":"Wenbin"},{"family":"Chang","given":"Eugene B."},{"family":"Weichselbaum","given":"Ralph R."},{"family":"Fu","given":"Yang-Xin"}],"issued":{"date-parts":[["2020",5,4]]}}}],"schema":"https://github.com/citation-style-language/schema/raw/master/csl-citation.json"}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lang w:val="en-US"/>
              </w:rPr>
              <w:t>(Y. Shi et al. 2020)</w:t>
            </w:r>
            <w:r>
              <w:rPr>
                <w:rFonts w:asciiTheme="minorHAnsi" w:hAnsiTheme="minorHAnsi" w:cstheme="minorHAnsi"/>
                <w:sz w:val="14"/>
                <w:szCs w:val="14"/>
                <w:lang w:val="en-US"/>
              </w:rPr>
              <w:fldChar w:fldCharType="end"/>
            </w:r>
          </w:p>
        </w:tc>
      </w:tr>
      <w:tr w:rsidR="00585823" w:rsidRPr="00DB327F" w:rsidTr="0091404C">
        <w:trPr>
          <w:gridBefore w:val="1"/>
          <w:wBefore w:w="13" w:type="dxa"/>
          <w:trHeight w:val="370"/>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w:t>
            </w:r>
            <w:r w:rsidR="00244861">
              <w:rPr>
                <w:rFonts w:asciiTheme="minorHAnsi" w:hAnsiTheme="minorHAnsi" w:cstheme="minorHAnsi"/>
                <w:sz w:val="14"/>
                <w:szCs w:val="14"/>
                <w:lang w:val="en-US"/>
              </w:rPr>
              <w:t>P</w:t>
            </w:r>
            <w:r w:rsidRPr="00585823">
              <w:rPr>
                <w:rFonts w:asciiTheme="minorHAnsi" w:hAnsiTheme="minorHAnsi" w:cstheme="minorHAnsi"/>
                <w:sz w:val="14"/>
                <w:szCs w:val="14"/>
                <w:lang w:val="en-US"/>
              </w:rPr>
              <w:t>reinvasive and invasive pancreatic ductal adenocarcinoma (PDA)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*orthotopic KPC</w:t>
            </w:r>
          </w:p>
          <w:p w:rsidR="00C37C4D" w:rsidRPr="00585823" w:rsidRDefault="00C37C4D" w:rsidP="00C37C4D">
            <w:pPr>
              <w:rPr>
                <w:rFonts w:asciiTheme="minorHAnsi" w:hAnsiTheme="minorHAnsi" w:cstheme="minorHAnsi"/>
                <w:sz w:val="14"/>
                <w:szCs w:val="14"/>
                <w:lang w:val="en-US"/>
              </w:rPr>
            </w:pP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ATB</w:t>
            </w:r>
          </w:p>
          <w:p w:rsidR="00C37C4D" w:rsidRPr="00585823" w:rsidRDefault="00C37C4D" w:rsidP="00C37C4D">
            <w:pPr>
              <w:rPr>
                <w:rFonts w:asciiTheme="minorHAnsi" w:hAnsiTheme="minorHAnsi" w:cstheme="minorHAnsi"/>
                <w:sz w:val="14"/>
                <w:szCs w:val="14"/>
                <w:lang w:val="en-US"/>
              </w:rPr>
            </w:pP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anti-PD1 </w:t>
            </w:r>
            <w:proofErr w:type="spellStart"/>
            <w:r w:rsidRPr="00585823">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TRAF6 inhibitors decreased while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TLR2 and TLR5 ligands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increased PDA aggressiveness</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administration of </w:t>
            </w:r>
            <w:proofErr w:type="spellStart"/>
            <w:r w:rsidRPr="00585823">
              <w:rPr>
                <w:rFonts w:asciiTheme="minorHAnsi" w:hAnsiTheme="minorHAnsi" w:cstheme="minorHAnsi"/>
                <w:sz w:val="14"/>
                <w:szCs w:val="14"/>
                <w:lang w:val="en-US"/>
              </w:rPr>
              <w:t>protumorigenic</w:t>
            </w:r>
            <w:proofErr w:type="spellEnd"/>
            <w:r w:rsidRPr="00585823">
              <w:rPr>
                <w:rFonts w:asciiTheme="minorHAnsi" w:hAnsiTheme="minorHAnsi" w:cstheme="minorHAnsi"/>
                <w:sz w:val="14"/>
                <w:szCs w:val="14"/>
                <w:lang w:val="en-US"/>
              </w:rPr>
              <w:t xml:space="preserve"> </w:t>
            </w:r>
            <w:r w:rsidRPr="00585823">
              <w:rPr>
                <w:rFonts w:asciiTheme="minorHAnsi" w:hAnsiTheme="minorHAnsi" w:cstheme="minorHAnsi"/>
                <w:i/>
                <w:sz w:val="14"/>
                <w:szCs w:val="14"/>
                <w:lang w:val="en-US"/>
              </w:rPr>
              <w:t xml:space="preserve">B. </w:t>
            </w:r>
            <w:proofErr w:type="spellStart"/>
            <w:r w:rsidRPr="00585823">
              <w:rPr>
                <w:rFonts w:asciiTheme="minorHAnsi" w:hAnsiTheme="minorHAnsi" w:cstheme="minorHAnsi"/>
                <w:i/>
                <w:sz w:val="14"/>
                <w:szCs w:val="14"/>
                <w:lang w:val="en-US"/>
              </w:rPr>
              <w:t>pseudolongum</w:t>
            </w:r>
            <w:proofErr w:type="spellEnd"/>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MDSC and TLR signaling.</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 xml:space="preserve">Proteobacteria and B. </w:t>
            </w:r>
            <w:proofErr w:type="spellStart"/>
            <w:r w:rsidRPr="00585823">
              <w:rPr>
                <w:rFonts w:asciiTheme="minorHAnsi" w:hAnsiTheme="minorHAnsi" w:cstheme="minorHAnsi"/>
                <w:i/>
                <w:sz w:val="14"/>
                <w:szCs w:val="14"/>
                <w:lang w:val="en-US"/>
              </w:rPr>
              <w:t>pseudolongum</w:t>
            </w:r>
            <w:proofErr w:type="spellEnd"/>
            <w:r w:rsidRPr="00585823">
              <w:rPr>
                <w:rFonts w:asciiTheme="minorHAnsi" w:hAnsiTheme="minorHAnsi" w:cstheme="minorHAnsi"/>
                <w:sz w:val="14"/>
                <w:szCs w:val="14"/>
                <w:lang w:val="en-US"/>
              </w:rPr>
              <w:t xml:space="preserve"> more abundant in gut and tumor and accelerated oncogenesis in a TLR-dependent manner</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Reprogramming of M2 into M1, and TH1+ cytotoxic CTL in PDA. Combination of ATB and PD</w:t>
            </w:r>
            <w:r w:rsidR="00F31D8E">
              <w:rPr>
                <w:rFonts w:asciiTheme="minorHAnsi" w:hAnsiTheme="minorHAnsi" w:cstheme="minorHAnsi"/>
                <w:sz w:val="14"/>
                <w:szCs w:val="14"/>
                <w:lang w:val="en-US"/>
              </w:rPr>
              <w:t>-</w:t>
            </w:r>
            <w:r w:rsidRPr="00585823">
              <w:rPr>
                <w:rFonts w:asciiTheme="minorHAnsi" w:hAnsiTheme="minorHAnsi" w:cstheme="minorHAnsi"/>
                <w:sz w:val="14"/>
                <w:szCs w:val="14"/>
                <w:lang w:val="en-US"/>
              </w:rPr>
              <w:t>1 blockade reduce PDA growth</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tcPr>
          <w:p w:rsidR="00C37C4D" w:rsidRPr="00244861" w:rsidRDefault="00244861" w:rsidP="00C37C4D">
            <w:pPr>
              <w:rPr>
                <w:rStyle w:val="id-label"/>
                <w:rFonts w:asciiTheme="minorHAnsi" w:hAnsiTheme="minorHAnsi" w:cstheme="minorHAnsi"/>
                <w:sz w:val="14"/>
                <w:szCs w:val="14"/>
                <w:lang w:val="en-US"/>
              </w:rPr>
            </w:pPr>
            <w:r>
              <w:rPr>
                <w:rStyle w:val="id-label"/>
                <w:rFonts w:asciiTheme="minorHAnsi" w:hAnsiTheme="minorHAnsi" w:cstheme="minorHAnsi"/>
                <w:sz w:val="14"/>
                <w:szCs w:val="14"/>
              </w:rPr>
              <w:fldChar w:fldCharType="begin"/>
            </w:r>
            <w:r>
              <w:rPr>
                <w:rStyle w:val="id-label"/>
                <w:rFonts w:asciiTheme="minorHAnsi" w:hAnsiTheme="minorHAnsi" w:cstheme="minorHAnsi"/>
                <w:sz w:val="14"/>
                <w:szCs w:val="14"/>
              </w:rPr>
              <w:instrText xml:space="preserve"> ADDIN ZOTERO_ITEM CSL_CITATION {"citationID":"x3EmH7St","properties":{"formattedCitation":"(Pushalkar et al. 2018)","plainCitation":"(Pushalkar et al. 2018)","noteIndex":0},"citationItems":[{"id":700,"uris":["http://zotero.org/users/2801898/items/P7LQGS65"],"uri":["http://zotero.org/users/2801898/items/P7LQGS65"],"itemData":{"id":700,"type":"article-journal","abstract":"We found that the cancerous pancreas harbors a markedly more abundant microbiome compared with normal pancreas in both mice and humans, and select bacteria are differentially increased in the tumorous pancreas compared with gut. Ablation of the microbiome protects against preinvasive and invasive pancreatic ductal adenocarcinoma (PDA), whereas transfer of bacteria from PDA-bearing hosts, but not controls, reverses tumor protection. Bacterial ablation was associated with immunogenic reprogramming of the PDA tumor microenvironment, including a reduction in myeloid-derived suppressor cells and an increase in M1 macrophage differentiation, promoting TH1 differentiation of CD4+ T cells and CD8+ T-cell activation. Bacterial ablation also enabled efficacy for checkpoint-targeted immunotherapy by upregulating PD-1 expression. Mechanistically, the PDA microbiome generated a tolerogenic immune program by differentially activating select Toll-like receptors in monocytic cells. These data suggest that endogenous microbiota promote the crippling immune-suppression characteristic of PDA and that the microbiome has potential as a therapeutic target in the modulation of disease progression.Significance: We found that a distinct and abundant microbiome drives suppressive monocytic cellular differentiation in pancreatic cancer via selective Toll-like receptor ligation leading to T-cell anergy. Targeting the microbiome protects against oncogenesis, reverses intratumoral immune tolerance, and enables efficacy for checkpoint-based immunotherapy. These data have implications for understanding immune suppression in pancreatic cancer and its reversal in the clinic. Cancer Discov; 8(4); 403-16. ©2018 AACR.See related commentary by Riquelme et al., p. 386This article is highlighted in the In This Issue feature, p. 371.","container-title":"Cancer Discovery","DOI":"10.1158/2159-8290.CD-17-1134","ISSN":"2159-8290","issue":"4","journalAbbreviation":"Cancer Discov","language":"eng","note":"PMID: 29567829\nPMCID: PMC6225783","page":"403-416","source":"PubMed","title":"The Pancreatic</w:instrText>
            </w:r>
            <w:r w:rsidRPr="00244861">
              <w:rPr>
                <w:rStyle w:val="id-label"/>
                <w:rFonts w:asciiTheme="minorHAnsi" w:hAnsiTheme="minorHAnsi" w:cstheme="minorHAnsi"/>
                <w:sz w:val="14"/>
                <w:szCs w:val="14"/>
                <w:lang w:val="en-US"/>
              </w:rPr>
              <w:instrText xml:space="preserve"> Cancer Microbiome Promotes Oncogenesis by Induction of Innate and Adaptive Immune Suppression","volume":"8","author":[{"family":"Pushalkar","given":"Smruti"},{"family":"Hundeyin","given":"Mautin"},{"family":"Daley","given":"Donnele"},{"family":"Zambirinis","given":"Constantinos P."},{"family":"Kurz","given":"Emma"},{"family":"Mishra","given":"Ankita"},{"family":"Mohan","given":"Navyatha"},{"family":"Aykut","given":"Berk"},{"family":"Usyk","given":"Mykhaylo"},{"family":"Torres","given":"Luisana E."},{"family":"Werba","given":"Gregor"},{"family":"Zhang","given":"Kevin"},{"family":"Guo","given":"Yuqi"},{"family":"Li","given":"Qianhao"},{"family":"Akkad","given":"Neha"},{"family":"Lall","given":"Sarah"},{"family":"Wadowski","given":"Benjamin"},{"family":"Gutierrez","given":"Johana"},{"family":"Kochen Rossi","given":"Juan Andres"},{"family":"Herzog","given":"Jeremy W."},{"family":"Diskin","given":"Brian"},{"family":"Torres-Hernandez","given":"Alejandro"},{"family":"Leinwand","given":"Josh"},{"family":"Wang","given":"Wei"},{"family":"Taunk","given":"Pardeep S."},{"family":"Savadkar","given":"Shivraj"},{"family":"Janal","given":"Malvin"},{"family":"Saxena","given":"Anjana"},{"family":"Li","given":"Xin"},{"family":"Cohen","given":"Deirdre"},{"family":"Sartor","given":"R. Balfour"},{"family":"Saxena","given":"Deepak"},{"family":"Miller","given":"George"}],"issued":{"date-parts":[["2018"]]}}}],"schema":"https://github.com/citation-style-language/schema/raw/master/csl-citation.json"} </w:instrText>
            </w:r>
            <w:r>
              <w:rPr>
                <w:rStyle w:val="id-label"/>
                <w:rFonts w:asciiTheme="minorHAnsi" w:hAnsiTheme="minorHAnsi" w:cstheme="minorHAnsi"/>
                <w:sz w:val="14"/>
                <w:szCs w:val="14"/>
              </w:rPr>
              <w:fldChar w:fldCharType="separate"/>
            </w:r>
            <w:r w:rsidRPr="00244861">
              <w:rPr>
                <w:rStyle w:val="id-label"/>
                <w:rFonts w:asciiTheme="minorHAnsi" w:hAnsiTheme="minorHAnsi" w:cstheme="minorHAnsi"/>
                <w:noProof/>
                <w:sz w:val="14"/>
                <w:szCs w:val="14"/>
                <w:lang w:val="en-US"/>
              </w:rPr>
              <w:t>(Pushalkar et al. 2018)</w:t>
            </w:r>
            <w:r>
              <w:rPr>
                <w:rStyle w:val="id-label"/>
                <w:rFonts w:asciiTheme="minorHAnsi" w:hAnsiTheme="minorHAnsi" w:cstheme="minorHAnsi"/>
                <w:sz w:val="14"/>
                <w:szCs w:val="14"/>
              </w:rPr>
              <w:fldChar w:fldCharType="end"/>
            </w:r>
          </w:p>
        </w:tc>
      </w:tr>
      <w:tr w:rsidR="00585823" w:rsidRPr="00DB327F" w:rsidTr="0091404C">
        <w:trPr>
          <w:gridBefore w:val="1"/>
          <w:wBefore w:w="13" w:type="dxa"/>
          <w:trHeight w:val="370"/>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*RET melanoma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*TC1 iv metastases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*RENCA kidney cancer</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Humans in carb free diet interventions</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Ketogenic diet (KD)</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or 3OH butyrate (3HB) in SPF mice</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anti-PD1 </w:t>
            </w:r>
            <w:proofErr w:type="spellStart"/>
            <w:r w:rsidRPr="00585823">
              <w:rPr>
                <w:rFonts w:asciiTheme="minorHAnsi" w:hAnsiTheme="minorHAnsi" w:cstheme="minorHAnsi"/>
                <w:sz w:val="14"/>
                <w:szCs w:val="14"/>
                <w:lang w:val="en-US"/>
              </w:rPr>
              <w:t>mAbs</w:t>
            </w:r>
            <w:proofErr w:type="spellEnd"/>
            <w:r w:rsidRPr="00585823">
              <w:rPr>
                <w:rFonts w:asciiTheme="minorHAnsi" w:hAnsiTheme="minorHAnsi" w:cstheme="minorHAnsi"/>
                <w:sz w:val="14"/>
                <w:szCs w:val="14"/>
                <w:lang w:val="en-US"/>
              </w:rPr>
              <w:t>+/-anti-CTLA</w:t>
            </w:r>
            <w:r w:rsidR="00F72381">
              <w:rPr>
                <w:rFonts w:asciiTheme="minorHAnsi" w:hAnsiTheme="minorHAnsi" w:cstheme="minorHAnsi"/>
                <w:sz w:val="14"/>
                <w:szCs w:val="14"/>
                <w:lang w:val="en-US"/>
              </w:rPr>
              <w:t>-</w:t>
            </w:r>
            <w:r w:rsidRPr="00585823">
              <w:rPr>
                <w:rFonts w:asciiTheme="minorHAnsi" w:hAnsiTheme="minorHAnsi" w:cstheme="minorHAnsi"/>
                <w:sz w:val="14"/>
                <w:szCs w:val="14"/>
                <w:lang w:val="en-US"/>
              </w:rPr>
              <w:t xml:space="preserve">4 </w:t>
            </w:r>
            <w:proofErr w:type="spellStart"/>
            <w:r w:rsidRPr="00585823">
              <w:rPr>
                <w:rFonts w:asciiTheme="minorHAnsi" w:hAnsiTheme="minorHAnsi" w:cstheme="minorHAnsi"/>
                <w:sz w:val="14"/>
                <w:szCs w:val="14"/>
                <w:lang w:val="en-US"/>
              </w:rPr>
              <w:t>mAbs</w:t>
            </w:r>
            <w:proofErr w:type="spellEnd"/>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Nutritional interventions (Ketogenic diet</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 3OH butyrate (3HB° </w:t>
            </w:r>
            <w:proofErr w:type="spellStart"/>
            <w:r w:rsidRPr="00585823">
              <w:rPr>
                <w:rFonts w:asciiTheme="minorHAnsi" w:hAnsiTheme="minorHAnsi" w:cstheme="minorHAnsi"/>
                <w:sz w:val="14"/>
                <w:szCs w:val="14"/>
                <w:lang w:val="en-US"/>
              </w:rPr>
              <w:t>ip</w:t>
            </w:r>
            <w:proofErr w:type="spellEnd"/>
            <w:r w:rsidRPr="00585823">
              <w:rPr>
                <w:rFonts w:asciiTheme="minorHAnsi" w:hAnsiTheme="minorHAnsi" w:cstheme="minorHAnsi"/>
                <w:sz w:val="14"/>
                <w:szCs w:val="14"/>
                <w:lang w:val="en-US"/>
              </w:rPr>
              <w:t xml:space="preserve">, iv, or per </w:t>
            </w:r>
            <w:proofErr w:type="spellStart"/>
            <w:r w:rsidRPr="00585823">
              <w:rPr>
                <w:rFonts w:asciiTheme="minorHAnsi" w:hAnsiTheme="minorHAnsi" w:cstheme="minorHAnsi"/>
                <w:sz w:val="14"/>
                <w:szCs w:val="14"/>
                <w:lang w:val="en-US"/>
              </w:rPr>
              <w:t>os</w:t>
            </w:r>
            <w:proofErr w:type="spellEnd"/>
            <w:r w:rsidRPr="00585823">
              <w:rPr>
                <w:rFonts w:asciiTheme="minorHAnsi" w:hAnsiTheme="minorHAnsi" w:cstheme="minorHAnsi"/>
                <w:sz w:val="14"/>
                <w:szCs w:val="14"/>
                <w:lang w:val="en-US"/>
              </w:rPr>
              <w:t>)</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Diet-induced changes of microbiota composition (richness in </w:t>
            </w:r>
            <w:proofErr w:type="spellStart"/>
            <w:r w:rsidRPr="00F72381">
              <w:rPr>
                <w:rFonts w:asciiTheme="minorHAnsi" w:hAnsiTheme="minorHAnsi" w:cstheme="minorHAnsi"/>
                <w:i/>
                <w:iCs/>
                <w:sz w:val="14"/>
                <w:szCs w:val="14"/>
                <w:lang w:val="en-US"/>
              </w:rPr>
              <w:t>Eisenberghiella</w:t>
            </w:r>
            <w:proofErr w:type="spellEnd"/>
            <w:r w:rsidRPr="00F72381">
              <w:rPr>
                <w:rFonts w:asciiTheme="minorHAnsi" w:hAnsiTheme="minorHAnsi" w:cstheme="minorHAnsi"/>
                <w:i/>
                <w:iCs/>
                <w:sz w:val="14"/>
                <w:szCs w:val="14"/>
                <w:lang w:val="en-US"/>
              </w:rPr>
              <w:t xml:space="preserve"> </w:t>
            </w:r>
            <w:proofErr w:type="spellStart"/>
            <w:r w:rsidRPr="00F72381">
              <w:rPr>
                <w:rFonts w:asciiTheme="minorHAnsi" w:hAnsiTheme="minorHAnsi" w:cstheme="minorHAnsi"/>
                <w:i/>
                <w:iCs/>
                <w:sz w:val="14"/>
                <w:szCs w:val="14"/>
                <w:lang w:val="en-US"/>
              </w:rPr>
              <w:t>massiliensis</w:t>
            </w:r>
            <w:proofErr w:type="spellEnd"/>
            <w:r w:rsidRPr="00585823">
              <w:rPr>
                <w:rFonts w:asciiTheme="minorHAnsi" w:hAnsiTheme="minorHAnsi" w:cstheme="minorHAnsi"/>
                <w:sz w:val="14"/>
                <w:szCs w:val="14"/>
                <w:lang w:val="en-US"/>
              </w:rPr>
              <w:t>)</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3HB-induced TH1 differentiation</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without upregulation of PDL-1 on tumor cells nor CD86 on spleen macrophages</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Increased efficacy of ICI by prophylactic diet interventions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 cell dependent activity of KD or 3HB</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tcPr>
          <w:p w:rsidR="00C37C4D" w:rsidRPr="00585823" w:rsidRDefault="00244861" w:rsidP="00C37C4D">
            <w:pPr>
              <w:rPr>
                <w:rStyle w:val="id-label"/>
                <w:rFonts w:asciiTheme="minorHAnsi" w:hAnsiTheme="minorHAnsi" w:cstheme="minorHAnsi"/>
                <w:sz w:val="14"/>
                <w:szCs w:val="14"/>
                <w:lang w:val="en-US"/>
              </w:rPr>
            </w:pPr>
            <w:r>
              <w:rPr>
                <w:rStyle w:val="id-label"/>
                <w:rFonts w:asciiTheme="minorHAnsi" w:hAnsiTheme="minorHAnsi" w:cstheme="minorHAnsi"/>
                <w:sz w:val="14"/>
                <w:szCs w:val="14"/>
                <w:lang w:val="en-US"/>
              </w:rPr>
              <w:fldChar w:fldCharType="begin"/>
            </w:r>
            <w:r>
              <w:rPr>
                <w:rStyle w:val="id-label"/>
                <w:rFonts w:asciiTheme="minorHAnsi" w:hAnsiTheme="minorHAnsi" w:cstheme="minorHAnsi"/>
                <w:sz w:val="14"/>
                <w:szCs w:val="14"/>
                <w:lang w:val="en-US"/>
              </w:rPr>
              <w:instrText xml:space="preserve"> ADDIN ZOTERO_ITEM CSL_CITATION {"citationID":"m6H03Ulp","properties":{"formattedCitation":"(Ferrere et al. 2021)","plainCitation":"(Ferrere et al. 2021)","noteIndex":0},"citationItems":[{"id":3088,"uris":["http://zotero.org/users/2801898/items/N7AEYM6S"],"uri":["http://zotero.org/users/2801898/items/N7AEYM6S"],"itemData":{"id":3088,"type":"article-journal","abstract":"Limited experimental evidence bridges nutrition and cancer immunosurveillance. Here, we show that ketogenic diet (KD) - or its principal ketone body, 3-hydroxybutyrate (3HB), most specifically in intermittent scheduling - induced T cell-dependent tumor growth retardation of aggressive tumor models. In conditions in which anti-PD-1 alone or in combination with anti-CTLA-4 failed to reduce tumor growth in mice receiving a standard diet, KD, or oral supplementation of 3HB reestablished therapeutic responses. Supplementation of KD with sucrose (which breaks ketogenesis, abolishing 3HB production) or with a pharmacological antagonist of the 3HB receptor GPR109A abolished the antitumor effects. Mechanistically, 3HB prevented the immune checkpoint blockade-linked upregulation of PD-L1 on myeloid cells, while favoring the expansion of CXCR3+ T cells. KD induced compositional changes of the gut microbiota, with distinct species such as Eisenbergiella massiliensis commonly emerging in mice and humans subjected to carbohydrate-low diet interventions and highly correlating with serum concentrations of 3HB. Altogether, these results demonstrate that KD induces a 3HB-mediated antineoplastic effect that relies on T cell-mediated cancer immunosurveillance.","container-title":"JCI insight","DOI":"10.1172/jci.insight.145207","ISSN":"2379-3708","issue":"2","journalAbbreviation":"JCI Insight","language":"eng","note":"PMID: 33320838","source":"PubMed","title":"Ketogenic diet and ketone bodies enhance the anticancer effects of PD-1 blockade","volume":"6","author":[{"family":"Ferrere","given":"Gladys"},{"family":"Tidjani Alou","given":"Maryam"},{"family":"Liu","given":"Peng"},{"family":"Goubet","given":"Anne-Gaëlle"},{"family":"Fidelle","given":"Marine"},{"family":"Kepp","given":"Oliver"},{"family":"Durand","given":"Sylvère"},{"family":"Iebba","given":"Valerio"},{"family":"Fluckiger","given":"Aurélie"},{"family":"Daillère","given":"Romain"},{"family":"Thelemaque","given":"Cassandra"},{"family":"Grajeda-Iglesias","given":"Claudia"},{"family":"Alves Costa Silva","given":"Carolina"},{"family":"Aprahamian","given":"Fanny"},{"family":"Lefevre","given":"Déborah"},{"family":"Zhao","given":"Liwei"},{"family":"Ryffel","given":"Bernhard"},{"family":"Colomba","given":"Emeline"},{"family":"Arnedos","given":"Monica"},{"family":"Drubay","given":"Damien"},{"family":"Rauber","given":"Conrad"},{"family":"Raoult","given":"Didier"},{"family":"Asnicar","given":"Francesco"},{"family":"Spector","given":"Tim"},{"family":"Segata","given":"Nicola"},{"family":"Derosa","given":"Lisa"},{"family":"Kroemer","given":"Guido"},{"family":"Zitvogel","given":"Laurence"}],"issued":{"date-parts":[["2021",1,25]]}}}],"schema":"https://github.com/citation-style-language/schema/raw/master/csl-citation.json"} </w:instrText>
            </w:r>
            <w:r>
              <w:rPr>
                <w:rStyle w:val="id-label"/>
                <w:rFonts w:asciiTheme="minorHAnsi" w:hAnsiTheme="minorHAnsi" w:cstheme="minorHAnsi"/>
                <w:sz w:val="14"/>
                <w:szCs w:val="14"/>
                <w:lang w:val="en-US"/>
              </w:rPr>
              <w:fldChar w:fldCharType="separate"/>
            </w:r>
            <w:r>
              <w:rPr>
                <w:rStyle w:val="id-label"/>
                <w:rFonts w:asciiTheme="minorHAnsi" w:hAnsiTheme="minorHAnsi" w:cstheme="minorHAnsi"/>
                <w:noProof/>
                <w:sz w:val="14"/>
                <w:szCs w:val="14"/>
                <w:lang w:val="en-US"/>
              </w:rPr>
              <w:t>(Ferrere et al. 2021)</w:t>
            </w:r>
            <w:r>
              <w:rPr>
                <w:rStyle w:val="id-label"/>
                <w:rFonts w:asciiTheme="minorHAnsi" w:hAnsiTheme="minorHAnsi" w:cstheme="minorHAnsi"/>
                <w:sz w:val="14"/>
                <w:szCs w:val="14"/>
                <w:lang w:val="en-US"/>
              </w:rPr>
              <w:fldChar w:fldCharType="end"/>
            </w:r>
          </w:p>
        </w:tc>
      </w:tr>
      <w:tr w:rsidR="00C37C4D" w:rsidRPr="00DB327F" w:rsidTr="0091404C">
        <w:trPr>
          <w:gridBefore w:val="1"/>
          <w:wBefore w:w="13" w:type="dxa"/>
          <w:trHeight w:val="97"/>
        </w:trPr>
        <w:tc>
          <w:tcPr>
            <w:tcW w:w="16275" w:type="dxa"/>
            <w:gridSpan w:val="21"/>
            <w:tcBorders>
              <w:top w:val="single" w:sz="8" w:space="0" w:color="FFFFFF"/>
              <w:left w:val="single" w:sz="4" w:space="0" w:color="auto"/>
              <w:bottom w:val="single" w:sz="8" w:space="0" w:color="FFFFFF"/>
              <w:right w:val="single" w:sz="4" w:space="0" w:color="auto"/>
            </w:tcBorders>
            <w:shd w:val="clear" w:color="auto" w:fill="D9D9D9" w:themeFill="background1" w:themeFillShade="D9"/>
            <w:tcMar>
              <w:top w:w="4" w:type="dxa"/>
              <w:left w:w="4" w:type="dxa"/>
              <w:bottom w:w="0" w:type="dxa"/>
              <w:right w:w="4" w:type="dxa"/>
            </w:tcMar>
            <w:vAlign w:val="bottom"/>
            <w:hideMark/>
          </w:tcPr>
          <w:p w:rsidR="00C37C4D" w:rsidRPr="00244861" w:rsidRDefault="00C37C4D" w:rsidP="00C37C4D">
            <w:pPr>
              <w:rPr>
                <w:rFonts w:asciiTheme="minorHAnsi" w:hAnsiTheme="minorHAnsi" w:cstheme="minorHAnsi"/>
                <w:b/>
                <w:bCs/>
                <w:sz w:val="14"/>
                <w:szCs w:val="14"/>
                <w:lang w:val="en-US"/>
              </w:rPr>
            </w:pPr>
            <w:r w:rsidRPr="00585823">
              <w:rPr>
                <w:rFonts w:asciiTheme="minorHAnsi" w:hAnsiTheme="minorHAnsi" w:cstheme="minorHAnsi"/>
                <w:b/>
                <w:bCs/>
                <w:i/>
                <w:iCs/>
                <w:sz w:val="14"/>
                <w:szCs w:val="14"/>
                <w:lang w:val="en-US"/>
              </w:rPr>
              <w:t>Adoptive Cellular Therapy (ACT)</w:t>
            </w:r>
          </w:p>
        </w:tc>
      </w:tr>
      <w:tr w:rsidR="008B716E" w:rsidRPr="00585823" w:rsidTr="0091404C">
        <w:trPr>
          <w:gridBefore w:val="1"/>
          <w:wBefore w:w="13" w:type="dxa"/>
          <w:trHeight w:val="188"/>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*Large B16F10 melanoma</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ATB or polymyxin or TLR4 or CD14 </w:t>
            </w:r>
            <w:proofErr w:type="spellStart"/>
            <w:r w:rsidRPr="00585823">
              <w:rPr>
                <w:rFonts w:asciiTheme="minorHAnsi" w:hAnsiTheme="minorHAnsi" w:cstheme="minorHAnsi"/>
                <w:sz w:val="14"/>
                <w:szCs w:val="14"/>
                <w:lang w:val="en-US"/>
              </w:rPr>
              <w:t>wt</w:t>
            </w:r>
            <w:proofErr w:type="spellEnd"/>
            <w:r w:rsidRPr="00585823">
              <w:rPr>
                <w:rFonts w:asciiTheme="minorHAnsi" w:hAnsiTheme="minorHAnsi" w:cstheme="minorHAnsi"/>
                <w:sz w:val="14"/>
                <w:szCs w:val="14"/>
                <w:lang w:val="en-US"/>
              </w:rPr>
              <w:t xml:space="preserve"> versus TLR4 or CD14 KO mice</w:t>
            </w:r>
          </w:p>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sz w:val="14"/>
                <w:szCs w:val="14"/>
                <w:lang w:val="en-US"/>
              </w:rPr>
              <w:t>Rag2</w:t>
            </w:r>
            <w:r w:rsidRPr="00244861">
              <w:rPr>
                <w:rFonts w:asciiTheme="minorHAnsi" w:hAnsiTheme="minorHAnsi" w:cstheme="minorHAnsi"/>
                <w:sz w:val="14"/>
                <w:szCs w:val="14"/>
                <w:vertAlign w:val="superscript"/>
                <w:lang w:val="en-US"/>
              </w:rPr>
              <w:t>–/–</w:t>
            </w:r>
            <w:r w:rsidRPr="00585823">
              <w:rPr>
                <w:rFonts w:asciiTheme="minorHAnsi" w:hAnsiTheme="minorHAnsi" w:cstheme="minorHAnsi"/>
                <w:sz w:val="14"/>
                <w:szCs w:val="14"/>
              </w:rPr>
              <w:t>γ</w:t>
            </w:r>
            <w:r w:rsidRPr="00244861">
              <w:rPr>
                <w:rFonts w:asciiTheme="minorHAnsi" w:hAnsiTheme="minorHAnsi" w:cstheme="minorHAnsi"/>
                <w:sz w:val="14"/>
                <w:szCs w:val="14"/>
                <w:vertAlign w:val="subscript"/>
                <w:lang w:val="en-US"/>
              </w:rPr>
              <w:t>c</w:t>
            </w:r>
            <w:r w:rsidRPr="00244861">
              <w:rPr>
                <w:rFonts w:asciiTheme="minorHAnsi" w:hAnsiTheme="minorHAnsi" w:cstheme="minorHAnsi"/>
                <w:sz w:val="14"/>
                <w:szCs w:val="14"/>
                <w:vertAlign w:val="superscript"/>
                <w:lang w:val="en-US"/>
              </w:rPr>
              <w:t>–/–</w:t>
            </w:r>
            <w:r w:rsidRPr="00244861">
              <w:rPr>
                <w:rFonts w:asciiTheme="minorHAnsi" w:hAnsiTheme="minorHAnsi" w:cstheme="minorHAnsi"/>
                <w:sz w:val="14"/>
                <w:szCs w:val="14"/>
                <w:lang w:val="en-US"/>
              </w:rPr>
              <w:t xml:space="preserve"> mice</w:t>
            </w:r>
          </w:p>
          <w:p w:rsidR="00C37C4D" w:rsidRPr="00585823" w:rsidRDefault="00C37C4D" w:rsidP="00C37C4D">
            <w:pPr>
              <w:rPr>
                <w:rFonts w:asciiTheme="minorHAnsi" w:hAnsiTheme="minorHAnsi" w:cstheme="minorHAnsi"/>
                <w:sz w:val="14"/>
                <w:szCs w:val="14"/>
                <w:lang w:val="en-US"/>
              </w:rPr>
            </w:pP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5 </w:t>
            </w:r>
            <w:proofErr w:type="spellStart"/>
            <w:r w:rsidRPr="00585823">
              <w:rPr>
                <w:rFonts w:asciiTheme="minorHAnsi" w:hAnsiTheme="minorHAnsi" w:cstheme="minorHAnsi"/>
                <w:sz w:val="14"/>
                <w:szCs w:val="14"/>
                <w:lang w:val="en-US"/>
              </w:rPr>
              <w:t>Gy</w:t>
            </w:r>
            <w:proofErr w:type="spellEnd"/>
            <w:r w:rsidRPr="00585823">
              <w:rPr>
                <w:rFonts w:asciiTheme="minorHAnsi" w:hAnsiTheme="minorHAnsi" w:cstheme="minorHAnsi"/>
                <w:sz w:val="14"/>
                <w:szCs w:val="14"/>
                <w:lang w:val="en-US"/>
              </w:rPr>
              <w:t xml:space="preserve"> TBI and ACT (p-mel-1 specific CTL)</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F31D8E" w:rsidP="00C37C4D">
            <w:pPr>
              <w:rPr>
                <w:rFonts w:asciiTheme="minorHAnsi" w:hAnsiTheme="minorHAnsi" w:cstheme="minorHAnsi"/>
                <w:sz w:val="14"/>
                <w:szCs w:val="14"/>
                <w:lang w:val="en-US"/>
              </w:rPr>
            </w:pPr>
            <w:r>
              <w:rPr>
                <w:rFonts w:asciiTheme="minorHAnsi" w:hAnsiTheme="minorHAnsi" w:cstheme="minorHAnsi"/>
                <w:sz w:val="14"/>
                <w:szCs w:val="14"/>
                <w:lang w:val="en-US"/>
              </w:rPr>
              <w:t>U</w:t>
            </w:r>
            <w:r w:rsidR="00C37C4D" w:rsidRPr="00585823">
              <w:rPr>
                <w:rFonts w:asciiTheme="minorHAnsi" w:hAnsiTheme="minorHAnsi" w:cstheme="minorHAnsi"/>
                <w:sz w:val="14"/>
                <w:szCs w:val="14"/>
                <w:lang w:val="en-US"/>
              </w:rPr>
              <w:t>ltrapure LPS</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Effects of host conditioning with TBI prior to ACT</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Enhanced efficacy of ACT in the setting of TBI</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due to translocation of </w:t>
            </w:r>
            <w:r w:rsidRPr="00585823">
              <w:rPr>
                <w:rStyle w:val="Accentuation"/>
                <w:rFonts w:asciiTheme="minorHAnsi" w:hAnsiTheme="minorHAnsi" w:cstheme="minorHAnsi"/>
                <w:sz w:val="14"/>
                <w:szCs w:val="14"/>
                <w:lang w:val="en-US"/>
              </w:rPr>
              <w:t>Enterobacter cloacae</w:t>
            </w:r>
            <w:r w:rsidRPr="00585823">
              <w:rPr>
                <w:rFonts w:asciiTheme="minorHAnsi" w:hAnsiTheme="minorHAnsi" w:cstheme="minorHAnsi"/>
                <w:sz w:val="14"/>
                <w:szCs w:val="14"/>
                <w:lang w:val="en-US"/>
              </w:rPr>
              <w:t xml:space="preserve">, </w:t>
            </w:r>
            <w:r w:rsidRPr="00585823">
              <w:rPr>
                <w:rStyle w:val="Accentuation"/>
                <w:rFonts w:asciiTheme="minorHAnsi" w:hAnsiTheme="minorHAnsi" w:cstheme="minorHAnsi"/>
                <w:sz w:val="14"/>
                <w:szCs w:val="14"/>
                <w:lang w:val="en-US"/>
              </w:rPr>
              <w:t>E. coli</w:t>
            </w:r>
            <w:r w:rsidRPr="00585823">
              <w:rPr>
                <w:rFonts w:asciiTheme="minorHAnsi" w:hAnsiTheme="minorHAnsi" w:cstheme="minorHAnsi"/>
                <w:sz w:val="14"/>
                <w:szCs w:val="14"/>
                <w:lang w:val="en-US"/>
              </w:rPr>
              <w:t xml:space="preserve">, </w:t>
            </w:r>
            <w:r w:rsidRPr="00585823">
              <w:rPr>
                <w:rStyle w:val="Accentuation"/>
                <w:rFonts w:asciiTheme="minorHAnsi" w:hAnsiTheme="minorHAnsi" w:cstheme="minorHAnsi"/>
                <w:sz w:val="14"/>
                <w:szCs w:val="14"/>
                <w:lang w:val="en-US"/>
              </w:rPr>
              <w:t>Lactobacillus</w:t>
            </w:r>
            <w:r w:rsidRPr="00585823">
              <w:rPr>
                <w:rFonts w:asciiTheme="minorHAnsi" w:hAnsiTheme="minorHAnsi" w:cstheme="minorHAnsi"/>
                <w:sz w:val="14"/>
                <w:szCs w:val="14"/>
                <w:lang w:val="en-US"/>
              </w:rPr>
              <w:t xml:space="preserve">, and </w:t>
            </w:r>
            <w:r w:rsidRPr="00585823">
              <w:rPr>
                <w:rStyle w:val="Accentuation"/>
                <w:rFonts w:asciiTheme="minorHAnsi" w:hAnsiTheme="minorHAnsi" w:cstheme="minorHAnsi"/>
                <w:sz w:val="14"/>
                <w:szCs w:val="14"/>
                <w:lang w:val="en-US"/>
              </w:rPr>
              <w:t>Bifidobacterium</w:t>
            </w:r>
            <w:r w:rsidRPr="00585823">
              <w:rPr>
                <w:rFonts w:asciiTheme="minorHAnsi" w:hAnsiTheme="minorHAnsi" w:cstheme="minorHAnsi"/>
                <w:sz w:val="14"/>
                <w:szCs w:val="14"/>
                <w:lang w:val="en-US"/>
              </w:rPr>
              <w:t xml:space="preserve"> bacteria into </w:t>
            </w:r>
            <w:proofErr w:type="spellStart"/>
            <w:r w:rsidRPr="00585823">
              <w:rPr>
                <w:rFonts w:asciiTheme="minorHAnsi" w:hAnsiTheme="minorHAnsi" w:cstheme="minorHAnsi"/>
                <w:sz w:val="14"/>
                <w:szCs w:val="14"/>
                <w:lang w:val="en-US"/>
              </w:rPr>
              <w:t>mLN</w:t>
            </w:r>
            <w:proofErr w:type="spellEnd"/>
            <w:r w:rsidRPr="00585823">
              <w:rPr>
                <w:rFonts w:asciiTheme="minorHAnsi" w:hAnsiTheme="minorHAnsi" w:cstheme="minorHAnsi"/>
                <w:sz w:val="14"/>
                <w:szCs w:val="14"/>
                <w:lang w:val="en-US"/>
              </w:rPr>
              <w:t xml:space="preserve"> after TBI</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Bacterial and LPS dependent increase of host spleen CD11c</w:t>
            </w:r>
            <w:r w:rsidRPr="00585823">
              <w:rPr>
                <w:rFonts w:asciiTheme="minorHAnsi" w:hAnsiTheme="minorHAnsi" w:cstheme="minorHAnsi"/>
                <w:sz w:val="14"/>
                <w:szCs w:val="14"/>
                <w:vertAlign w:val="superscript"/>
                <w:lang w:val="en-US"/>
              </w:rPr>
              <w:t>+</w:t>
            </w:r>
            <w:r w:rsidRPr="00585823">
              <w:rPr>
                <w:rFonts w:asciiTheme="minorHAnsi" w:hAnsiTheme="minorHAnsi" w:cstheme="minorHAnsi"/>
                <w:sz w:val="14"/>
                <w:szCs w:val="14"/>
                <w:lang w:val="en-US"/>
              </w:rPr>
              <w:t>CD86</w:t>
            </w:r>
            <w:r w:rsidRPr="00585823">
              <w:rPr>
                <w:rFonts w:asciiTheme="minorHAnsi" w:hAnsiTheme="minorHAnsi" w:cstheme="minorHAnsi"/>
                <w:sz w:val="14"/>
                <w:szCs w:val="14"/>
                <w:vertAlign w:val="superscript"/>
                <w:lang w:val="en-US"/>
              </w:rPr>
              <w:t>high</w:t>
            </w:r>
            <w:r w:rsidRPr="00585823">
              <w:rPr>
                <w:rFonts w:asciiTheme="minorHAnsi" w:hAnsiTheme="minorHAnsi" w:cstheme="minorHAnsi"/>
                <w:sz w:val="14"/>
                <w:szCs w:val="14"/>
                <w:lang w:val="en-US"/>
              </w:rPr>
              <w:t xml:space="preserve"> DCs and serum levels of IL-12</w:t>
            </w:r>
          </w:p>
          <w:p w:rsidR="00C37C4D" w:rsidRPr="00585823" w:rsidRDefault="00C37C4D" w:rsidP="00C37C4D">
            <w:pPr>
              <w:rPr>
                <w:rFonts w:asciiTheme="minorHAnsi" w:hAnsiTheme="minorHAnsi" w:cstheme="minorHAnsi"/>
                <w:sz w:val="14"/>
                <w:szCs w:val="14"/>
                <w:lang w:val="en-US"/>
              </w:rPr>
            </w:pP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tcPr>
          <w:p w:rsidR="00C37C4D" w:rsidRPr="00585823" w:rsidRDefault="00244861" w:rsidP="00C37C4D">
            <w:pPr>
              <w:rPr>
                <w:rFonts w:asciiTheme="minorHAnsi" w:hAnsiTheme="minorHAnsi" w:cstheme="minorHAnsi"/>
                <w:sz w:val="14"/>
                <w:szCs w:val="14"/>
              </w:rPr>
            </w:pPr>
            <w:r>
              <w:rPr>
                <w:rFonts w:asciiTheme="minorHAnsi" w:hAnsiTheme="minorHAnsi" w:cstheme="minorHAnsi"/>
                <w:sz w:val="14"/>
                <w:szCs w:val="14"/>
              </w:rPr>
              <w:fldChar w:fldCharType="begin"/>
            </w:r>
            <w:r>
              <w:rPr>
                <w:rFonts w:asciiTheme="minorHAnsi" w:hAnsiTheme="minorHAnsi" w:cstheme="minorHAnsi"/>
                <w:sz w:val="14"/>
                <w:szCs w:val="14"/>
              </w:rPr>
              <w:instrText xml:space="preserve"> ADDIN ZOTERO_ITEM CSL_CITATION {"citationID":"9g7V4tWq","properties":{"formattedCitation":"(Paulos et al. 2007)","plainCitation":"(Paulos et al. 2007)","noteIndex":0},"citationItems":[{"id":3097,"uris":["http://zotero.org/users/2801898/items/UJKFUIJW"],"uri":["http://zotero.org/users/2801898/items/UJKFUIJW"],"itemData":{"id":3097,"type":"article-journal","abstract":"Lymphodepletion with total body irradiation (TBI) increases the efficacy of adoptively transferred tumor-specific CD8(+) T cells by depleting inhibitory lymphocytes and increasing homeostatic cytokine levels. We found that TBI augmented the function of adoptively transferred CD8(+) T cells in mice genetically deficient in all lymphocytes, indicating the existence of another TBI mechanism of action. Additional investigation revealed commensal gut microflora in the mesenteric lymph nodes and elevated LPS levels in the sera of irradiated mice. These findings correlated with increased dendritic cell activation and heightened levels of systemic inflammatory cytokines. Reduction of host microflora using antibiotics, neutralization of serum LPS using polymyxin B, or removal of LPS signaling components using mice genetically deficient in CD14 and TLR4 reduced the beneficial effects of TBI on tumor regression. Conversely, administration of microbial ligand-containing serum or ultrapure LPS from irradiated animals to nonirradiated antibody-lymphodepleted mice enhanced CD8(+) T cell activation and improved tumor regression. Administration of ultrapure LPS to irradiated animals further enhanced the number and function of the adoptively transferred cells, leading to long-term cure of mice with large B16F10 tumors and enhanced autoimmune vitiligo. Thus, disruption of the homeostatic balance between the host and microbes can enhance cell-based tumor immunotherapy.","container-title":"The Journal of Clinical Investigation","DOI":"10.1172/JCI32205","ISSN":"0021-9738","issue":"8","journalAbbreviation":"J Clin Invest","language":"eng","note":"PMID: 17657310\nPMCID: PMC1924500","page":"2197-2204","source":"PubMed","title":"Microbial translocation augments the function of adoptively transferred self/tumor-specific CD8+ T cells via TLR4 signaling","volume":"117","author":[{"family":"Paulos","given":"Chrystal M."},{"family":"Wrzesinski","given":"Claudia"},{"family":"Kaiser","given":"Andrew"},{"family":"Hinrichs","given":"Christian S."},{"family":"Chieppa","given":"Marcello"},{"family":"Cassard","given":"Lydie"},{"family":"Palmer","given":"Douglas C."},{"family":"Boni","given":"Andrea"},{"family":"Muranski","given":"Pawel"},{"family":"Yu","given":"Zhiya"},{"family":"Gattinoni","given":"Luca"},{"family":"Antony","given":"Paul A."},{"family":"Rosenberg","given":"Steven A."},{"family":"Restifo","given":"Nicholas P."}],"issued":{"date-parts":[["2007",8]]}}}],"schema":"https://github.com/citation-style-language/schema/raw/master/csl-citation.json"} </w:instrText>
            </w:r>
            <w:r>
              <w:rPr>
                <w:rFonts w:asciiTheme="minorHAnsi" w:hAnsiTheme="minorHAnsi" w:cstheme="minorHAnsi"/>
                <w:sz w:val="14"/>
                <w:szCs w:val="14"/>
              </w:rPr>
              <w:fldChar w:fldCharType="separate"/>
            </w:r>
            <w:r>
              <w:rPr>
                <w:rFonts w:asciiTheme="minorHAnsi" w:hAnsiTheme="minorHAnsi" w:cstheme="minorHAnsi"/>
                <w:noProof/>
                <w:sz w:val="14"/>
                <w:szCs w:val="14"/>
              </w:rPr>
              <w:t>(Paulos et al. 2007)</w:t>
            </w:r>
            <w:r>
              <w:rPr>
                <w:rFonts w:asciiTheme="minorHAnsi" w:hAnsiTheme="minorHAnsi" w:cstheme="minorHAnsi"/>
                <w:sz w:val="14"/>
                <w:szCs w:val="14"/>
              </w:rPr>
              <w:fldChar w:fldCharType="end"/>
            </w:r>
          </w:p>
          <w:p w:rsidR="00C37C4D" w:rsidRPr="00585823" w:rsidRDefault="00C37C4D" w:rsidP="00C37C4D">
            <w:pPr>
              <w:rPr>
                <w:rFonts w:asciiTheme="minorHAnsi" w:hAnsiTheme="minorHAnsi" w:cstheme="minorHAnsi"/>
                <w:sz w:val="14"/>
                <w:szCs w:val="14"/>
                <w:lang w:val="is-IS"/>
              </w:rPr>
            </w:pPr>
          </w:p>
        </w:tc>
      </w:tr>
      <w:tr w:rsidR="00585823" w:rsidRPr="00585823" w:rsidTr="0091404C">
        <w:trPr>
          <w:gridBefore w:val="1"/>
          <w:wBefore w:w="13" w:type="dxa"/>
          <w:trHeight w:val="188"/>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lastRenderedPageBreak/>
              <w:t>*MPKAS tumors</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Tlr5 </w:t>
            </w:r>
            <w:proofErr w:type="spellStart"/>
            <w:r w:rsidRPr="00585823">
              <w:rPr>
                <w:rFonts w:asciiTheme="minorHAnsi" w:hAnsiTheme="minorHAnsi" w:cstheme="minorHAnsi"/>
                <w:sz w:val="14"/>
                <w:szCs w:val="14"/>
                <w:lang w:val="en-US"/>
              </w:rPr>
              <w:t>wt</w:t>
            </w:r>
            <w:proofErr w:type="spellEnd"/>
            <w:r w:rsidRPr="00585823">
              <w:rPr>
                <w:rFonts w:asciiTheme="minorHAnsi" w:hAnsiTheme="minorHAnsi" w:cstheme="minorHAnsi"/>
                <w:sz w:val="14"/>
                <w:szCs w:val="14"/>
                <w:lang w:val="en-US"/>
              </w:rPr>
              <w:t xml:space="preserve"> versus Tlr5 KO mice</w:t>
            </w:r>
          </w:p>
          <w:p w:rsidR="00C37C4D" w:rsidRPr="00585823" w:rsidRDefault="00C37C4D" w:rsidP="00C37C4D">
            <w:pPr>
              <w:rPr>
                <w:rFonts w:asciiTheme="minorHAnsi" w:hAnsiTheme="minorHAnsi" w:cstheme="minorHAnsi"/>
                <w:sz w:val="14"/>
                <w:szCs w:val="14"/>
                <w:lang w:val="en-US"/>
              </w:rPr>
            </w:pPr>
            <w:r w:rsidRPr="00585823">
              <w:rPr>
                <w:rStyle w:val="Accentuation"/>
                <w:rFonts w:asciiTheme="minorHAnsi" w:hAnsiTheme="minorHAnsi" w:cstheme="minorHAnsi"/>
                <w:sz w:val="14"/>
                <w:szCs w:val="14"/>
                <w:lang w:val="en-US"/>
              </w:rPr>
              <w:t>Tlr5</w:t>
            </w:r>
            <w:r w:rsidRPr="00585823">
              <w:rPr>
                <w:rFonts w:asciiTheme="minorHAnsi" w:hAnsiTheme="minorHAnsi" w:cstheme="minorHAnsi"/>
                <w:sz w:val="14"/>
                <w:szCs w:val="14"/>
                <w:vertAlign w:val="superscript"/>
                <w:lang w:val="en-US"/>
              </w:rPr>
              <w:t>−/−</w:t>
            </w:r>
            <w:r w:rsidRPr="00585823">
              <w:rPr>
                <w:rFonts w:asciiTheme="minorHAnsi" w:hAnsiTheme="minorHAnsi" w:cstheme="minorHAnsi"/>
                <w:sz w:val="14"/>
                <w:szCs w:val="14"/>
                <w:lang w:val="en-US"/>
              </w:rPr>
              <w:t xml:space="preserve"> </w:t>
            </w:r>
            <w:proofErr w:type="spellStart"/>
            <w:r w:rsidRPr="00585823">
              <w:rPr>
                <w:rFonts w:asciiTheme="minorHAnsi" w:hAnsiTheme="minorHAnsi" w:cstheme="minorHAnsi"/>
                <w:sz w:val="14"/>
                <w:szCs w:val="14"/>
              </w:rPr>
              <w:t>γδ</w:t>
            </w:r>
            <w:proofErr w:type="spellEnd"/>
            <w:r w:rsidRPr="00585823">
              <w:rPr>
                <w:rFonts w:asciiTheme="minorHAnsi" w:hAnsiTheme="minorHAnsi" w:cstheme="minorHAnsi"/>
                <w:sz w:val="14"/>
                <w:szCs w:val="14"/>
                <w:lang w:val="en-US"/>
              </w:rPr>
              <w:t>-deficient mice</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Co-housing experiments</w:t>
            </w:r>
          </w:p>
          <w:p w:rsidR="00C37C4D" w:rsidRPr="00585823" w:rsidRDefault="00C37C4D" w:rsidP="00C37C4D">
            <w:pPr>
              <w:rPr>
                <w:rFonts w:asciiTheme="minorHAnsi" w:hAnsiTheme="minorHAnsi" w:cstheme="minorHAnsi"/>
                <w:sz w:val="14"/>
                <w:szCs w:val="14"/>
                <w:lang w:val="en-US"/>
              </w:rPr>
            </w:pP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Spontaneous tumor growth</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Differences assigned to genera of </w:t>
            </w:r>
            <w:proofErr w:type="spellStart"/>
            <w:r w:rsidRPr="00585823">
              <w:rPr>
                <w:rStyle w:val="Accentuation"/>
                <w:rFonts w:asciiTheme="minorHAnsi" w:hAnsiTheme="minorHAnsi" w:cstheme="minorHAnsi"/>
                <w:sz w:val="14"/>
                <w:szCs w:val="14"/>
                <w:lang w:val="en-US"/>
              </w:rPr>
              <w:t>Allobaculum</w:t>
            </w:r>
            <w:proofErr w:type="spellEnd"/>
            <w:r w:rsidRPr="00585823">
              <w:rPr>
                <w:rFonts w:asciiTheme="minorHAnsi" w:hAnsiTheme="minorHAnsi" w:cstheme="minorHAnsi"/>
                <w:sz w:val="14"/>
                <w:szCs w:val="14"/>
                <w:lang w:val="en-US"/>
              </w:rPr>
              <w:t xml:space="preserve">, </w:t>
            </w:r>
            <w:r w:rsidRPr="00585823">
              <w:rPr>
                <w:rStyle w:val="Accentuation"/>
                <w:rFonts w:asciiTheme="minorHAnsi" w:hAnsiTheme="minorHAnsi" w:cstheme="minorHAnsi"/>
                <w:sz w:val="14"/>
                <w:szCs w:val="14"/>
                <w:lang w:val="en-US"/>
              </w:rPr>
              <w:t>Bacteroides</w:t>
            </w:r>
            <w:r w:rsidRPr="00585823">
              <w:rPr>
                <w:rFonts w:asciiTheme="minorHAnsi" w:hAnsiTheme="minorHAnsi" w:cstheme="minorHAnsi"/>
                <w:sz w:val="14"/>
                <w:szCs w:val="14"/>
                <w:lang w:val="en-US"/>
              </w:rPr>
              <w:t xml:space="preserve">, and </w:t>
            </w:r>
            <w:r w:rsidRPr="00585823">
              <w:rPr>
                <w:rStyle w:val="Accentuation"/>
                <w:rFonts w:asciiTheme="minorHAnsi" w:hAnsiTheme="minorHAnsi" w:cstheme="minorHAnsi"/>
                <w:sz w:val="14"/>
                <w:szCs w:val="14"/>
                <w:lang w:val="en-US"/>
              </w:rPr>
              <w:t>Lactobacillus</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Extra-intestinal tumor growth kinetics between TLR5 </w:t>
            </w:r>
            <w:proofErr w:type="spellStart"/>
            <w:r w:rsidRPr="00585823">
              <w:rPr>
                <w:rFonts w:asciiTheme="minorHAnsi" w:hAnsiTheme="minorHAnsi" w:cstheme="minorHAnsi"/>
                <w:sz w:val="14"/>
                <w:szCs w:val="14"/>
                <w:lang w:val="en-US"/>
              </w:rPr>
              <w:t>wt</w:t>
            </w:r>
            <w:proofErr w:type="spellEnd"/>
            <w:r w:rsidRPr="00585823">
              <w:rPr>
                <w:rFonts w:asciiTheme="minorHAnsi" w:hAnsiTheme="minorHAnsi" w:cstheme="minorHAnsi"/>
                <w:sz w:val="14"/>
                <w:szCs w:val="14"/>
                <w:lang w:val="en-US"/>
              </w:rPr>
              <w:t xml:space="preserve"> and gene deficient littermates</w:t>
            </w:r>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Deleterious role of flagellin-harboring gut commensals on (IL-6 or IL-17 driven) peripheral inflammation</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proofErr w:type="gramStart"/>
            <w:r w:rsidRPr="00585823">
              <w:rPr>
                <w:rFonts w:asciiTheme="minorHAnsi" w:hAnsiTheme="minorHAnsi" w:cstheme="minorHAnsi"/>
                <w:sz w:val="14"/>
                <w:szCs w:val="14"/>
                <w:lang w:val="en-US"/>
              </w:rPr>
              <w:t>Cross-talk</w:t>
            </w:r>
            <w:proofErr w:type="gramEnd"/>
            <w:r w:rsidRPr="00585823">
              <w:rPr>
                <w:rFonts w:asciiTheme="minorHAnsi" w:hAnsiTheme="minorHAnsi" w:cstheme="minorHAnsi"/>
                <w:sz w:val="14"/>
                <w:szCs w:val="14"/>
                <w:lang w:val="en-US"/>
              </w:rPr>
              <w:t xml:space="preserve"> between MDSC and </w:t>
            </w:r>
            <w:proofErr w:type="spellStart"/>
            <w:r w:rsidRPr="00585823">
              <w:rPr>
                <w:rFonts w:asciiTheme="minorHAnsi" w:hAnsiTheme="minorHAnsi" w:cstheme="minorHAnsi"/>
                <w:sz w:val="14"/>
                <w:szCs w:val="14"/>
              </w:rPr>
              <w:t>γδ</w:t>
            </w:r>
            <w:proofErr w:type="spellEnd"/>
            <w:r w:rsidRPr="00585823">
              <w:rPr>
                <w:rFonts w:asciiTheme="minorHAnsi" w:hAnsiTheme="minorHAnsi" w:cstheme="minorHAnsi"/>
                <w:sz w:val="14"/>
                <w:szCs w:val="14"/>
                <w:lang w:val="en-US"/>
              </w:rPr>
              <w:t>-T cells related to gut commensals. Role of IL-6 and IL-17 in tumor-induced inflammation and propagation.</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tcPr>
          <w:p w:rsidR="00C37C4D" w:rsidRPr="00585823" w:rsidRDefault="00244861" w:rsidP="00244861">
            <w:pPr>
              <w:rPr>
                <w:rFonts w:asciiTheme="minorHAnsi" w:hAnsiTheme="minorHAnsi" w:cstheme="minorHAnsi"/>
                <w:sz w:val="14"/>
                <w:szCs w:val="14"/>
                <w:lang w:val="is-IS"/>
              </w:rPr>
            </w:pPr>
            <w:r>
              <w:rPr>
                <w:rFonts w:asciiTheme="minorHAnsi" w:hAnsiTheme="minorHAnsi" w:cstheme="minorHAnsi"/>
                <w:sz w:val="14"/>
                <w:szCs w:val="14"/>
                <w:lang w:val="is-IS"/>
              </w:rPr>
              <w:fldChar w:fldCharType="begin"/>
            </w:r>
            <w:r>
              <w:rPr>
                <w:rFonts w:asciiTheme="minorHAnsi" w:hAnsiTheme="minorHAnsi" w:cstheme="minorHAnsi"/>
                <w:sz w:val="14"/>
                <w:szCs w:val="14"/>
                <w:lang w:val="is-IS"/>
              </w:rPr>
              <w:instrText xml:space="preserve"> ADDIN ZOTERO_ITEM CSL_CITATION {"citationID":"qVQPmupE","properties":{"formattedCitation":"(Rutkowski et al. 2015)","plainCitation":"(Rutkowski et al. 2015)","noteIndex":0},"citationItems":[{"id":3060,"uris":["http://zotero.org/users/2801898/items/HF236SW9"],"uri":["http://zotero.org/users/2801898/items/HF236SW9"],"itemData":{"id":3060,"type":"article-journal","abstract":"The dominant TLR5(R392X) polymorphism abrogates flagellin responses in &gt;7% of humans. We report that TLR5-dependent commensal bacteria drive malignant progression at extramucosal locations by increasing systemic IL-6, which drives mobilization of myeloid-derived suppressor cells (MDSCs). Mechanistically, expanded granulocytic MDSCs cause γδ lymphocytes in TLR5-responsive tumors to secrete galectin-1, dampening antitumor immunity and accelerating malignant progression. In contrast, IL-17 is consistently upregulated in TLR5-unresponsive tumor-bearing mice but only accelerates malignant progression in IL-6-unresponsive tumors. Importantly, depletion of commensal bacteria abrogates TLR5-dependent differences in tumor growth. Contrasting differences in inflammatory cytokines and malignant evolution are recapitulated in TLR5-responsive/unresponsive ovarian and breast cancer patients. Therefore, inflammation, antitumor immunity, and the clinical outcome of cancer patients are influenced by a common TLR5 polymorphism.","container-title":"Cancer Cell","DOI":"10.1016/j.ccell.2014.11.009","ISSN":"1878-3686","issue":"1","journalAbbreviation":"Cancer Cell","language":"eng","note":"PMID: 25533336\nPMCID: PMC4293269","page":"27-40","source":"PubMed","title":"Microbially driven TLR5-dependent signaling governs distal malignant progression through tumor-promoting inflammation","volume":"27","author":[{"family":"Rutkowski","given":"Melanie R."},{"family":"Stephen","given":"Tom L."},{"family":"Svoronos","given":"Nikolaos"},{"family":"Allegrezza","given":"Michael J."},{"family":"Tesone","given":"Amelia J."},{"family":"Perales-Puchalt","given":"Alfredo"},{"family":"Brencicova","given":"Eva"},{"family":"Escovar-Fadul","given":"Ximena"},{"family":"Nguyen","given":"Jenny M."},{"family":"Cadungog","given":"Mark G."},{"family":"Zhang","given":"Rugang"},{"family":"Salatino","given":"Mariana"},{"family":"Tchou","given":"Julia"},{"family":"Rabinovich","given":"Gabriel A."},{"family":"Conejo-Garcia","given":"Jose R."}],"issued":{"date-parts":[["2015",1,12]]}}}],"schema":"https://github.com/citation-style-language/schema/raw/master/csl-citation.json"} </w:instrText>
            </w:r>
            <w:r>
              <w:rPr>
                <w:rFonts w:asciiTheme="minorHAnsi" w:hAnsiTheme="minorHAnsi" w:cstheme="minorHAnsi"/>
                <w:sz w:val="14"/>
                <w:szCs w:val="14"/>
                <w:lang w:val="is-IS"/>
              </w:rPr>
              <w:fldChar w:fldCharType="separate"/>
            </w:r>
            <w:r>
              <w:rPr>
                <w:rFonts w:asciiTheme="minorHAnsi" w:hAnsiTheme="minorHAnsi" w:cstheme="minorHAnsi"/>
                <w:noProof/>
                <w:sz w:val="14"/>
                <w:szCs w:val="14"/>
                <w:lang w:val="is-IS"/>
              </w:rPr>
              <w:t>(Rutkowski et al. 2015)</w:t>
            </w:r>
            <w:r>
              <w:rPr>
                <w:rFonts w:asciiTheme="minorHAnsi" w:hAnsiTheme="minorHAnsi" w:cstheme="minorHAnsi"/>
                <w:sz w:val="14"/>
                <w:szCs w:val="14"/>
                <w:lang w:val="is-IS"/>
              </w:rPr>
              <w:fldChar w:fldCharType="end"/>
            </w:r>
          </w:p>
        </w:tc>
      </w:tr>
      <w:tr w:rsidR="008B716E" w:rsidRPr="00585823" w:rsidTr="0091404C">
        <w:trPr>
          <w:gridBefore w:val="1"/>
          <w:wBefore w:w="13" w:type="dxa"/>
          <w:trHeight w:val="188"/>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w:t>
            </w:r>
            <w:proofErr w:type="spellStart"/>
            <w:r w:rsidRPr="00585823">
              <w:rPr>
                <w:rFonts w:asciiTheme="minorHAnsi" w:hAnsiTheme="minorHAnsi" w:cstheme="minorHAnsi"/>
                <w:sz w:val="14"/>
                <w:szCs w:val="14"/>
                <w:lang w:val="en-US"/>
              </w:rPr>
              <w:t>sc</w:t>
            </w:r>
            <w:proofErr w:type="spellEnd"/>
            <w:r w:rsidRPr="00585823">
              <w:rPr>
                <w:rFonts w:asciiTheme="minorHAnsi" w:hAnsiTheme="minorHAnsi" w:cstheme="minorHAnsi"/>
                <w:sz w:val="14"/>
                <w:szCs w:val="14"/>
                <w:lang w:val="en-US"/>
              </w:rPr>
              <w:t xml:space="preserve"> B16.SIY melanoma</w:t>
            </w:r>
            <w:r w:rsidRPr="00585823">
              <w:rPr>
                <w:rFonts w:asciiTheme="minorHAnsi" w:hAnsiTheme="minorHAnsi" w:cstheme="minorHAnsi"/>
                <w:sz w:val="14"/>
                <w:szCs w:val="14"/>
                <w:lang w:val="en-US"/>
              </w:rPr>
              <w:br/>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SPF C57BL/6 </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SVY (</w:t>
            </w:r>
            <w:r w:rsidRPr="00585823">
              <w:rPr>
                <w:rFonts w:asciiTheme="minorHAnsi" w:hAnsiTheme="minorHAnsi" w:cstheme="minorHAnsi"/>
                <w:i/>
                <w:sz w:val="14"/>
                <w:szCs w:val="14"/>
                <w:lang w:val="en-US"/>
              </w:rPr>
              <w:t>B. breve</w:t>
            </w:r>
            <w:r w:rsidRPr="00585823">
              <w:rPr>
                <w:rFonts w:asciiTheme="minorHAnsi" w:hAnsiTheme="minorHAnsi" w:cstheme="minorHAnsi"/>
                <w:sz w:val="14"/>
                <w:szCs w:val="14"/>
                <w:lang w:val="en-US"/>
              </w:rPr>
              <w:t xml:space="preserve"> epitope)-expanded T cells targeting the SIY -expressing tumor cells </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i/>
                <w:sz w:val="14"/>
                <w:szCs w:val="14"/>
              </w:rPr>
            </w:pPr>
            <w:proofErr w:type="spellStart"/>
            <w:r w:rsidRPr="00585823">
              <w:rPr>
                <w:rFonts w:asciiTheme="minorHAnsi" w:hAnsiTheme="minorHAnsi" w:cstheme="minorHAnsi"/>
                <w:i/>
                <w:sz w:val="14"/>
                <w:szCs w:val="14"/>
              </w:rPr>
              <w:t>Bifidobacterium</w:t>
            </w:r>
            <w:proofErr w:type="spellEnd"/>
            <w:r w:rsidRPr="00585823">
              <w:rPr>
                <w:rFonts w:asciiTheme="minorHAnsi" w:hAnsiTheme="minorHAnsi" w:cstheme="minorHAnsi"/>
                <w:i/>
                <w:sz w:val="14"/>
                <w:szCs w:val="14"/>
              </w:rPr>
              <w:t xml:space="preserve"> </w:t>
            </w:r>
            <w:proofErr w:type="spellStart"/>
            <w:r w:rsidRPr="00585823">
              <w:rPr>
                <w:rFonts w:asciiTheme="minorHAnsi" w:hAnsiTheme="minorHAnsi" w:cstheme="minorHAnsi"/>
                <w:i/>
                <w:sz w:val="14"/>
                <w:szCs w:val="14"/>
              </w:rPr>
              <w:t>breve</w:t>
            </w:r>
            <w:proofErr w:type="spellEnd"/>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ACT injection at day 8 post tumor inoculation, followed by 2 injections of IL-2</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 xml:space="preserve">Delay </w:t>
            </w:r>
            <w:proofErr w:type="spellStart"/>
            <w:r w:rsidRPr="00585823">
              <w:rPr>
                <w:rFonts w:asciiTheme="minorHAnsi" w:hAnsiTheme="minorHAnsi" w:cstheme="minorHAnsi"/>
                <w:sz w:val="14"/>
                <w:szCs w:val="14"/>
              </w:rPr>
              <w:t>tumor</w:t>
            </w:r>
            <w:proofErr w:type="spellEnd"/>
            <w:r w:rsidRPr="00585823">
              <w:rPr>
                <w:rFonts w:asciiTheme="minorHAnsi" w:hAnsiTheme="minorHAnsi" w:cstheme="minorHAnsi"/>
                <w:sz w:val="14"/>
                <w:szCs w:val="14"/>
              </w:rPr>
              <w:t xml:space="preserve"> </w:t>
            </w:r>
            <w:proofErr w:type="spellStart"/>
            <w:r w:rsidRPr="00585823">
              <w:rPr>
                <w:rFonts w:asciiTheme="minorHAnsi" w:hAnsiTheme="minorHAnsi" w:cstheme="minorHAnsi"/>
                <w:sz w:val="14"/>
                <w:szCs w:val="14"/>
              </w:rPr>
              <w:t>growth</w:t>
            </w:r>
            <w:proofErr w:type="spellEnd"/>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TILs stimulation via cross-reactivity between SVY commensal epitope and SIY melanoma neoantigen </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rPr>
            </w:pPr>
            <w:r>
              <w:rPr>
                <w:rFonts w:asciiTheme="minorHAnsi" w:hAnsiTheme="minorHAnsi" w:cstheme="minorHAnsi"/>
                <w:sz w:val="14"/>
                <w:szCs w:val="14"/>
              </w:rPr>
              <w:fldChar w:fldCharType="begin"/>
            </w:r>
            <w:r>
              <w:rPr>
                <w:rFonts w:asciiTheme="minorHAnsi" w:hAnsiTheme="minorHAnsi" w:cstheme="minorHAnsi"/>
                <w:sz w:val="14"/>
                <w:szCs w:val="14"/>
              </w:rPr>
              <w:instrText xml:space="preserve"> ADDIN ZOTERO_ITEM CSL_CITATION {"citationID":"v1fmlkZN","properties":{"formattedCitation":"(Bessell et al. s.\\uc0\\u160{}d.)","plainCitation":"(Bessell et al. s. d.)","noteIndex":0},"citationItems":[{"id":3102,"uris":["http://zotero.org/users/2801898/items/DUCQKS62"],"uri":["http://zotero.org/users/2801898/items/DUCQKS62"],"itemData":{"id":3102,"type":"article-journal","abstract":"Recent studies show gut microbiota modulate antitumor immune responses; one proposed mechanism is cross-reactivity between antigens expressed in commensal bacteria and neoepitopes. We found that T cells targeting an epitope called SVYRYYGL (SVY), expressed in the commensal bacterium Bifidobacterium breve (B. breve), cross-react with a model neoantigen, SIYRYYGL (SIY). Mice lacking B. breve had decreased SVY-reactive T cells compared with B. breve–colonized mice, and the T cell response was transferable by SVY immunization or by cohousing mice without Bifidobacterium with ones colonized with Bifidobacterium. Tumors expressing the model SIY neoantigen also grew faster in mice lacking B. breve compared with Bifidobacterium-colonized animals. B. breve colonization also shaped the SVY-reactive TCR repertoire. Finally, SVY-specific T cells recognized SIY-expressing melanomas in vivo and led to decreased tumor growth and extended survival. Our work demonstrates that commensal bacteria can stimulate antitumor immune responses via cross-reactivity and how bacterial antigens affect the T cell landscape., \n\n, Antigen homology between commensal bacteria and tumor can lead to T cell cross-reactivity and a beneficial antitumor T cell response.","container-title":"JCI Insight","DOI":"10.1172/jci.insight.135597","ISSN":"2379-3708","issue":"8","journalAbbreviation":"JCI Insight","note":"PMID: 32324171\nPMCID: PMC7205429","source":"PubMed Central","title":"Commensal bacteria stimulate antitumor responses via T cell cross-reactivity","URL":"https://www.ncbi.nlm.nih.gov/pmc/articles/PMC7205429/","volume":"5","author":[{"family":"Bessell","given":"Catherine A."},{"family":"Isser","given":"Ariel"},{"family":"Havel","given":"Jonathan J."},{"family":"Lee","given":"Sangyun"},{"family":"Bell","given":"David R."},{"family":"Hickey","given":"John W."},{"family":"Chaisawangwong","given":"Worarat"},{"family":"Glick Bieler","given":"Joan"},{"family":"Srivastava","given":"Raghvendra"},{"family":"Kuo","given":"Fengshen"},{"family":"Purohit","given":"Tanaya"},{"family":"Zhou","given":"Ruhong"},{"family":"Chan","given":"Timothy A."},{"family":"Schneck","given":"Jonathan P."}],"accessed":{"date-parts":[["2021",1,26]]}}}],"schema":"https://github.com/citation-style-language/schema/raw/master/csl-citation.json"} </w:instrText>
            </w:r>
            <w:r>
              <w:rPr>
                <w:rFonts w:asciiTheme="minorHAnsi" w:hAnsiTheme="minorHAnsi" w:cstheme="minorHAnsi"/>
                <w:sz w:val="14"/>
                <w:szCs w:val="14"/>
              </w:rPr>
              <w:fldChar w:fldCharType="separate"/>
            </w:r>
            <w:r w:rsidRPr="00244861">
              <w:rPr>
                <w:rFonts w:ascii="Calibri" w:hAnsiTheme="minorHAnsi" w:cs="Calibri"/>
                <w:sz w:val="14"/>
              </w:rPr>
              <w:t>(Bessell et al. s. d.)</w:t>
            </w:r>
            <w:r>
              <w:rPr>
                <w:rFonts w:asciiTheme="minorHAnsi" w:hAnsiTheme="minorHAnsi" w:cstheme="minorHAnsi"/>
                <w:sz w:val="14"/>
                <w:szCs w:val="14"/>
              </w:rPr>
              <w:fldChar w:fldCharType="end"/>
            </w:r>
          </w:p>
        </w:tc>
      </w:tr>
      <w:tr w:rsidR="00585823" w:rsidRPr="00585823" w:rsidTr="0091404C">
        <w:trPr>
          <w:gridBefore w:val="1"/>
          <w:wBefore w:w="13" w:type="dxa"/>
          <w:trHeight w:val="279"/>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w:t>
            </w:r>
            <w:proofErr w:type="spellStart"/>
            <w:r w:rsidRPr="00585823">
              <w:rPr>
                <w:rFonts w:asciiTheme="minorHAnsi" w:hAnsiTheme="minorHAnsi" w:cstheme="minorHAnsi"/>
                <w:sz w:val="14"/>
                <w:szCs w:val="14"/>
                <w:lang w:val="en-US"/>
              </w:rPr>
              <w:t>sc</w:t>
            </w:r>
            <w:proofErr w:type="spellEnd"/>
            <w:r w:rsidRPr="00585823">
              <w:rPr>
                <w:rFonts w:asciiTheme="minorHAnsi" w:hAnsiTheme="minorHAnsi" w:cstheme="minorHAnsi"/>
                <w:sz w:val="14"/>
                <w:szCs w:val="14"/>
                <w:lang w:val="en-US"/>
              </w:rPr>
              <w:t xml:space="preserve"> TC1 cells, HPV E6/E7 gene transduced cervix /lung cancer cells </w:t>
            </w:r>
            <w:r w:rsidRPr="00585823">
              <w:rPr>
                <w:rFonts w:asciiTheme="minorHAnsi" w:hAnsiTheme="minorHAnsi" w:cstheme="minorHAnsi"/>
                <w:sz w:val="14"/>
                <w:szCs w:val="14"/>
                <w:lang w:val="en-US"/>
              </w:rPr>
              <w:br/>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 xml:space="preserve">ATB </w:t>
            </w:r>
            <w:proofErr w:type="spellStart"/>
            <w:r w:rsidRPr="00585823">
              <w:rPr>
                <w:rFonts w:asciiTheme="minorHAnsi" w:hAnsiTheme="minorHAnsi" w:cstheme="minorHAnsi"/>
                <w:sz w:val="14"/>
                <w:szCs w:val="14"/>
              </w:rPr>
              <w:t>regimen</w:t>
            </w:r>
            <w:proofErr w:type="spellEnd"/>
          </w:p>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w:t>
            </w:r>
            <w:proofErr w:type="gramStart"/>
            <w:r w:rsidRPr="00585823">
              <w:rPr>
                <w:rFonts w:asciiTheme="minorHAnsi" w:hAnsiTheme="minorHAnsi" w:cstheme="minorHAnsi"/>
                <w:sz w:val="14"/>
                <w:szCs w:val="14"/>
              </w:rPr>
              <w:t>vancomycine</w:t>
            </w:r>
            <w:proofErr w:type="gramEnd"/>
            <w:r w:rsidRPr="00585823">
              <w:rPr>
                <w:rFonts w:asciiTheme="minorHAnsi" w:hAnsiTheme="minorHAnsi" w:cstheme="minorHAnsi"/>
                <w:sz w:val="14"/>
                <w:szCs w:val="14"/>
              </w:rPr>
              <w:t xml:space="preserve">, versus </w:t>
            </w:r>
            <w:proofErr w:type="spellStart"/>
            <w:r w:rsidRPr="00585823">
              <w:rPr>
                <w:rFonts w:asciiTheme="minorHAnsi" w:hAnsiTheme="minorHAnsi" w:cstheme="minorHAnsi"/>
                <w:sz w:val="14"/>
                <w:szCs w:val="14"/>
              </w:rPr>
              <w:t>neomycine</w:t>
            </w:r>
            <w:proofErr w:type="spellEnd"/>
            <w:r w:rsidRPr="00585823">
              <w:rPr>
                <w:rFonts w:asciiTheme="minorHAnsi" w:hAnsiTheme="minorHAnsi" w:cstheme="minorHAnsi"/>
                <w:sz w:val="14"/>
                <w:szCs w:val="14"/>
              </w:rPr>
              <w:t>,</w:t>
            </w:r>
          </w:p>
          <w:p w:rsidR="00C37C4D" w:rsidRPr="00585823" w:rsidRDefault="00C37C4D" w:rsidP="00C37C4D">
            <w:pPr>
              <w:rPr>
                <w:rFonts w:asciiTheme="minorHAnsi" w:hAnsiTheme="minorHAnsi" w:cstheme="minorHAnsi"/>
                <w:sz w:val="14"/>
                <w:szCs w:val="14"/>
              </w:rPr>
            </w:pPr>
            <w:proofErr w:type="gramStart"/>
            <w:r w:rsidRPr="00585823">
              <w:rPr>
                <w:rFonts w:asciiTheme="minorHAnsi" w:hAnsiTheme="minorHAnsi" w:cstheme="minorHAnsi"/>
                <w:sz w:val="14"/>
                <w:szCs w:val="14"/>
              </w:rPr>
              <w:t>versus</w:t>
            </w:r>
            <w:proofErr w:type="gramEnd"/>
            <w:r w:rsidRPr="00585823">
              <w:rPr>
                <w:rFonts w:asciiTheme="minorHAnsi" w:hAnsiTheme="minorHAnsi" w:cstheme="minorHAnsi"/>
                <w:sz w:val="14"/>
                <w:szCs w:val="14"/>
              </w:rPr>
              <w:t xml:space="preserve"> </w:t>
            </w:r>
            <w:proofErr w:type="spellStart"/>
            <w:r w:rsidRPr="00585823">
              <w:rPr>
                <w:rFonts w:asciiTheme="minorHAnsi" w:hAnsiTheme="minorHAnsi" w:cstheme="minorHAnsi"/>
                <w:sz w:val="14"/>
                <w:szCs w:val="14"/>
              </w:rPr>
              <w:t>metronidazole</w:t>
            </w:r>
            <w:proofErr w:type="spellEnd"/>
            <w:r w:rsidRPr="00585823">
              <w:rPr>
                <w:rFonts w:asciiTheme="minorHAnsi" w:hAnsiTheme="minorHAnsi" w:cstheme="minorHAnsi"/>
                <w:sz w:val="14"/>
                <w:szCs w:val="14"/>
              </w:rPr>
              <w:t>)</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HPV-E6/E7-specific ACT </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Vancomycine</w:t>
            </w:r>
            <w:proofErr w:type="spellEnd"/>
            <w:r w:rsidRPr="00585823">
              <w:rPr>
                <w:rFonts w:asciiTheme="minorHAnsi" w:hAnsiTheme="minorHAnsi" w:cstheme="minorHAnsi"/>
                <w:sz w:val="14"/>
                <w:szCs w:val="14"/>
                <w:lang w:val="en-US"/>
              </w:rPr>
              <w:t xml:space="preserve"> (killing unknown specific </w:t>
            </w:r>
            <w:proofErr w:type="spellStart"/>
            <w:r w:rsidRPr="00585823">
              <w:rPr>
                <w:rFonts w:asciiTheme="minorHAnsi" w:hAnsiTheme="minorHAnsi" w:cstheme="minorHAnsi"/>
                <w:sz w:val="14"/>
                <w:szCs w:val="14"/>
                <w:lang w:val="en-US"/>
              </w:rPr>
              <w:t>Gram+bacteria</w:t>
            </w:r>
            <w:proofErr w:type="spellEnd"/>
            <w:r w:rsidRPr="00585823">
              <w:rPr>
                <w:rFonts w:asciiTheme="minorHAnsi" w:hAnsiTheme="minorHAnsi" w:cstheme="minorHAnsi"/>
                <w:sz w:val="14"/>
                <w:szCs w:val="14"/>
                <w:lang w:val="en-US"/>
              </w:rPr>
              <w:t xml:space="preserve"> from the Bacteroides genus)</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w:t>
            </w:r>
            <w:proofErr w:type="spellStart"/>
            <w:r w:rsidR="00F31D8E">
              <w:rPr>
                <w:rFonts w:asciiTheme="minorHAnsi" w:hAnsiTheme="minorHAnsi" w:cstheme="minorHAnsi"/>
                <w:sz w:val="14"/>
                <w:szCs w:val="14"/>
                <w:lang w:val="en-US"/>
              </w:rPr>
              <w:t>v</w:t>
            </w:r>
            <w:r w:rsidRPr="00585823">
              <w:rPr>
                <w:rFonts w:asciiTheme="minorHAnsi" w:hAnsiTheme="minorHAnsi" w:cstheme="minorHAnsi"/>
                <w:sz w:val="14"/>
                <w:szCs w:val="14"/>
                <w:lang w:val="en-US"/>
              </w:rPr>
              <w:t>ancomycine</w:t>
            </w:r>
            <w:proofErr w:type="spellEnd"/>
            <w:r w:rsidRPr="00585823">
              <w:rPr>
                <w:rFonts w:asciiTheme="minorHAnsi" w:hAnsiTheme="minorHAnsi" w:cstheme="minorHAnsi"/>
                <w:sz w:val="14"/>
                <w:szCs w:val="14"/>
                <w:lang w:val="en-US"/>
              </w:rPr>
              <w:t xml:space="preserve"> (but not metronidazole or </w:t>
            </w:r>
            <w:proofErr w:type="spellStart"/>
            <w:r w:rsidRPr="00585823">
              <w:rPr>
                <w:rFonts w:asciiTheme="minorHAnsi" w:hAnsiTheme="minorHAnsi" w:cstheme="minorHAnsi"/>
                <w:sz w:val="14"/>
                <w:szCs w:val="14"/>
                <w:lang w:val="en-US"/>
              </w:rPr>
              <w:t>neomycine</w:t>
            </w:r>
            <w:proofErr w:type="spellEnd"/>
            <w:r w:rsidRPr="00585823">
              <w:rPr>
                <w:rFonts w:asciiTheme="minorHAnsi" w:hAnsiTheme="minorHAnsi" w:cstheme="minorHAnsi"/>
                <w:sz w:val="14"/>
                <w:szCs w:val="14"/>
                <w:lang w:val="en-US"/>
              </w:rPr>
              <w:t xml:space="preserve">) for 10 days before ACT </w:t>
            </w:r>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Vancomycin increased the efficacy of ACT</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Increased systemic CD8 </w:t>
            </w:r>
            <w:r w:rsidRPr="00585823">
              <w:rPr>
                <w:rFonts w:ascii="Cambria Math" w:hAnsi="Cambria Math" w:cs="Cambria Math"/>
                <w:sz w:val="14"/>
                <w:szCs w:val="14"/>
                <w:lang w:val="en-US"/>
              </w:rPr>
              <w:t>⍺</w:t>
            </w:r>
            <w:r w:rsidRPr="00585823">
              <w:rPr>
                <w:rFonts w:asciiTheme="minorHAnsi" w:hAnsiTheme="minorHAnsi" w:cstheme="minorHAnsi"/>
                <w:sz w:val="14"/>
                <w:szCs w:val="14"/>
                <w:lang w:val="en-US"/>
              </w:rPr>
              <w:t xml:space="preserve"> DC numbers resulting in enhanced efficacy of ACT in an IL-12 dependent manner</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rPr>
            </w:pPr>
            <w:r>
              <w:rPr>
                <w:rFonts w:asciiTheme="minorHAnsi" w:hAnsiTheme="minorHAnsi" w:cstheme="minorHAnsi"/>
                <w:sz w:val="14"/>
                <w:szCs w:val="14"/>
              </w:rPr>
              <w:fldChar w:fldCharType="begin"/>
            </w:r>
            <w:r>
              <w:rPr>
                <w:rFonts w:asciiTheme="minorHAnsi" w:hAnsiTheme="minorHAnsi" w:cstheme="minorHAnsi"/>
                <w:sz w:val="14"/>
                <w:szCs w:val="14"/>
              </w:rPr>
              <w:instrText xml:space="preserve"> ADDIN ZOTERO_ITEM CSL_CITATION {"citationID":"rQZS23vP","properties":{"formattedCitation":"(Uribe-Herranz et al. 2018, 12)","plainCitation":"(Uribe-Herranz et al. 2018, 12)","noteIndex":0},"citationItems":[{"id":1075,"uris":["http://zotero.org/users/2801898/items/HB68BII9"],"uri":["http://zotero.org/users/2801898/items/HB68BII9"],"itemData":{"id":1075,"type":"article-journal","abstract":"Adoptive T cell therapy (ACT) is a promising new modality for malignancies. Here, we report that adoptive T cell efficacy in tumor-bearing mice is significantly affected by differences in the native composition of the gut microbiome or treatment with antibiotics, or by heterologous fecal transfer. Depletion of bacteria with vancomycin decreased the rate of tumor growth in mice from The Jackson Laboratory receiving ACT, whereas treatment with neomycin and metronidazole had no effect, indicating the role of specific bacteria in host response. Vancomycin treatment induced an increase in systemic CD8α+ DCs, which sustained systemic adoptively transferred antitumor T cells in an IL-12-dependent manner. In subjects undergoing allogeneic hematopoietic cell transplantation, we found that oral vancomycin also increased IL-12 levels. Collectively, our findings demonstrate an important role played by the gut microbiota in the antitumor effectiveness of ACT and suggest potentially new avenues to improve response to ACT by altering the gut microbiota.","container-title":"JCI insight","DOI":"10.1172/jci.insight.94952","ISSN":"2379-3708","issue":"4","journalAbbreviation":"JCI Insight","language":"eng","note":"PMID: 29467322\nPMCID: PMC5916241","source":"PubMed","title":"Gut microbiota modulates adoptive cell therapy via CD8α dendritic cells and IL-12","volume":"3","author":[{"family":"Uribe-Herranz","given":"Mireia"},{"family":"Bittinger","given":"Kyle"},{"family":"Rafail","given":"Stavros"},{"family":"Guedan","given":"Sonia"},{"family":"Pierini","given":"Stefano"},{"family":"Tanes","given":"Ceylan"},{"family":"Ganetsky","given":"Alex"},{"family":"Morgan","given":"Mark A."},{"family":"Gill","given":"Saar"},{"family":"Tanyi","given":"Janos L."},{"family":"Bushman","given":"Frederic D."},{"family":"June","given":"Carl H."},{"family":"Facciabene","given":"Andrea"}],"issued":{"date-parts":[["2018"]],"season":"22"}},"locator":"-12"}],"schema":"https://github.com/citation-style-language/schema/raw/master/csl-citation.json"} </w:instrText>
            </w:r>
            <w:r>
              <w:rPr>
                <w:rFonts w:asciiTheme="minorHAnsi" w:hAnsiTheme="minorHAnsi" w:cstheme="minorHAnsi"/>
                <w:sz w:val="14"/>
                <w:szCs w:val="14"/>
              </w:rPr>
              <w:fldChar w:fldCharType="separate"/>
            </w:r>
            <w:r>
              <w:rPr>
                <w:rFonts w:asciiTheme="minorHAnsi" w:hAnsiTheme="minorHAnsi" w:cstheme="minorHAnsi"/>
                <w:noProof/>
                <w:sz w:val="14"/>
                <w:szCs w:val="14"/>
              </w:rPr>
              <w:t>(Uribe-Herranz et al. 2018, 12)</w:t>
            </w:r>
            <w:r>
              <w:rPr>
                <w:rFonts w:asciiTheme="minorHAnsi" w:hAnsiTheme="minorHAnsi" w:cstheme="minorHAnsi"/>
                <w:sz w:val="14"/>
                <w:szCs w:val="14"/>
              </w:rPr>
              <w:fldChar w:fldCharType="end"/>
            </w:r>
          </w:p>
        </w:tc>
      </w:tr>
      <w:tr w:rsidR="00C37C4D" w:rsidRPr="00585823" w:rsidTr="0091404C">
        <w:trPr>
          <w:gridBefore w:val="1"/>
          <w:wBefore w:w="13" w:type="dxa"/>
          <w:trHeight w:val="97"/>
        </w:trPr>
        <w:tc>
          <w:tcPr>
            <w:tcW w:w="16275" w:type="dxa"/>
            <w:gridSpan w:val="21"/>
            <w:tcBorders>
              <w:top w:val="single" w:sz="8" w:space="0" w:color="FFFFFF"/>
              <w:left w:val="single" w:sz="4" w:space="0" w:color="auto"/>
              <w:bottom w:val="single" w:sz="8" w:space="0" w:color="FFFFFF"/>
              <w:right w:val="single" w:sz="4" w:space="0" w:color="auto"/>
            </w:tcBorders>
            <w:shd w:val="clear" w:color="auto" w:fill="FFFFFF" w:themeFill="background1"/>
            <w:tcMar>
              <w:top w:w="4" w:type="dxa"/>
              <w:left w:w="4" w:type="dxa"/>
              <w:bottom w:w="0" w:type="dxa"/>
              <w:right w:w="4" w:type="dxa"/>
            </w:tcMar>
            <w:vAlign w:val="bottom"/>
            <w:hideMark/>
          </w:tcPr>
          <w:p w:rsidR="00C37C4D" w:rsidRPr="00585823" w:rsidRDefault="00C37C4D" w:rsidP="00C37C4D">
            <w:pPr>
              <w:rPr>
                <w:rFonts w:asciiTheme="minorHAnsi" w:hAnsiTheme="minorHAnsi" w:cstheme="minorHAnsi"/>
                <w:i/>
                <w:iCs/>
                <w:sz w:val="14"/>
                <w:szCs w:val="14"/>
                <w:lang w:val="en-US"/>
              </w:rPr>
            </w:pPr>
            <w:r w:rsidRPr="00585823">
              <w:rPr>
                <w:rFonts w:asciiTheme="minorHAnsi" w:hAnsiTheme="minorHAnsi" w:cstheme="minorHAnsi"/>
                <w:b/>
                <w:bCs/>
                <w:i/>
                <w:iCs/>
                <w:sz w:val="14"/>
                <w:szCs w:val="14"/>
                <w:lang w:val="en-US"/>
              </w:rPr>
              <w:t>Cytokine or TLR agonists</w:t>
            </w:r>
          </w:p>
        </w:tc>
      </w:tr>
      <w:tr w:rsidR="00585823" w:rsidRPr="00585823" w:rsidTr="0091404C">
        <w:trPr>
          <w:gridBefore w:val="1"/>
          <w:wBefore w:w="13" w:type="dxa"/>
          <w:trHeight w:val="188"/>
        </w:trPr>
        <w:tc>
          <w:tcPr>
            <w:tcW w:w="2369" w:type="dxa"/>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w:t>
            </w:r>
            <w:proofErr w:type="spellStart"/>
            <w:r w:rsidRPr="00585823">
              <w:rPr>
                <w:rFonts w:asciiTheme="minorHAnsi" w:hAnsiTheme="minorHAnsi" w:cstheme="minorHAnsi"/>
                <w:sz w:val="14"/>
                <w:szCs w:val="14"/>
              </w:rPr>
              <w:t>sc</w:t>
            </w:r>
            <w:proofErr w:type="spellEnd"/>
            <w:r w:rsidRPr="00585823">
              <w:rPr>
                <w:rFonts w:asciiTheme="minorHAnsi" w:hAnsiTheme="minorHAnsi" w:cstheme="minorHAnsi"/>
                <w:sz w:val="14"/>
                <w:szCs w:val="14"/>
              </w:rPr>
              <w:t xml:space="preserve"> MC38 colon </w:t>
            </w:r>
            <w:proofErr w:type="spellStart"/>
            <w:r w:rsidRPr="00585823">
              <w:rPr>
                <w:rFonts w:asciiTheme="minorHAnsi" w:hAnsiTheme="minorHAnsi" w:cstheme="minorHAnsi"/>
                <w:sz w:val="14"/>
                <w:szCs w:val="14"/>
              </w:rPr>
              <w:t>carcinoma</w:t>
            </w:r>
            <w:proofErr w:type="spellEnd"/>
            <w:r w:rsidRPr="00585823">
              <w:rPr>
                <w:rFonts w:asciiTheme="minorHAnsi" w:hAnsiTheme="minorHAnsi" w:cstheme="minorHAnsi"/>
                <w:sz w:val="14"/>
                <w:szCs w:val="14"/>
              </w:rPr>
              <w:t xml:space="preserve">, *B16.F10 </w:t>
            </w:r>
            <w:proofErr w:type="spellStart"/>
            <w:r w:rsidRPr="00585823">
              <w:rPr>
                <w:rFonts w:asciiTheme="minorHAnsi" w:hAnsiTheme="minorHAnsi" w:cstheme="minorHAnsi"/>
                <w:sz w:val="14"/>
                <w:szCs w:val="14"/>
              </w:rPr>
              <w:t>melanoma</w:t>
            </w:r>
            <w:proofErr w:type="spellEnd"/>
            <w:r w:rsidRPr="00585823">
              <w:rPr>
                <w:rFonts w:asciiTheme="minorHAnsi" w:hAnsiTheme="minorHAnsi" w:cstheme="minorHAnsi"/>
                <w:sz w:val="14"/>
                <w:szCs w:val="14"/>
              </w:rPr>
              <w:t xml:space="preserve"> </w:t>
            </w:r>
            <w:r w:rsidRPr="00585823">
              <w:rPr>
                <w:rFonts w:asciiTheme="minorHAnsi" w:hAnsiTheme="minorHAnsi" w:cstheme="minorHAnsi"/>
                <w:sz w:val="14"/>
                <w:szCs w:val="14"/>
              </w:rPr>
              <w:br/>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 xml:space="preserve">ATB </w:t>
            </w:r>
            <w:proofErr w:type="spellStart"/>
            <w:r w:rsidRPr="00585823">
              <w:rPr>
                <w:rFonts w:asciiTheme="minorHAnsi" w:hAnsiTheme="minorHAnsi" w:cstheme="minorHAnsi"/>
                <w:sz w:val="14"/>
                <w:szCs w:val="14"/>
              </w:rPr>
              <w:t>pre-exposed</w:t>
            </w:r>
            <w:proofErr w:type="spellEnd"/>
            <w:r w:rsidRPr="00585823">
              <w:rPr>
                <w:rFonts w:asciiTheme="minorHAnsi" w:hAnsiTheme="minorHAnsi" w:cstheme="minorHAnsi"/>
                <w:sz w:val="14"/>
                <w:szCs w:val="14"/>
              </w:rPr>
              <w:t xml:space="preserve"> </w:t>
            </w:r>
            <w:proofErr w:type="spellStart"/>
            <w:r w:rsidRPr="00585823">
              <w:rPr>
                <w:rFonts w:asciiTheme="minorHAnsi" w:hAnsiTheme="minorHAnsi" w:cstheme="minorHAnsi"/>
                <w:sz w:val="14"/>
                <w:szCs w:val="14"/>
              </w:rPr>
              <w:t>mice</w:t>
            </w:r>
            <w:proofErr w:type="spellEnd"/>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CpG-ODN combined to anti-IL10R</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i/>
                <w:sz w:val="14"/>
                <w:szCs w:val="14"/>
                <w:lang w:val="en-US"/>
              </w:rPr>
              <w:t>Alistipes</w:t>
            </w:r>
            <w:proofErr w:type="spellEnd"/>
            <w:r w:rsidRPr="00585823">
              <w:rPr>
                <w:rFonts w:asciiTheme="minorHAnsi" w:hAnsiTheme="minorHAnsi" w:cstheme="minorHAnsi"/>
                <w:i/>
                <w:sz w:val="14"/>
                <w:szCs w:val="14"/>
                <w:lang w:val="en-US"/>
              </w:rPr>
              <w:t xml:space="preserve"> </w:t>
            </w:r>
            <w:proofErr w:type="spellStart"/>
            <w:r w:rsidRPr="00585823">
              <w:rPr>
                <w:rFonts w:asciiTheme="minorHAnsi" w:hAnsiTheme="minorHAnsi" w:cstheme="minorHAnsi"/>
                <w:i/>
                <w:sz w:val="14"/>
                <w:szCs w:val="14"/>
                <w:lang w:val="en-US"/>
              </w:rPr>
              <w:t>shahii</w:t>
            </w:r>
            <w:proofErr w:type="spellEnd"/>
            <w:r w:rsidRPr="00585823">
              <w:rPr>
                <w:rFonts w:asciiTheme="minorHAnsi" w:hAnsiTheme="minorHAnsi" w:cstheme="minorHAnsi"/>
                <w:i/>
                <w:sz w:val="14"/>
                <w:szCs w:val="14"/>
                <w:lang w:val="en-US"/>
              </w:rPr>
              <w:t xml:space="preserve"> and </w:t>
            </w:r>
            <w:proofErr w:type="spellStart"/>
            <w:r w:rsidRPr="00585823">
              <w:rPr>
                <w:rFonts w:asciiTheme="minorHAnsi" w:hAnsiTheme="minorHAnsi" w:cstheme="minorHAnsi"/>
                <w:i/>
                <w:sz w:val="14"/>
                <w:szCs w:val="14"/>
                <w:lang w:val="en-US"/>
              </w:rPr>
              <w:t>Ruminococcus</w:t>
            </w:r>
            <w:proofErr w:type="spellEnd"/>
            <w:r w:rsidRPr="00585823">
              <w:rPr>
                <w:rFonts w:asciiTheme="minorHAnsi" w:hAnsiTheme="minorHAnsi" w:cstheme="minorHAnsi"/>
                <w:i/>
                <w:sz w:val="14"/>
                <w:szCs w:val="14"/>
                <w:lang w:val="en-US"/>
              </w:rPr>
              <w:t xml:space="preserve"> genus </w:t>
            </w:r>
            <w:r w:rsidRPr="00585823">
              <w:rPr>
                <w:rFonts w:asciiTheme="minorHAnsi" w:hAnsiTheme="minorHAnsi" w:cstheme="minorHAnsi"/>
                <w:sz w:val="14"/>
                <w:szCs w:val="14"/>
                <w:lang w:val="en-US"/>
              </w:rPr>
              <w:t>were pro-inflammatory</w:t>
            </w:r>
            <w:r w:rsidRPr="00585823">
              <w:rPr>
                <w:rFonts w:asciiTheme="minorHAnsi" w:hAnsiTheme="minorHAnsi" w:cstheme="minorHAnsi"/>
                <w:i/>
                <w:sz w:val="14"/>
                <w:szCs w:val="14"/>
                <w:lang w:val="en-US"/>
              </w:rPr>
              <w:t xml:space="preserve"> </w:t>
            </w:r>
            <w:r w:rsidRPr="00585823">
              <w:rPr>
                <w:rFonts w:asciiTheme="minorHAnsi" w:hAnsiTheme="minorHAnsi" w:cstheme="minorHAnsi"/>
                <w:sz w:val="14"/>
                <w:szCs w:val="14"/>
                <w:lang w:val="en-US"/>
              </w:rPr>
              <w:t>while</w:t>
            </w:r>
            <w:r w:rsidRPr="00585823">
              <w:rPr>
                <w:rFonts w:asciiTheme="minorHAnsi" w:hAnsiTheme="minorHAnsi" w:cstheme="minorHAnsi"/>
                <w:i/>
                <w:sz w:val="14"/>
                <w:szCs w:val="14"/>
                <w:lang w:val="en-US"/>
              </w:rPr>
              <w:t xml:space="preserve"> </w:t>
            </w:r>
            <w:r w:rsidRPr="00585823">
              <w:rPr>
                <w:rStyle w:val="Accentuation"/>
                <w:rFonts w:asciiTheme="minorHAnsi" w:hAnsiTheme="minorHAnsi" w:cstheme="minorHAnsi"/>
                <w:sz w:val="14"/>
                <w:szCs w:val="14"/>
                <w:lang w:val="en-US"/>
              </w:rPr>
              <w:t xml:space="preserve">L. </w:t>
            </w:r>
            <w:proofErr w:type="spellStart"/>
            <w:r w:rsidRPr="00585823">
              <w:rPr>
                <w:rStyle w:val="Accentuation"/>
                <w:rFonts w:asciiTheme="minorHAnsi" w:hAnsiTheme="minorHAnsi" w:cstheme="minorHAnsi"/>
                <w:sz w:val="14"/>
                <w:szCs w:val="14"/>
                <w:lang w:val="en-US"/>
              </w:rPr>
              <w:t>murinum</w:t>
            </w:r>
            <w:proofErr w:type="spellEnd"/>
            <w:r w:rsidRPr="00585823">
              <w:rPr>
                <w:rStyle w:val="Accentuation"/>
                <w:rFonts w:asciiTheme="minorHAnsi" w:hAnsiTheme="minorHAnsi" w:cstheme="minorHAnsi"/>
                <w:sz w:val="14"/>
                <w:szCs w:val="14"/>
                <w:lang w:val="en-US"/>
              </w:rPr>
              <w:t>, L. intestinalis,</w:t>
            </w:r>
            <w:r w:rsidRPr="00585823">
              <w:rPr>
                <w:rFonts w:asciiTheme="minorHAnsi" w:hAnsiTheme="minorHAnsi" w:cstheme="minorHAnsi"/>
                <w:sz w:val="14"/>
                <w:szCs w:val="14"/>
                <w:lang w:val="en-US"/>
              </w:rPr>
              <w:t xml:space="preserve"> and </w:t>
            </w:r>
            <w:r w:rsidRPr="00585823">
              <w:rPr>
                <w:rStyle w:val="Accentuation"/>
                <w:rFonts w:asciiTheme="minorHAnsi" w:hAnsiTheme="minorHAnsi" w:cstheme="minorHAnsi"/>
                <w:sz w:val="14"/>
                <w:szCs w:val="14"/>
                <w:lang w:val="en-US"/>
              </w:rPr>
              <w:t>L. fermentum</w:t>
            </w:r>
          </w:p>
          <w:p w:rsidR="00C37C4D" w:rsidRPr="00585823" w:rsidRDefault="00C37C4D" w:rsidP="00C37C4D">
            <w:pPr>
              <w:rPr>
                <w:rFonts w:asciiTheme="minorHAnsi" w:hAnsiTheme="minorHAnsi" w:cstheme="minorHAnsi"/>
                <w:i/>
                <w:sz w:val="14"/>
                <w:szCs w:val="14"/>
                <w:lang w:val="en-US"/>
              </w:rPr>
            </w:pPr>
            <w:r w:rsidRPr="00585823">
              <w:rPr>
                <w:rFonts w:asciiTheme="minorHAnsi" w:hAnsiTheme="minorHAnsi" w:cstheme="minorHAnsi"/>
                <w:i/>
                <w:sz w:val="14"/>
                <w:szCs w:val="14"/>
                <w:lang w:val="en-US"/>
              </w:rPr>
              <w:t xml:space="preserve"> </w:t>
            </w:r>
            <w:r w:rsidRPr="00585823">
              <w:rPr>
                <w:rFonts w:asciiTheme="minorHAnsi" w:hAnsiTheme="minorHAnsi" w:cstheme="minorHAnsi"/>
                <w:sz w:val="14"/>
                <w:szCs w:val="14"/>
                <w:lang w:val="en-US"/>
              </w:rPr>
              <w:t>were anti-inflammatory mediators</w:t>
            </w:r>
            <w:r w:rsidRPr="00585823">
              <w:rPr>
                <w:rFonts w:asciiTheme="minorHAnsi" w:hAnsiTheme="minorHAnsi" w:cstheme="minorHAnsi"/>
                <w:i/>
                <w:sz w:val="14"/>
                <w:szCs w:val="14"/>
                <w:lang w:val="en-US"/>
              </w:rPr>
              <w:t>.</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Oral administration of 5 or 8 doses, after one week of antibiotic cessation</w:t>
            </w:r>
          </w:p>
        </w:tc>
        <w:tc>
          <w:tcPr>
            <w:tcW w:w="190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TNF</w:t>
            </w:r>
            <w:r w:rsidR="00F31D8E">
              <w:rPr>
                <w:rFonts w:asciiTheme="minorHAnsi" w:hAnsiTheme="minorHAnsi" w:cstheme="minorHAnsi"/>
                <w:sz w:val="14"/>
                <w:szCs w:val="14"/>
                <w:lang w:val="en-US"/>
              </w:rPr>
              <w:sym w:font="Symbol" w:char="F061"/>
            </w:r>
            <w:r w:rsidRPr="00585823">
              <w:rPr>
                <w:rFonts w:asciiTheme="minorHAnsi" w:hAnsiTheme="minorHAnsi" w:cstheme="minorHAnsi"/>
                <w:sz w:val="14"/>
                <w:szCs w:val="14"/>
                <w:lang w:val="en-US"/>
              </w:rPr>
              <w:t>-induced tumor necrosis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following CpG+anti-IL-10R </w:t>
            </w:r>
            <w:proofErr w:type="spellStart"/>
            <w:r w:rsidRPr="00585823">
              <w:rPr>
                <w:rFonts w:asciiTheme="minorHAnsi" w:hAnsiTheme="minorHAnsi" w:cstheme="minorHAnsi"/>
                <w:sz w:val="14"/>
                <w:szCs w:val="14"/>
                <w:lang w:val="en-US"/>
              </w:rPr>
              <w:t>mAbs</w:t>
            </w:r>
            <w:proofErr w:type="spellEnd"/>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Increased TNF</w:t>
            </w:r>
            <w:r w:rsidRPr="00585823">
              <w:rPr>
                <w:rFonts w:asciiTheme="minorHAnsi" w:hAnsiTheme="minorHAnsi" w:cstheme="minorHAnsi"/>
                <w:sz w:val="14"/>
                <w:szCs w:val="14"/>
                <w:lang w:val="en-US"/>
              </w:rPr>
              <w:t> production by tumor associated myeloid cells in response to anti-IL10R/CpG-ODN</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rPr>
            </w:pPr>
            <w:r>
              <w:rPr>
                <w:rFonts w:asciiTheme="minorHAnsi" w:hAnsiTheme="minorHAnsi" w:cstheme="minorHAnsi"/>
                <w:sz w:val="14"/>
                <w:szCs w:val="14"/>
              </w:rPr>
              <w:fldChar w:fldCharType="begin"/>
            </w:r>
            <w:r>
              <w:rPr>
                <w:rFonts w:asciiTheme="minorHAnsi" w:hAnsiTheme="minorHAnsi" w:cstheme="minorHAnsi"/>
                <w:sz w:val="14"/>
                <w:szCs w:val="14"/>
              </w:rPr>
              <w:instrText xml:space="preserve"> ADDIN ZOTERO_ITEM CSL_CITATION {"citationID":"IiUECMpC","properties":{"formattedCitation":"(Iida et al. 2013)","plainCitation":"(Iida et al. 2013)","noteIndex":0},"citationItems":[{"id":677,"uris":["http://zotero.org/users/2801898/items/QE5JIXUH"],"uri":["http://zotero.org/users/2801898/items/QE5JIXUH"],"itemData":{"id":677,"type":"article-journal","abstract":"The gut microbiota influences both local and systemic inflammation. Inflammation contributes to development, progression, and treatment of cancer, but it remains unclear whether commensal bacteria affect inflammation in the sterile tumor microenvironment. Here, we show that disruption of the microbiota impairs the response of subcutaneous tumors to CpG-oligonucleotide immunotherapy and platinum chemotherapy. In antibiotics-treated or germ-free mice, tumor-infiltrating myeloid-derived cells responded poorly to therapy, resulting in lower cytokine production and tumor necrosis after CpG-oligonucleotide treatment and deficient production of reactive oxygen species and cytotoxicity after chemotherapy. Thus, optimal responses to cancer therapy require an intact commensal microbiota that mediates its effects by modulating myeloid-derived cell functions in the tumor microenvironment. These findings underscore the importance of the microbiota in the outcome of disease treatment.","container-title":"Science (New York, N.Y.)","DOI":"10.1126/science.1240527","ISSN":"1095-9203","issue":"6161","journalAbbreviation":"Science","language":"eng","note":"PMID: 24264989","page":"967-970","source":"PubMed","title":"Commensal bacteria control cancer response to therapy by modulating the tumor microenvironment","volume":"342","author":[{"family":"Iida","given":"Noriho"},{"family":"Dzutsev","given":"Amiran"},{"family":"Stewart","given":"C. Andrew"},{"family":"Smith","given":"Loretta"},{"family":"Bouladoux","given":"Nicolas"},{"family":"Weingarten","given":"Rebecca A."},{"family":"Molina","given":"Daniel A."},{"family":"Salcedo","given":"Rosalba"},{"family":"Back","given":"Timothy"},{"family":"Cramer","given":"Sarah"},{"family":"Dai","given":"Ren-Ming"},{"family":"Kiu","given":"Hiu"},{"family":"Cardone","given":"Marco"},{"family":"Naik","given":"Shruti"},{"family":"Patri","given":"Anil K."},{"family":"Wang","given":"Ena"},{"family":"Marincola","given":"Francesco M."},{"family":"Frank","given":"Karen M."},{"family":"Belkaid","given":"Yasmine"},{"family":"Trinchieri","given":"Giorgio"},{"family":"Goldszmid","given":"Romina S."}],"issued":{"date-parts":[["2013",11,22]]}}}],"schema":"https://github.com/citation-style-language/schema/raw/master/csl-citation.json"} </w:instrText>
            </w:r>
            <w:r>
              <w:rPr>
                <w:rFonts w:asciiTheme="minorHAnsi" w:hAnsiTheme="minorHAnsi" w:cstheme="minorHAnsi"/>
                <w:sz w:val="14"/>
                <w:szCs w:val="14"/>
              </w:rPr>
              <w:fldChar w:fldCharType="separate"/>
            </w:r>
            <w:r>
              <w:rPr>
                <w:rFonts w:asciiTheme="minorHAnsi" w:hAnsiTheme="minorHAnsi" w:cstheme="minorHAnsi"/>
                <w:noProof/>
                <w:sz w:val="14"/>
                <w:szCs w:val="14"/>
              </w:rPr>
              <w:t>(Iida et al. 2013)</w:t>
            </w:r>
            <w:r>
              <w:rPr>
                <w:rFonts w:asciiTheme="minorHAnsi" w:hAnsiTheme="minorHAnsi" w:cstheme="minorHAnsi"/>
                <w:sz w:val="14"/>
                <w:szCs w:val="14"/>
              </w:rPr>
              <w:fldChar w:fldCharType="end"/>
            </w:r>
          </w:p>
        </w:tc>
      </w:tr>
      <w:tr w:rsidR="008B716E" w:rsidRPr="00DB327F" w:rsidTr="0091404C">
        <w:trPr>
          <w:gridBefore w:val="1"/>
          <w:wBefore w:w="13" w:type="dxa"/>
          <w:trHeight w:val="188"/>
        </w:trPr>
        <w:tc>
          <w:tcPr>
            <w:tcW w:w="2369" w:type="dxa"/>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*B16F10 melanoma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*CT26 </w:t>
            </w:r>
            <w:proofErr w:type="spellStart"/>
            <w:r w:rsidRPr="00585823">
              <w:rPr>
                <w:rFonts w:asciiTheme="minorHAnsi" w:hAnsiTheme="minorHAnsi" w:cstheme="minorHAnsi"/>
                <w:sz w:val="14"/>
                <w:szCs w:val="14"/>
                <w:lang w:val="en-US"/>
              </w:rPr>
              <w:t>sc</w:t>
            </w:r>
            <w:proofErr w:type="spellEnd"/>
            <w:r w:rsidRPr="00585823">
              <w:rPr>
                <w:rFonts w:asciiTheme="minorHAnsi" w:hAnsiTheme="minorHAnsi" w:cstheme="minorHAnsi"/>
                <w:sz w:val="14"/>
                <w:szCs w:val="14"/>
                <w:lang w:val="en-US"/>
              </w:rPr>
              <w:t xml:space="preserve"> colon cancer</w:t>
            </w:r>
          </w:p>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w:t>
            </w:r>
            <w:proofErr w:type="spellStart"/>
            <w:r w:rsidRPr="00585823">
              <w:rPr>
                <w:rFonts w:asciiTheme="minorHAnsi" w:hAnsiTheme="minorHAnsi" w:cstheme="minorHAnsi"/>
                <w:sz w:val="14"/>
                <w:szCs w:val="14"/>
              </w:rPr>
              <w:t>Human</w:t>
            </w:r>
            <w:proofErr w:type="spellEnd"/>
            <w:r w:rsidRPr="00585823">
              <w:rPr>
                <w:rFonts w:asciiTheme="minorHAnsi" w:hAnsiTheme="minorHAnsi" w:cstheme="minorHAnsi"/>
                <w:sz w:val="14"/>
                <w:szCs w:val="14"/>
              </w:rPr>
              <w:t xml:space="preserve"> colon cancer tissues</w:t>
            </w:r>
          </w:p>
        </w:tc>
        <w:tc>
          <w:tcPr>
            <w:tcW w:w="1873"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rPr>
            </w:pPr>
            <w:r w:rsidRPr="00585823">
              <w:rPr>
                <w:rFonts w:asciiTheme="minorHAnsi" w:hAnsiTheme="minorHAnsi" w:cstheme="minorHAnsi"/>
                <w:sz w:val="14"/>
                <w:szCs w:val="14"/>
              </w:rPr>
              <w:t xml:space="preserve">SPF </w:t>
            </w:r>
            <w:proofErr w:type="spellStart"/>
            <w:r w:rsidRPr="00585823">
              <w:rPr>
                <w:rFonts w:asciiTheme="minorHAnsi" w:hAnsiTheme="minorHAnsi" w:cstheme="minorHAnsi"/>
                <w:sz w:val="14"/>
                <w:szCs w:val="14"/>
              </w:rPr>
              <w:t>mice</w:t>
            </w:r>
            <w:proofErr w:type="spellEnd"/>
            <w:r w:rsidRPr="00585823">
              <w:rPr>
                <w:rFonts w:asciiTheme="minorHAnsi" w:hAnsiTheme="minorHAnsi" w:cstheme="minorHAnsi"/>
                <w:sz w:val="14"/>
                <w:szCs w:val="14"/>
              </w:rPr>
              <w:t xml:space="preserve"> on ex vivo </w:t>
            </w:r>
            <w:proofErr w:type="spellStart"/>
            <w:r w:rsidRPr="00585823">
              <w:rPr>
                <w:rFonts w:asciiTheme="minorHAnsi" w:hAnsiTheme="minorHAnsi" w:cstheme="minorHAnsi"/>
                <w:sz w:val="14"/>
                <w:szCs w:val="14"/>
              </w:rPr>
              <w:t>organotypic</w:t>
            </w:r>
            <w:proofErr w:type="spellEnd"/>
            <w:r w:rsidRPr="00585823">
              <w:rPr>
                <w:rFonts w:asciiTheme="minorHAnsi" w:hAnsiTheme="minorHAnsi" w:cstheme="minorHAnsi"/>
                <w:sz w:val="14"/>
                <w:szCs w:val="14"/>
              </w:rPr>
              <w:t xml:space="preserve"> cultures</w:t>
            </w:r>
          </w:p>
        </w:tc>
        <w:tc>
          <w:tcPr>
            <w:tcW w:w="1931" w:type="dxa"/>
            <w:gridSpan w:val="4"/>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rIL-2 </w:t>
            </w:r>
          </w:p>
        </w:tc>
        <w:tc>
          <w:tcPr>
            <w:tcW w:w="231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 xml:space="preserve">A. </w:t>
            </w:r>
            <w:proofErr w:type="spellStart"/>
            <w:r w:rsidRPr="00585823">
              <w:rPr>
                <w:rFonts w:asciiTheme="minorHAnsi" w:hAnsiTheme="minorHAnsi" w:cstheme="minorHAnsi"/>
                <w:i/>
                <w:sz w:val="14"/>
                <w:szCs w:val="14"/>
                <w:lang w:val="en-US"/>
              </w:rPr>
              <w:t>muciniphila</w:t>
            </w:r>
            <w:proofErr w:type="spellEnd"/>
            <w:r w:rsidRPr="00585823">
              <w:rPr>
                <w:rFonts w:asciiTheme="minorHAnsi" w:hAnsiTheme="minorHAnsi" w:cstheme="minorHAnsi"/>
                <w:i/>
                <w:sz w:val="14"/>
                <w:szCs w:val="14"/>
                <w:lang w:val="en-US"/>
              </w:rPr>
              <w:t xml:space="preserve"> (</w:t>
            </w:r>
            <w:proofErr w:type="spellStart"/>
            <w:r w:rsidRPr="00585823">
              <w:rPr>
                <w:rFonts w:asciiTheme="minorHAnsi" w:hAnsiTheme="minorHAnsi" w:cstheme="minorHAnsi"/>
                <w:i/>
                <w:sz w:val="14"/>
                <w:szCs w:val="14"/>
                <w:lang w:val="en-US"/>
              </w:rPr>
              <w:t>Akk</w:t>
            </w:r>
            <w:proofErr w:type="spellEnd"/>
            <w:r w:rsidRPr="00585823">
              <w:rPr>
                <w:rFonts w:asciiTheme="minorHAnsi" w:hAnsiTheme="minorHAnsi" w:cstheme="minorHAnsi"/>
                <w:i/>
                <w:sz w:val="14"/>
                <w:szCs w:val="14"/>
                <w:lang w:val="en-US"/>
              </w:rPr>
              <w:t>)</w:t>
            </w:r>
            <w:r w:rsidRPr="00585823">
              <w:rPr>
                <w:rFonts w:asciiTheme="minorHAnsi" w:hAnsiTheme="minorHAnsi" w:cstheme="minorHAnsi"/>
                <w:sz w:val="14"/>
                <w:szCs w:val="14"/>
                <w:lang w:val="en-US"/>
              </w:rPr>
              <w:t xml:space="preserve"> or TLR2 </w:t>
            </w:r>
            <w:proofErr w:type="spellStart"/>
            <w:r w:rsidR="00DB327F">
              <w:rPr>
                <w:rFonts w:asciiTheme="minorHAnsi" w:hAnsiTheme="minorHAnsi" w:cstheme="minorHAnsi"/>
                <w:i/>
                <w:sz w:val="14"/>
                <w:szCs w:val="14"/>
                <w:lang w:val="en-US"/>
              </w:rPr>
              <w:t>Akk</w:t>
            </w:r>
            <w:proofErr w:type="spellEnd"/>
            <w:r w:rsidRPr="00585823">
              <w:rPr>
                <w:rFonts w:asciiTheme="minorHAnsi" w:hAnsiTheme="minorHAnsi" w:cstheme="minorHAnsi"/>
                <w:sz w:val="14"/>
                <w:szCs w:val="14"/>
                <w:lang w:val="en-US"/>
              </w:rPr>
              <w:t xml:space="preserve"> agonist</w:t>
            </w:r>
          </w:p>
        </w:tc>
        <w:tc>
          <w:tcPr>
            <w:tcW w:w="1809"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gavages with </w:t>
            </w:r>
            <w:proofErr w:type="spellStart"/>
            <w:r w:rsidRPr="00DB327F">
              <w:rPr>
                <w:rFonts w:asciiTheme="minorHAnsi" w:hAnsiTheme="minorHAnsi" w:cstheme="minorHAnsi"/>
                <w:i/>
                <w:iCs/>
                <w:sz w:val="14"/>
                <w:szCs w:val="14"/>
                <w:lang w:val="en-US"/>
              </w:rPr>
              <w:t>Akk</w:t>
            </w:r>
            <w:proofErr w:type="spellEnd"/>
            <w:r w:rsidRPr="00DB327F">
              <w:rPr>
                <w:rFonts w:asciiTheme="minorHAnsi" w:hAnsiTheme="minorHAnsi" w:cstheme="minorHAnsi"/>
                <w:i/>
                <w:iCs/>
                <w:sz w:val="14"/>
                <w:szCs w:val="14"/>
                <w:lang w:val="en-US"/>
              </w:rPr>
              <w:t xml:space="preserve"> </w:t>
            </w:r>
            <w:r w:rsidRPr="00585823">
              <w:rPr>
                <w:rFonts w:asciiTheme="minorHAnsi" w:hAnsiTheme="minorHAnsi" w:cstheme="minorHAnsi"/>
                <w:sz w:val="14"/>
                <w:szCs w:val="14"/>
                <w:lang w:val="en-US"/>
              </w:rPr>
              <w:t xml:space="preserve">every three days for 20-25 days with </w:t>
            </w:r>
            <w:proofErr w:type="spellStart"/>
            <w:r w:rsidRPr="00585823">
              <w:rPr>
                <w:rFonts w:asciiTheme="minorHAnsi" w:hAnsiTheme="minorHAnsi" w:cstheme="minorHAnsi"/>
                <w:sz w:val="14"/>
                <w:szCs w:val="14"/>
                <w:lang w:val="en-US"/>
              </w:rPr>
              <w:t>ip</w:t>
            </w:r>
            <w:proofErr w:type="spellEnd"/>
            <w:r w:rsidRPr="00585823">
              <w:rPr>
                <w:rFonts w:asciiTheme="minorHAnsi" w:hAnsiTheme="minorHAnsi" w:cstheme="minorHAnsi"/>
                <w:sz w:val="14"/>
                <w:szCs w:val="14"/>
                <w:lang w:val="en-US"/>
              </w:rPr>
              <w:t xml:space="preserve"> administration of rIL-2</w:t>
            </w:r>
          </w:p>
        </w:tc>
        <w:tc>
          <w:tcPr>
            <w:tcW w:w="1905"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proofErr w:type="spellStart"/>
            <w:r w:rsidRPr="00DB327F">
              <w:rPr>
                <w:rFonts w:asciiTheme="minorHAnsi" w:hAnsiTheme="minorHAnsi" w:cstheme="minorHAnsi"/>
                <w:i/>
                <w:iCs/>
                <w:sz w:val="14"/>
                <w:szCs w:val="14"/>
                <w:lang w:val="en-US"/>
              </w:rPr>
              <w:t>Akk</w:t>
            </w:r>
            <w:proofErr w:type="spellEnd"/>
            <w:r w:rsidRPr="00585823">
              <w:rPr>
                <w:rFonts w:asciiTheme="minorHAnsi" w:hAnsiTheme="minorHAnsi" w:cstheme="minorHAnsi"/>
                <w:sz w:val="14"/>
                <w:szCs w:val="14"/>
                <w:lang w:val="en-US"/>
              </w:rPr>
              <w:t xml:space="preserve"> induced tumor cell apoptosis, increased CD8/</w:t>
            </w:r>
            <w:proofErr w:type="spellStart"/>
            <w:r w:rsidRPr="00585823">
              <w:rPr>
                <w:rFonts w:asciiTheme="minorHAnsi" w:hAnsiTheme="minorHAnsi" w:cstheme="minorHAnsi"/>
                <w:sz w:val="14"/>
                <w:szCs w:val="14"/>
                <w:lang w:val="en-US"/>
              </w:rPr>
              <w:t>Treg</w:t>
            </w:r>
            <w:proofErr w:type="spellEnd"/>
            <w:r w:rsidRPr="00585823">
              <w:rPr>
                <w:rFonts w:asciiTheme="minorHAnsi" w:hAnsiTheme="minorHAnsi" w:cstheme="minorHAnsi"/>
                <w:sz w:val="14"/>
                <w:szCs w:val="14"/>
                <w:lang w:val="en-US"/>
              </w:rPr>
              <w:t xml:space="preserve"> ratio, activation of intratumor DCs</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Increased Tc1 CTLs in tumor beds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Reduction of </w:t>
            </w:r>
            <w:proofErr w:type="spellStart"/>
            <w:r w:rsidRPr="00585823">
              <w:rPr>
                <w:rFonts w:asciiTheme="minorHAnsi" w:hAnsiTheme="minorHAnsi" w:cstheme="minorHAnsi"/>
                <w:sz w:val="14"/>
                <w:szCs w:val="14"/>
                <w:lang w:val="en-US"/>
              </w:rPr>
              <w:t>Treg</w:t>
            </w:r>
            <w:proofErr w:type="spellEnd"/>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Increased ratios between TNF</w:t>
            </w:r>
            <w:r w:rsidR="00F31D8E">
              <w:rPr>
                <w:rFonts w:asciiTheme="minorHAnsi" w:hAnsiTheme="minorHAnsi" w:cstheme="minorHAnsi"/>
                <w:sz w:val="14"/>
                <w:szCs w:val="14"/>
                <w:lang w:val="en-US"/>
              </w:rPr>
              <w:sym w:font="Symbol" w:char="F061"/>
            </w:r>
            <w:r w:rsidRPr="00585823">
              <w:rPr>
                <w:rFonts w:asciiTheme="minorHAnsi" w:hAnsiTheme="minorHAnsi" w:cstheme="minorHAnsi"/>
                <w:sz w:val="14"/>
                <w:szCs w:val="14"/>
                <w:lang w:val="en-US"/>
              </w:rPr>
              <w:t>/TGF</w:t>
            </w:r>
            <w:r w:rsidR="00F31D8E">
              <w:rPr>
                <w:rFonts w:asciiTheme="minorHAnsi" w:hAnsiTheme="minorHAnsi" w:cstheme="minorHAnsi"/>
                <w:sz w:val="14"/>
                <w:szCs w:val="14"/>
                <w:lang w:val="en-US"/>
              </w:rPr>
              <w:sym w:font="Symbol" w:char="F062"/>
            </w:r>
            <w:r w:rsidRPr="00585823">
              <w:rPr>
                <w:rFonts w:asciiTheme="minorHAnsi" w:hAnsiTheme="minorHAnsi" w:cstheme="minorHAnsi"/>
                <w:sz w:val="14"/>
                <w:szCs w:val="14"/>
                <w:lang w:val="en-US"/>
              </w:rPr>
              <w:t xml:space="preserve"> in tumor beds</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lang w:val="is-IS"/>
              </w:rPr>
            </w:pPr>
            <w:r>
              <w:rPr>
                <w:rFonts w:asciiTheme="minorHAnsi" w:hAnsiTheme="minorHAnsi" w:cstheme="minorHAnsi"/>
                <w:sz w:val="14"/>
                <w:szCs w:val="14"/>
                <w:lang w:val="is-IS"/>
              </w:rPr>
              <w:fldChar w:fldCharType="begin"/>
            </w:r>
            <w:r>
              <w:rPr>
                <w:rFonts w:asciiTheme="minorHAnsi" w:hAnsiTheme="minorHAnsi" w:cstheme="minorHAnsi"/>
                <w:sz w:val="14"/>
                <w:szCs w:val="14"/>
                <w:lang w:val="is-IS"/>
              </w:rPr>
              <w:instrText xml:space="preserve"> ADDIN ZOTERO_ITEM CSL_CITATION {"citationID":"3Nr7rkLa","properties":{"formattedCitation":"(L. Shi et al. 2020)","plainCitation":"(L. Shi et al. 2020)","noteIndex":0},"citationItems":[{"id":2975,"uris":["http://zotero.org/users/2801898/items/Y7PZ67X8"],"uri":["http://zotero.org/users/2801898/items/Y7PZ67X8"],"itemData":{"id":2975,"type":"article-journal","abstract":"BACKGROUND: Interleukin-2 (IL-2) serves as a pioneer of immunotherapeutic agent in cancer treatment. However, there is a considerable proportion of patients who cannot benefit from this therapy due to the limited clinical responses and dose-limiting toxicities. Mounting evidence indicates that commensal microbiota shapes the outcome of cancer immunotherapies. In this study, we aim to investigate the enhancing effect of Akkermansia muciniphila (AKK), a beneficial commensal microbe receiving considerable attentions, on the antitumor efficacy of IL-2 and explore the underlying molecular mechanism.\nMETHODS: Colorectal carcinoma patient-derived tumor tissues were used to evaluate the therapeutic efficacy of combination treatment. AKK was orally delivered to B16F10 and CT26 tumor-bearing mice along with systemic IL-2 treatment. Flow cytometry was carried out to analyze the tumor immune microenvironment. The molecular mechanism of the enhanced therapeutic efficacy was explored by RNA-seq and then verified in tumor-bearing mice.\nRESULTS: Combined treatment with IL-2 and AKK showed a stronger antitumor efficacy in colorectal cancer patient-derived tumor tissues. Meanwhile, the therapeutic outcome of IL-2 was significantly potentiated by oral administration of AKK in subcutaneous melanoma and colorectal tumor-bearing mice, resulting from the strengthened antitumor immune surveillance. Mechanistically, the antitumor immune response elicited by AKK was partially mediated by Amuc, derived from the outer membrane protein of AKK, through activating toll-like receptor 2 (TLR2) signaling pathway. Besides, oral supplementation with AKK protected gut barrier function and maintained mucosal homeostasis under systemic IL-2 treatment.\nCONCLUSION: These findings propose that IL-2 combined with AKK is a novel therapeutic strategy with prospecting application for cancer treatment in clinical practice.","container-title":"Journal for Immunotherapy of Cancer","DOI":"10.1136/jitc-2020-000973","ISSN":"2051-1426","issue":"2","journalAbbreviation":"J Immunother Cancer","language":"eng","note":"PMID: 33028692\nPMCID: PMC7542661","source":"PubMed","title":"Combining IL-2-based immunotherapy with commensal probiotics produces enhanced antitumor immune response and tumor clearance","volume":"8","author":[{"family":"Shi","given":"Linlin"},{"family":"Sheng","given":"Jianyong"},{"family":"Chen","given":"Guozhong"},{"family":"Zhu","given":"Peng"},{"family":"Shi","given":"Changping"},{"family":"Li","given":"Bei"},{"family":"Park","given":"Chaiwoo"},{"family":"Wang","given":"Jingyi"},{"family":"Zhang","given":"Bixiang"},{"family":"Liu","given":"Zhi"},{"family":"Yang","given":"Xiangliang"}],"issued":{"date-parts":[["2020",10]]}}}],"schema":"https://github.com/citation-style-language/schema/raw/master/csl-citation.json"} </w:instrText>
            </w:r>
            <w:r>
              <w:rPr>
                <w:rFonts w:asciiTheme="minorHAnsi" w:hAnsiTheme="minorHAnsi" w:cstheme="minorHAnsi"/>
                <w:sz w:val="14"/>
                <w:szCs w:val="14"/>
                <w:lang w:val="is-IS"/>
              </w:rPr>
              <w:fldChar w:fldCharType="separate"/>
            </w:r>
            <w:r>
              <w:rPr>
                <w:rFonts w:asciiTheme="minorHAnsi" w:hAnsiTheme="minorHAnsi" w:cstheme="minorHAnsi"/>
                <w:noProof/>
                <w:sz w:val="14"/>
                <w:szCs w:val="14"/>
                <w:lang w:val="is-IS"/>
              </w:rPr>
              <w:t>(L. Shi et al. 2020)</w:t>
            </w:r>
            <w:r>
              <w:rPr>
                <w:rFonts w:asciiTheme="minorHAnsi" w:hAnsiTheme="minorHAnsi" w:cstheme="minorHAnsi"/>
                <w:sz w:val="14"/>
                <w:szCs w:val="14"/>
                <w:lang w:val="is-IS"/>
              </w:rPr>
              <w:fldChar w:fldCharType="end"/>
            </w:r>
          </w:p>
        </w:tc>
      </w:tr>
      <w:tr w:rsidR="00C37C4D" w:rsidRPr="00DB327F" w:rsidTr="0091404C">
        <w:trPr>
          <w:gridBefore w:val="1"/>
          <w:wBefore w:w="13" w:type="dxa"/>
          <w:trHeight w:val="185"/>
        </w:trPr>
        <w:tc>
          <w:tcPr>
            <w:tcW w:w="16275" w:type="dxa"/>
            <w:gridSpan w:val="21"/>
            <w:tcBorders>
              <w:top w:val="single" w:sz="8" w:space="0" w:color="FFFFFF"/>
              <w:left w:val="single" w:sz="4" w:space="0" w:color="auto"/>
              <w:bottom w:val="single" w:sz="8" w:space="0" w:color="FFFFFF"/>
              <w:right w:val="single" w:sz="4" w:space="0" w:color="auto"/>
            </w:tcBorders>
            <w:shd w:val="clear" w:color="auto" w:fill="D9D9D9"/>
            <w:tcMar>
              <w:top w:w="4" w:type="dxa"/>
              <w:left w:w="4" w:type="dxa"/>
              <w:bottom w:w="0" w:type="dxa"/>
              <w:right w:w="4" w:type="dxa"/>
            </w:tcMar>
            <w:vAlign w:val="bottom"/>
            <w:hideMark/>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b/>
                <w:bCs/>
                <w:sz w:val="14"/>
                <w:szCs w:val="14"/>
                <w:lang w:val="is-IS"/>
              </w:rPr>
              <w:t>CHEMOTHERAPY or TARGETED THERAPIES</w:t>
            </w:r>
          </w:p>
        </w:tc>
      </w:tr>
      <w:tr w:rsidR="000962D0" w:rsidRPr="00585823" w:rsidTr="00F31D8E">
        <w:trPr>
          <w:gridBefore w:val="1"/>
          <w:wBefore w:w="13" w:type="dxa"/>
          <w:trHeight w:val="940"/>
        </w:trPr>
        <w:tc>
          <w:tcPr>
            <w:tcW w:w="2726" w:type="dxa"/>
            <w:gridSpan w:val="4"/>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*sc EL4 thymoma</w:t>
            </w:r>
          </w:p>
        </w:tc>
        <w:tc>
          <w:tcPr>
            <w:tcW w:w="14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 xml:space="preserve"> ATB or GF</w:t>
            </w:r>
          </w:p>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and TLR4 wt versus KO mice</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Oxaliplatinum (OXA)</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iCs/>
                <w:sz w:val="14"/>
                <w:szCs w:val="14"/>
                <w:lang w:val="is-IS"/>
              </w:rPr>
            </w:pPr>
            <w:r w:rsidRPr="00DB327F">
              <w:rPr>
                <w:rFonts w:asciiTheme="minorHAnsi" w:hAnsiTheme="minorHAnsi" w:cstheme="minorHAnsi"/>
                <w:iCs/>
                <w:sz w:val="14"/>
                <w:szCs w:val="14"/>
                <w:lang w:val="is-IS"/>
              </w:rPr>
              <w:t>N</w:t>
            </w:r>
            <w:r w:rsidR="00F72381" w:rsidRPr="00DB327F">
              <w:rPr>
                <w:rFonts w:asciiTheme="minorHAnsi" w:hAnsiTheme="minorHAnsi" w:cstheme="minorHAnsi"/>
                <w:iCs/>
                <w:sz w:val="14"/>
                <w:szCs w:val="14"/>
                <w:lang w:val="is-IS"/>
              </w:rPr>
              <w:t>ot done</w:t>
            </w:r>
          </w:p>
        </w:tc>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Oxaliplatinum in GF or ATB treated mice</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Deficient production of reactive oxygen species and cytotoxicity after chemotherapy in ATB or TLR4 KO mice</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DB327F" w:rsidRDefault="00C37C4D" w:rsidP="00C37C4D">
            <w:pPr>
              <w:rPr>
                <w:rFonts w:asciiTheme="minorHAnsi" w:hAnsiTheme="minorHAnsi" w:cstheme="minorHAnsi"/>
                <w:sz w:val="14"/>
                <w:szCs w:val="14"/>
                <w:lang w:val="is-IS"/>
              </w:rPr>
            </w:pPr>
            <w:r w:rsidRPr="00DB327F">
              <w:rPr>
                <w:rFonts w:asciiTheme="minorHAnsi" w:hAnsiTheme="minorHAnsi" w:cstheme="minorHAnsi"/>
                <w:sz w:val="14"/>
                <w:szCs w:val="14"/>
                <w:lang w:val="is-IS"/>
              </w:rPr>
              <w:t xml:space="preserve">ABX attenuated induction of </w:t>
            </w:r>
            <w:r w:rsidRPr="00DB327F">
              <w:rPr>
                <w:rStyle w:val="Accentuation"/>
                <w:rFonts w:asciiTheme="minorHAnsi" w:hAnsiTheme="minorHAnsi" w:cstheme="minorHAnsi"/>
                <w:sz w:val="14"/>
                <w:szCs w:val="14"/>
                <w:lang w:val="is-IS"/>
              </w:rPr>
              <w:t>Nox1</w:t>
            </w:r>
            <w:r w:rsidRPr="00DB327F">
              <w:rPr>
                <w:rFonts w:asciiTheme="minorHAnsi" w:hAnsiTheme="minorHAnsi" w:cstheme="minorHAnsi"/>
                <w:sz w:val="14"/>
                <w:szCs w:val="14"/>
                <w:lang w:val="is-IS"/>
              </w:rPr>
              <w:t xml:space="preserve"> and </w:t>
            </w:r>
            <w:r w:rsidRPr="00DB327F">
              <w:rPr>
                <w:rStyle w:val="Accentuation"/>
                <w:rFonts w:asciiTheme="minorHAnsi" w:hAnsiTheme="minorHAnsi" w:cstheme="minorHAnsi"/>
                <w:sz w:val="14"/>
                <w:szCs w:val="14"/>
                <w:lang w:val="is-IS"/>
              </w:rPr>
              <w:t>Cybb</w:t>
            </w:r>
            <w:r w:rsidRPr="00DB327F">
              <w:rPr>
                <w:rFonts w:asciiTheme="minorHAnsi" w:hAnsiTheme="minorHAnsi" w:cstheme="minorHAnsi"/>
                <w:sz w:val="14"/>
                <w:szCs w:val="14"/>
                <w:lang w:val="is-IS"/>
              </w:rPr>
              <w:t xml:space="preserve"> encoding ROS-generating NADPH oxidase 2 (NOX2) and of the ROS-responsive </w:t>
            </w:r>
            <w:r w:rsidRPr="00DB327F">
              <w:rPr>
                <w:rStyle w:val="Accentuation"/>
                <w:rFonts w:asciiTheme="minorHAnsi" w:hAnsiTheme="minorHAnsi" w:cstheme="minorHAnsi"/>
                <w:sz w:val="14"/>
                <w:szCs w:val="14"/>
                <w:lang w:val="is-IS"/>
              </w:rPr>
              <w:t>Nos2, Sod1,</w:t>
            </w:r>
            <w:r w:rsidRPr="00DB327F">
              <w:rPr>
                <w:rFonts w:asciiTheme="minorHAnsi" w:hAnsiTheme="minorHAnsi" w:cstheme="minorHAnsi"/>
                <w:sz w:val="14"/>
                <w:szCs w:val="14"/>
                <w:lang w:val="is-IS"/>
              </w:rPr>
              <w:t xml:space="preserve"> and </w:t>
            </w:r>
            <w:r w:rsidRPr="00DB327F">
              <w:rPr>
                <w:rStyle w:val="Accentuation"/>
                <w:rFonts w:asciiTheme="minorHAnsi" w:hAnsiTheme="minorHAnsi" w:cstheme="minorHAnsi"/>
                <w:sz w:val="14"/>
                <w:szCs w:val="14"/>
                <w:lang w:val="is-IS"/>
              </w:rPr>
              <w:t>Sod2</w:t>
            </w:r>
            <w:r w:rsidRPr="00DB327F">
              <w:rPr>
                <w:rFonts w:asciiTheme="minorHAnsi" w:hAnsiTheme="minorHAnsi" w:cstheme="minorHAnsi"/>
                <w:sz w:val="14"/>
                <w:szCs w:val="14"/>
                <w:lang w:val="is-IS"/>
              </w:rPr>
              <w:t xml:space="preserve"> after OXA</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tcPr>
          <w:p w:rsidR="00C37C4D" w:rsidRPr="00585823" w:rsidRDefault="00244861" w:rsidP="00C37C4D">
            <w:pPr>
              <w:rPr>
                <w:rFonts w:asciiTheme="minorHAnsi" w:hAnsiTheme="minorHAnsi" w:cstheme="minorHAnsi"/>
                <w:sz w:val="14"/>
                <w:szCs w:val="14"/>
                <w:lang w:val="it-IT"/>
              </w:rPr>
            </w:pPr>
            <w:r>
              <w:rPr>
                <w:rFonts w:asciiTheme="minorHAnsi" w:hAnsiTheme="minorHAnsi" w:cstheme="minorHAnsi"/>
                <w:sz w:val="14"/>
                <w:szCs w:val="14"/>
                <w:lang w:val="is-IS"/>
              </w:rPr>
              <w:fldChar w:fldCharType="begin"/>
            </w:r>
            <w:r>
              <w:rPr>
                <w:rFonts w:asciiTheme="minorHAnsi" w:hAnsiTheme="minorHAnsi" w:cstheme="minorHAnsi"/>
                <w:sz w:val="14"/>
                <w:szCs w:val="14"/>
                <w:lang w:val="is-IS"/>
              </w:rPr>
              <w:instrText xml:space="preserve"> ADDIN ZOTERO_ITEM CSL_CITATION {"citationID":"cfiYWBvf","properties":{"formattedCitation":"(Iida et al. 2013)","plainCitation":"(Iida et al. 2013)","noteIndex":0},"citationItems":[{"id":677,"uris":["http://zotero.org/users/2801898/items/QE5JIXUH"],"uri":["http://zotero.org/users/2801898/items/QE5JIXUH"],"itemData":{"id":677,"type":"article-journal","abstract":"The gut microbiota influences both local and systemic inflammation. Inflammation contributes to development, progression, and treatment of cancer, but it remains unclear whether commensal bacteria affect inflammation in the sterile tumor microenvironment. Here, we show that disruption of the microbiota impairs the response of subcutaneous tumors to CpG-oligonucleotide immunotherapy and platinum chemotherapy. In antibiotics-treated or germ-free mice, tumor-infiltrating myeloid-derived cells responded poorly to therapy, resulting in lower cytokine production and tumor necrosis after CpG-oligonucleotide treatment and deficient production of reactive oxygen species and cytotoxicity after chemotherapy. Thus, optimal responses to cancer therapy require an intact commensal microbiota that mediates its effects by modulating myeloid-derived cell functions in the tumor microenvironment. These findings underscore the importance of the microbiota in the outcome of disease treatment.","container-title":"Science (New York, N.Y.)","DOI":"10.1126/science.1240527","ISSN":"1095-9203","issue":"6161","journalAbbreviation":"Science","language":"eng","note":"PMID: 24264989","page":"967-970","source":"PubMed","title":"Commensal bacteria control cancer response to therapy by modulating the tumor microenvironment","volume":"342","author":[{"family":"Iida","given":"Noriho"},{"family":"Dzutsev","given":"Amiran"},{"family":"Stewart","given":"C. Andrew"},{"family":"Smith","given":"Loretta"},{"family":"Bouladoux","given":"Nicolas"},{"family":"Weingarten","given":"Rebecca A."},{"family":"Molina","given":"Daniel A."},{"family":"Salcedo","given":"Rosalba"},{"family":"Back","given":"Timothy"},{"family":"Cramer","given":"Sarah"},{"family":"Dai","given":"Ren-Ming"},{"family":"Kiu","given":"Hiu"},{"family":"Cardone","given":"Marco"},{"family":"Naik","given":"Shruti"},{"family":"Patri","given":"Anil K."},{"family":"Wang","given":"Ena"},{"family":"Marincola","given":"Francesco M."},{"family":"Frank","given":"Karen M."},{"family":"Belkaid","given":"Yasmine"},{"family":"Trinchieri","given":"Giorgio"},{"family":"Goldszmid","given":"Romina S."}],"issued":{"date-parts":[["2013",11,22]]}}}],"schema":"https://github.com/citation-style-language/schema/raw/master/csl-citation.json"} </w:instrText>
            </w:r>
            <w:r>
              <w:rPr>
                <w:rFonts w:asciiTheme="minorHAnsi" w:hAnsiTheme="minorHAnsi" w:cstheme="minorHAnsi"/>
                <w:sz w:val="14"/>
                <w:szCs w:val="14"/>
                <w:lang w:val="is-IS"/>
              </w:rPr>
              <w:fldChar w:fldCharType="separate"/>
            </w:r>
            <w:r>
              <w:rPr>
                <w:rFonts w:asciiTheme="minorHAnsi" w:hAnsiTheme="minorHAnsi" w:cstheme="minorHAnsi"/>
                <w:noProof/>
                <w:sz w:val="14"/>
                <w:szCs w:val="14"/>
                <w:lang w:val="is-IS"/>
              </w:rPr>
              <w:t>(Iida et al. 2013)</w:t>
            </w:r>
            <w:r>
              <w:rPr>
                <w:rFonts w:asciiTheme="minorHAnsi" w:hAnsiTheme="minorHAnsi" w:cstheme="minorHAnsi"/>
                <w:sz w:val="14"/>
                <w:szCs w:val="14"/>
                <w:lang w:val="is-IS"/>
              </w:rPr>
              <w:fldChar w:fldCharType="end"/>
            </w:r>
          </w:p>
        </w:tc>
      </w:tr>
      <w:tr w:rsidR="000962D0" w:rsidRPr="00DB327F" w:rsidTr="00F31D8E">
        <w:trPr>
          <w:gridBefore w:val="1"/>
          <w:wBefore w:w="13" w:type="dxa"/>
          <w:trHeight w:val="1273"/>
        </w:trPr>
        <w:tc>
          <w:tcPr>
            <w:tcW w:w="2726" w:type="dxa"/>
            <w:gridSpan w:val="4"/>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*MCA-205 sarcoma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*B16.F10 melanoma </w:t>
            </w:r>
            <w:r w:rsidRPr="00585823">
              <w:rPr>
                <w:rFonts w:asciiTheme="minorHAnsi" w:hAnsiTheme="minorHAnsi" w:cstheme="minorHAnsi"/>
                <w:sz w:val="14"/>
                <w:szCs w:val="14"/>
                <w:lang w:val="en-US"/>
              </w:rPr>
              <w:br/>
            </w:r>
          </w:p>
        </w:tc>
        <w:tc>
          <w:tcPr>
            <w:tcW w:w="144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C57BL/6J mice</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Germ free or ATB treated mice in SPF conditions</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rPr>
            </w:pPr>
            <w:proofErr w:type="spellStart"/>
            <w:r w:rsidRPr="00585823">
              <w:rPr>
                <w:rFonts w:asciiTheme="minorHAnsi" w:hAnsiTheme="minorHAnsi" w:cstheme="minorHAnsi"/>
                <w:sz w:val="14"/>
                <w:szCs w:val="14"/>
              </w:rPr>
              <w:t>Cyclophosphamide</w:t>
            </w:r>
            <w:proofErr w:type="spellEnd"/>
            <w:r w:rsidRPr="00585823">
              <w:rPr>
                <w:rFonts w:asciiTheme="minorHAnsi" w:hAnsiTheme="minorHAnsi" w:cstheme="minorHAnsi"/>
                <w:sz w:val="14"/>
                <w:szCs w:val="14"/>
              </w:rPr>
              <w:t xml:space="preserve"> (CTX)</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 xml:space="preserve">Enterococcus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and </w:t>
            </w:r>
            <w:r w:rsidRPr="00585823">
              <w:rPr>
                <w:rFonts w:asciiTheme="minorHAnsi" w:hAnsiTheme="minorHAnsi" w:cstheme="minorHAnsi"/>
                <w:i/>
                <w:sz w:val="14"/>
                <w:szCs w:val="14"/>
                <w:lang w:val="en-US"/>
              </w:rPr>
              <w:t xml:space="preserve">Lactobacillus </w:t>
            </w:r>
            <w:proofErr w:type="spellStart"/>
            <w:r w:rsidRPr="00585823">
              <w:rPr>
                <w:rFonts w:asciiTheme="minorHAnsi" w:hAnsiTheme="minorHAnsi" w:cstheme="minorHAnsi"/>
                <w:i/>
                <w:sz w:val="14"/>
                <w:szCs w:val="14"/>
                <w:lang w:val="en-US"/>
              </w:rPr>
              <w:t>johnsonii</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gavages the day after CTX administration </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Elicitation of pTH17 cells compensating the loss of CTX activity in ATB-treated mice.</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CTX-induced </w:t>
            </w:r>
            <w:r w:rsidR="00F31D8E" w:rsidRPr="00585823">
              <w:rPr>
                <w:rFonts w:asciiTheme="minorHAnsi" w:hAnsiTheme="minorHAnsi" w:cstheme="minorHAnsi"/>
                <w:sz w:val="14"/>
                <w:szCs w:val="14"/>
                <w:lang w:val="en-US"/>
              </w:rPr>
              <w:t>Gram-positive</w:t>
            </w:r>
            <w:r w:rsidRPr="00585823">
              <w:rPr>
                <w:rFonts w:asciiTheme="minorHAnsi" w:hAnsiTheme="minorHAnsi" w:cstheme="minorHAnsi"/>
                <w:sz w:val="14"/>
                <w:szCs w:val="14"/>
                <w:lang w:val="en-US"/>
              </w:rPr>
              <w:t xml:space="preserve"> translocation from gut to splenocytes and subsequent systemic priming of pTH17 and memory TH 1 immune correlating with therapeutic efficacy of CTX.</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DB327F" w:rsidRDefault="00244861" w:rsidP="00C37C4D">
            <w:pPr>
              <w:rPr>
                <w:rFonts w:asciiTheme="minorHAnsi" w:hAnsiTheme="minorHAnsi" w:cstheme="minorHAnsi"/>
                <w:sz w:val="14"/>
                <w:szCs w:val="14"/>
                <w:lang w:val="en-US"/>
              </w:rPr>
            </w:pPr>
            <w:r>
              <w:rPr>
                <w:rFonts w:asciiTheme="minorHAnsi" w:hAnsiTheme="minorHAnsi" w:cstheme="minorHAnsi"/>
                <w:sz w:val="14"/>
                <w:szCs w:val="14"/>
              </w:rPr>
              <w:fldChar w:fldCharType="begin"/>
            </w:r>
            <w:r>
              <w:rPr>
                <w:rFonts w:asciiTheme="minorHAnsi" w:hAnsiTheme="minorHAnsi" w:cstheme="minorHAnsi"/>
                <w:sz w:val="14"/>
                <w:szCs w:val="14"/>
              </w:rPr>
              <w:instrText xml:space="preserve"> ADDIN ZOTERO_ITEM CSL_CITATION {"citationID":"mrt3U0og","properties":{"formattedCitation":"(Viaud et al. 2013)","plainCitation":"(Viaud et al. 2013)","noteIndex":0},"citationItems":[{"id":157,"uris":["http://zotero.org/users/2801898/items/PPQKU72M"],"uri":["http://zotero.org/users/2801898/items/PPQKU72M"],"itemData":{"id":157,"type":"article-journal","abstract":"Cyclophosphamide is one of several clinically important cancer drugs whose therapeutic efficacy is due in part to their ability to stimulate antitumor immune responses. Studying mouse models, we demonstrate that cyclophosphamide alters the composition of microbiota in the small intestine and induces the translocation of selected species of Gram-positive bacteria into secondary lymphoid organs. There, these bacteria stimulate the generation of a specific subset of \"pathogenic\" T helper 17 (pT(H)17) cells and memory T(H)1 immune responses. Tumor-bearing mice that were germ-free or that had been treated with antibiotics to kill Gram-positive bacteria showed a reduction in pT(H)17 responses, and their tumors were resistant to cyclophosphamide. Adoptive transfer of pT(H)17 cells partially restored the antitumor efficacy of cyclophosphamide. These results suggest that the gut microbiota help shape the anticancer immune response.","container-title":"Science (New York, N.Y.)","DOI":"10.1126/science.1240537","ISSN":"1095-9203","issue":"6161","journalAbbreviation":"Science","language":"eng","note":"PMID: 24264990\nPMCID: PMC4048947","page":"971-976","source":"PubMed","title":"The intestinal microbiota modulates the anticancer imm</w:instrText>
            </w:r>
            <w:r w:rsidRPr="00DB327F">
              <w:rPr>
                <w:rFonts w:asciiTheme="minorHAnsi" w:hAnsiTheme="minorHAnsi" w:cstheme="minorHAnsi"/>
                <w:sz w:val="14"/>
                <w:szCs w:val="14"/>
                <w:lang w:val="en-US"/>
              </w:rPr>
              <w:instrText xml:space="preserve">une effects of cyclophosphamide","volume":"342","author":[{"family":"Viaud","given":"Sophie"},{"family":"Saccheri","given":"Fabiana"},{"family":"Mignot","given":"Grégoire"},{"family":"Yamazaki","given":"Takahiro"},{"family":"Daillère","given":"Romain"},{"family":"Hannani","given":"Dalil"},{"family":"Enot","given":"David P."},{"family":"Pfirschke","given":"Christina"},{"family":"Engblom","given":"Camilla"},{"family":"Pittet","given":"Mikael J."},{"family":"Schlitzer","given":"Andreas"},{"family":"Ginhoux","given":"Florent"},{"family":"Apetoh","given":"Lionel"},{"family":"Chachaty","given":"Elisabeth"},{"family":"Woerther","given":"Paul-Louis"},{"family":"Eberl","given":"Gérard"},{"family":"Bérard","given":"Marion"},{"family":"Ecobichon","given":"Chantal"},{"family":"Clermont","given":"Dominique"},{"family":"Bizet","given":"Chantal"},{"family":"Gaboriau-Routhiau","given":"Valérie"},{"family":"Cerf-Bensussan","given":"Nadine"},{"family":"Opolon","given":"Paule"},{"family":"Yessaad","given":"Nadia"},{"family":"Vivier","given":"Eric"},{"family":"Ryffel","given":"Bernhard"},{"family":"Elson","given":"Charles O."},{"family":"Doré","given":"Joël"},{"family":"Kroemer","given":"Guido"},{"family":"Lepage","given":"Patricia"},{"family":"Boneca","given":"Ivo Gomperts"},{"family":"Ghiringhelli","given":"François"},{"family":"Zitvogel","given":"Laurence"}],"issued":{"date-parts":[["2013",11,22]]}}}],"schema":"https://github.com/citation-style-language/schema/raw/master/csl-citation.json"} </w:instrText>
            </w:r>
            <w:r>
              <w:rPr>
                <w:rFonts w:asciiTheme="minorHAnsi" w:hAnsiTheme="minorHAnsi" w:cstheme="minorHAnsi"/>
                <w:sz w:val="14"/>
                <w:szCs w:val="14"/>
              </w:rPr>
              <w:fldChar w:fldCharType="separate"/>
            </w:r>
            <w:r w:rsidRPr="00DB327F">
              <w:rPr>
                <w:rFonts w:asciiTheme="minorHAnsi" w:hAnsiTheme="minorHAnsi" w:cstheme="minorHAnsi"/>
                <w:noProof/>
                <w:sz w:val="14"/>
                <w:szCs w:val="14"/>
                <w:lang w:val="en-US"/>
              </w:rPr>
              <w:t>(Viaud et al. 2013)</w:t>
            </w:r>
            <w:r>
              <w:rPr>
                <w:rFonts w:asciiTheme="minorHAnsi" w:hAnsiTheme="minorHAnsi" w:cstheme="minorHAnsi"/>
                <w:sz w:val="14"/>
                <w:szCs w:val="14"/>
              </w:rPr>
              <w:fldChar w:fldCharType="end"/>
            </w:r>
          </w:p>
        </w:tc>
      </w:tr>
      <w:tr w:rsidR="000962D0" w:rsidRPr="00DB327F" w:rsidTr="00F31D8E">
        <w:trPr>
          <w:gridBefore w:val="1"/>
          <w:wBefore w:w="13" w:type="dxa"/>
          <w:trHeight w:val="908"/>
        </w:trPr>
        <w:tc>
          <w:tcPr>
            <w:tcW w:w="2726" w:type="dxa"/>
            <w:gridSpan w:val="4"/>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DB327F" w:rsidRDefault="00C37C4D" w:rsidP="00C37C4D">
            <w:pPr>
              <w:rPr>
                <w:rFonts w:asciiTheme="minorHAnsi" w:hAnsiTheme="minorHAnsi" w:cstheme="minorHAnsi"/>
                <w:sz w:val="14"/>
                <w:szCs w:val="14"/>
                <w:lang w:val="en-US"/>
              </w:rPr>
            </w:pPr>
            <w:r w:rsidRPr="00DB327F">
              <w:rPr>
                <w:rFonts w:asciiTheme="minorHAnsi" w:hAnsiTheme="minorHAnsi" w:cstheme="minorHAnsi"/>
                <w:sz w:val="14"/>
                <w:szCs w:val="14"/>
                <w:lang w:val="en-US"/>
              </w:rPr>
              <w:t xml:space="preserve">*MCA-205 sarcoma </w:t>
            </w:r>
          </w:p>
          <w:p w:rsidR="00C37C4D" w:rsidRPr="00DB327F" w:rsidRDefault="00C37C4D" w:rsidP="00C37C4D">
            <w:pPr>
              <w:rPr>
                <w:rFonts w:asciiTheme="minorHAnsi" w:hAnsiTheme="minorHAnsi" w:cstheme="minorHAnsi"/>
                <w:sz w:val="14"/>
                <w:szCs w:val="14"/>
                <w:lang w:val="en-US"/>
              </w:rPr>
            </w:pPr>
            <w:r w:rsidRPr="00DB327F">
              <w:rPr>
                <w:rFonts w:asciiTheme="minorHAnsi" w:hAnsiTheme="minorHAnsi" w:cstheme="minorHAnsi"/>
                <w:sz w:val="14"/>
                <w:szCs w:val="14"/>
                <w:lang w:val="en-US"/>
              </w:rPr>
              <w:t>*MC38 colon cancer</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*HPV16 TC1 lung cancer </w:t>
            </w:r>
          </w:p>
        </w:tc>
        <w:tc>
          <w:tcPr>
            <w:tcW w:w="14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DB327F" w:rsidRDefault="00C37C4D" w:rsidP="00C37C4D">
            <w:pPr>
              <w:rPr>
                <w:rFonts w:asciiTheme="minorHAnsi" w:hAnsiTheme="minorHAnsi" w:cstheme="minorHAnsi"/>
                <w:sz w:val="14"/>
                <w:szCs w:val="14"/>
                <w:lang w:val="en-US"/>
              </w:rPr>
            </w:pPr>
            <w:r w:rsidRPr="00DB327F">
              <w:rPr>
                <w:rFonts w:asciiTheme="minorHAnsi" w:hAnsiTheme="minorHAnsi" w:cstheme="minorHAnsi"/>
                <w:sz w:val="14"/>
                <w:szCs w:val="14"/>
                <w:lang w:val="en-US"/>
              </w:rPr>
              <w:t>ATB or SPF</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DB327F" w:rsidRDefault="00C37C4D" w:rsidP="00C37C4D">
            <w:pPr>
              <w:rPr>
                <w:rFonts w:asciiTheme="minorHAnsi" w:hAnsiTheme="minorHAnsi" w:cstheme="minorHAnsi"/>
                <w:sz w:val="14"/>
                <w:szCs w:val="14"/>
                <w:lang w:val="en-US"/>
              </w:rPr>
            </w:pPr>
            <w:r w:rsidRPr="00DB327F">
              <w:rPr>
                <w:rFonts w:asciiTheme="minorHAnsi" w:hAnsiTheme="minorHAnsi" w:cstheme="minorHAnsi"/>
                <w:sz w:val="14"/>
                <w:szCs w:val="14"/>
                <w:lang w:val="en-US"/>
              </w:rPr>
              <w:t>CTX</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DB327F" w:rsidRDefault="00C37C4D" w:rsidP="00C37C4D">
            <w:pPr>
              <w:rPr>
                <w:rFonts w:asciiTheme="minorHAnsi" w:hAnsiTheme="minorHAnsi" w:cstheme="minorHAnsi"/>
                <w:sz w:val="14"/>
                <w:szCs w:val="14"/>
                <w:lang w:val="en-US"/>
              </w:rPr>
            </w:pPr>
            <w:r w:rsidRPr="00DB327F">
              <w:rPr>
                <w:rFonts w:asciiTheme="minorHAnsi" w:hAnsiTheme="minorHAnsi" w:cstheme="minorHAnsi"/>
                <w:i/>
                <w:sz w:val="14"/>
                <w:szCs w:val="14"/>
                <w:lang w:val="en-US"/>
              </w:rPr>
              <w:t xml:space="preserve">Enterococcus </w:t>
            </w:r>
            <w:proofErr w:type="spellStart"/>
            <w:r w:rsidRPr="00DB327F">
              <w:rPr>
                <w:rFonts w:asciiTheme="minorHAnsi" w:hAnsiTheme="minorHAnsi" w:cstheme="minorHAnsi"/>
                <w:i/>
                <w:sz w:val="14"/>
                <w:szCs w:val="14"/>
                <w:lang w:val="en-US"/>
              </w:rPr>
              <w:t>hirae</w:t>
            </w:r>
            <w:proofErr w:type="spellEnd"/>
            <w:r w:rsidRPr="00DB327F">
              <w:rPr>
                <w:rFonts w:asciiTheme="minorHAnsi" w:hAnsiTheme="minorHAnsi" w:cstheme="minorHAnsi"/>
                <w:sz w:val="14"/>
                <w:szCs w:val="14"/>
                <w:lang w:val="en-US"/>
              </w:rPr>
              <w:t xml:space="preserve"> or </w:t>
            </w:r>
            <w:proofErr w:type="spellStart"/>
            <w:r w:rsidRPr="00DB327F">
              <w:rPr>
                <w:rFonts w:asciiTheme="minorHAnsi" w:hAnsiTheme="minorHAnsi" w:cstheme="minorHAnsi"/>
                <w:i/>
                <w:sz w:val="14"/>
                <w:szCs w:val="14"/>
                <w:lang w:val="en-US"/>
              </w:rPr>
              <w:t>Barnesiella</w:t>
            </w:r>
            <w:proofErr w:type="spellEnd"/>
            <w:r w:rsidRPr="00DB327F">
              <w:rPr>
                <w:rFonts w:asciiTheme="minorHAnsi" w:hAnsiTheme="minorHAnsi" w:cstheme="minorHAnsi"/>
                <w:i/>
                <w:sz w:val="14"/>
                <w:szCs w:val="14"/>
                <w:lang w:val="en-US"/>
              </w:rPr>
              <w:t xml:space="preserve"> </w:t>
            </w:r>
            <w:proofErr w:type="spellStart"/>
            <w:r w:rsidRPr="00DB327F">
              <w:rPr>
                <w:rFonts w:asciiTheme="minorHAnsi" w:hAnsiTheme="minorHAnsi" w:cstheme="minorHAnsi"/>
                <w:i/>
                <w:sz w:val="14"/>
                <w:szCs w:val="14"/>
                <w:lang w:val="en-US"/>
              </w:rPr>
              <w:t>intestinihominis</w:t>
            </w:r>
            <w:proofErr w:type="spellEnd"/>
            <w:r w:rsidRPr="00DB327F">
              <w:rPr>
                <w:rFonts w:asciiTheme="minorHAnsi" w:hAnsiTheme="minorHAnsi" w:cstheme="minorHAnsi"/>
                <w:sz w:val="14"/>
                <w:szCs w:val="14"/>
                <w:lang w:val="en-U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gavage the day after CTX administration or vaccination </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 xml:space="preserve">B. </w:t>
            </w:r>
            <w:proofErr w:type="spellStart"/>
            <w:r w:rsidRPr="00585823">
              <w:rPr>
                <w:rFonts w:asciiTheme="minorHAnsi" w:hAnsiTheme="minorHAnsi" w:cstheme="minorHAnsi"/>
                <w:i/>
                <w:sz w:val="14"/>
                <w:szCs w:val="14"/>
                <w:lang w:val="en-US"/>
              </w:rPr>
              <w:t>intestinihominis</w:t>
            </w:r>
            <w:proofErr w:type="spellEnd"/>
            <w:r w:rsidRPr="00585823">
              <w:rPr>
                <w:rFonts w:asciiTheme="minorHAnsi" w:hAnsiTheme="minorHAnsi" w:cstheme="minorHAnsi"/>
                <w:sz w:val="14"/>
                <w:szCs w:val="14"/>
                <w:lang w:val="en-US"/>
              </w:rPr>
              <w:t xml:space="preserve"> restores efficacy of a cancer vaccine</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 xml:space="preserve">E.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restores efficacy of CTX in ATB treated mice </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i/>
                <w:sz w:val="14"/>
                <w:szCs w:val="14"/>
                <w:lang w:val="en-US"/>
              </w:rPr>
              <w:t xml:space="preserve">*E.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increased </w:t>
            </w:r>
            <w:proofErr w:type="spellStart"/>
            <w:r w:rsidRPr="00585823">
              <w:rPr>
                <w:rFonts w:asciiTheme="minorHAnsi" w:hAnsiTheme="minorHAnsi" w:cstheme="minorHAnsi"/>
                <w:sz w:val="14"/>
                <w:szCs w:val="14"/>
                <w:lang w:val="en-US"/>
              </w:rPr>
              <w:t>intratumoral</w:t>
            </w:r>
            <w:proofErr w:type="spellEnd"/>
            <w:r w:rsidRPr="00585823">
              <w:rPr>
                <w:rFonts w:asciiTheme="minorHAnsi" w:hAnsiTheme="minorHAnsi" w:cstheme="minorHAnsi"/>
                <w:sz w:val="14"/>
                <w:szCs w:val="14"/>
                <w:lang w:val="en-US"/>
              </w:rPr>
              <w:t xml:space="preserve"> CD8/</w:t>
            </w:r>
            <w:proofErr w:type="spellStart"/>
            <w:r w:rsidRPr="00585823">
              <w:rPr>
                <w:rFonts w:asciiTheme="minorHAnsi" w:hAnsiTheme="minorHAnsi" w:cstheme="minorHAnsi"/>
                <w:sz w:val="14"/>
                <w:szCs w:val="14"/>
                <w:lang w:val="en-US"/>
              </w:rPr>
              <w:t>Treg</w:t>
            </w:r>
            <w:proofErr w:type="spellEnd"/>
            <w:r w:rsidRPr="00585823">
              <w:rPr>
                <w:rFonts w:asciiTheme="minorHAnsi" w:hAnsiTheme="minorHAnsi" w:cstheme="minorHAnsi"/>
                <w:sz w:val="14"/>
                <w:szCs w:val="14"/>
                <w:lang w:val="en-US"/>
              </w:rPr>
              <w:t xml:space="preserve"> ratio.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*B. </w:t>
            </w:r>
            <w:proofErr w:type="spellStart"/>
            <w:r w:rsidRPr="00585823">
              <w:rPr>
                <w:rFonts w:asciiTheme="minorHAnsi" w:hAnsiTheme="minorHAnsi" w:cstheme="minorHAnsi"/>
                <w:sz w:val="14"/>
                <w:szCs w:val="14"/>
                <w:lang w:val="en-US"/>
              </w:rPr>
              <w:t>intestinihominis</w:t>
            </w:r>
            <w:proofErr w:type="spellEnd"/>
            <w:r w:rsidRPr="00585823">
              <w:rPr>
                <w:rFonts w:asciiTheme="minorHAnsi" w:hAnsiTheme="minorHAnsi" w:cstheme="minorHAnsi"/>
                <w:sz w:val="14"/>
                <w:szCs w:val="14"/>
                <w:lang w:val="en-US"/>
              </w:rPr>
              <w:t xml:space="preserve"> </w:t>
            </w:r>
            <w:r w:rsidR="00F31D8E" w:rsidRPr="00585823">
              <w:rPr>
                <w:rFonts w:asciiTheme="minorHAnsi" w:hAnsiTheme="minorHAnsi" w:cstheme="minorHAnsi"/>
                <w:sz w:val="14"/>
                <w:szCs w:val="14"/>
                <w:lang w:val="en-US"/>
              </w:rPr>
              <w:t>stimulated IFN</w:t>
            </w:r>
            <w:r w:rsidRPr="00DB327F">
              <w:rPr>
                <w:rFonts w:ascii="Cambria Math" w:hAnsi="Cambria Math" w:cs="Cambria Math"/>
                <w:b/>
                <w:bCs/>
                <w:sz w:val="14"/>
                <w:szCs w:val="14"/>
              </w:rPr>
              <w:t>𝛄</w:t>
            </w:r>
            <w:r w:rsidRPr="00585823">
              <w:rPr>
                <w:rFonts w:asciiTheme="minorHAnsi" w:hAnsiTheme="minorHAnsi" w:cstheme="minorHAnsi"/>
                <w:sz w:val="14"/>
                <w:szCs w:val="14"/>
                <w:lang w:val="en-US"/>
              </w:rPr>
              <w:t xml:space="preserve"> producing </w:t>
            </w:r>
            <w:r w:rsidRPr="00585823">
              <w:rPr>
                <w:rFonts w:ascii="Cambria Math" w:hAnsi="Cambria Math" w:cs="Cambria Math"/>
                <w:sz w:val="14"/>
                <w:szCs w:val="14"/>
              </w:rPr>
              <w:t>𝛄𝝳</w:t>
            </w:r>
            <w:r w:rsidRPr="00585823">
              <w:rPr>
                <w:rFonts w:asciiTheme="minorHAnsi" w:hAnsiTheme="minorHAnsi" w:cstheme="minorHAnsi"/>
                <w:sz w:val="14"/>
                <w:szCs w:val="14"/>
                <w:lang w:val="en-US"/>
              </w:rPr>
              <w:t xml:space="preserve"> </w:t>
            </w:r>
            <w:proofErr w:type="spellStart"/>
            <w:r w:rsidRPr="00585823">
              <w:rPr>
                <w:rFonts w:asciiTheme="minorHAnsi" w:hAnsiTheme="minorHAnsi" w:cstheme="minorHAnsi"/>
                <w:sz w:val="14"/>
                <w:szCs w:val="14"/>
                <w:lang w:val="en-US"/>
              </w:rPr>
              <w:t>Tcells</w:t>
            </w:r>
            <w:proofErr w:type="spellEnd"/>
            <w:r w:rsidRPr="00585823">
              <w:rPr>
                <w:rFonts w:asciiTheme="minorHAnsi" w:hAnsiTheme="minorHAnsi" w:cstheme="minorHAnsi"/>
                <w:sz w:val="14"/>
                <w:szCs w:val="14"/>
                <w:lang w:val="en-US"/>
              </w:rPr>
              <w:t xml:space="preserve"> in the TME. </w:t>
            </w:r>
            <w:r w:rsidRPr="00585823">
              <w:rPr>
                <w:rFonts w:asciiTheme="minorHAnsi" w:hAnsiTheme="minorHAnsi" w:cstheme="minorHAnsi"/>
                <w:sz w:val="14"/>
                <w:szCs w:val="14"/>
                <w:lang w:val="en-US"/>
              </w:rPr>
              <w:br/>
              <w:t>*Both commensals mounted</w:t>
            </w:r>
            <w:r w:rsidR="00E6436A">
              <w:rPr>
                <w:rFonts w:asciiTheme="minorHAnsi" w:hAnsiTheme="minorHAnsi" w:cstheme="minorHAnsi"/>
                <w:sz w:val="14"/>
                <w:szCs w:val="14"/>
                <w:lang w:val="en-US"/>
              </w:rPr>
              <w:t xml:space="preserve"> </w:t>
            </w:r>
            <w:r w:rsidRPr="00585823">
              <w:rPr>
                <w:rFonts w:asciiTheme="minorHAnsi" w:hAnsiTheme="minorHAnsi" w:cstheme="minorHAnsi"/>
                <w:sz w:val="14"/>
                <w:szCs w:val="14"/>
                <w:lang w:val="en-US"/>
              </w:rPr>
              <w:t>effector and memory CD4+TH1, CD8+ Tc1 lymphocytes</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244861" w:rsidRDefault="00244861" w:rsidP="00C37C4D">
            <w:pPr>
              <w:rPr>
                <w:rFonts w:asciiTheme="minorHAnsi" w:hAnsiTheme="minorHAnsi" w:cstheme="minorHAnsi"/>
                <w:sz w:val="14"/>
                <w:szCs w:val="14"/>
                <w:lang w:val="en-US"/>
              </w:rPr>
            </w:pPr>
            <w:r>
              <w:rPr>
                <w:rFonts w:asciiTheme="minorHAnsi" w:hAnsiTheme="minorHAnsi" w:cstheme="minorHAnsi"/>
                <w:sz w:val="14"/>
                <w:szCs w:val="14"/>
              </w:rPr>
              <w:fldChar w:fldCharType="begin"/>
            </w:r>
            <w:r w:rsidRPr="00DB327F">
              <w:rPr>
                <w:rFonts w:asciiTheme="minorHAnsi" w:hAnsiTheme="minorHAnsi" w:cstheme="minorHAnsi"/>
                <w:sz w:val="14"/>
                <w:szCs w:val="14"/>
                <w:lang w:val="en-US"/>
              </w:rPr>
              <w:instrText xml:space="preserve"> ADDIN ZOTERO_ITEM CSL_CITATION {"citationID":"YtbkpYSr","properties":{"formattedCitation":"(Daill\\uc0\\u232{}re et al. 2016)","plainCitation":"(Daillère et al. 2016)","noteIndex":0},"citationItems":[{"id":440,"uris":["http://zotero.org/users/2801898/items/V3XFFCRS"],"uri":["http://zotero.org/users/2801898/items/V3XFFCRS"],"itemData":{"id":440,"type":"article-journal","abstract":"The efficacy of the anti-cancer immunomodulatory agent cyclophosphamide (CTX) relies on intestinal bacteria. How and which relevant bacterial species are involved in tumor immunosurveillance, and their mechanism of action are unclear. Here, we identified two bacterial species, Enterococcus hirae and Barnesiella intestinihominis that are involved during CTX therapy. Whereas E. hirae translocated from the small intestine to secondary lymphoid organs and increased the intratumoral CD8/Treg ratio, B. intestinihominis accumulated in the colon and promoted the infiltration of IFN-</w:instrText>
            </w:r>
            <w:r>
              <w:rPr>
                <w:rFonts w:asciiTheme="minorHAnsi" w:hAnsiTheme="minorHAnsi" w:cstheme="minorHAnsi"/>
                <w:sz w:val="14"/>
                <w:szCs w:val="14"/>
              </w:rPr>
              <w:instrText>γ</w:instrText>
            </w:r>
            <w:r w:rsidRPr="00DB327F">
              <w:rPr>
                <w:rFonts w:asciiTheme="minorHAnsi" w:hAnsiTheme="minorHAnsi" w:cstheme="minorHAnsi"/>
                <w:sz w:val="14"/>
                <w:szCs w:val="14"/>
                <w:lang w:val="en-US"/>
              </w:rPr>
              <w:instrText>-producin</w:instrText>
            </w:r>
            <w:r>
              <w:rPr>
                <w:rFonts w:asciiTheme="minorHAnsi" w:hAnsiTheme="minorHAnsi" w:cstheme="minorHAnsi"/>
                <w:sz w:val="14"/>
                <w:szCs w:val="14"/>
              </w:rPr>
              <w:instrText>g γδT cells in cancer lesions. The immune sensor, NOD2, limited CTX-induced cancer immunosurveillance and the bioactivity of these microbes. Finally, E. hirae and B. intestinihominis specific-memory Th1 cell immune responses selectively predicted longer progression-free survival in advanced lung and ovarian cancer patients treated with chemo-immunotherapy. Altogether, E. hirae and B. intestinihominis represent valuable \"oncomicrobiotics\" ameliorating the efficacy of the most common alkylating immunomodulatory compound.","container-title":"Immunity","DOI":"10.1016/j.immuni.2016.09.009","ISSN":"1097-4180","issue":"4","journalAbbreviation":"Immunity","language":"eng","note":"PMID: 27717798","page":"931-943","source":"PubMed","title":"Enterococcus hirae and Barnesiella intestinihominis Facilitate Cyclophosphamide-Induced Therapeutic Immunomodulatory Effects","volume":"45","author":[{"family":"Daillère","given":"Romain"},{"family":"Vétizou","given":"Marie"},{"fa</w:instrText>
            </w:r>
            <w:r w:rsidRPr="00244861">
              <w:rPr>
                <w:rFonts w:asciiTheme="minorHAnsi" w:hAnsiTheme="minorHAnsi" w:cstheme="minorHAnsi"/>
                <w:sz w:val="14"/>
                <w:szCs w:val="14"/>
                <w:lang w:val="en-US"/>
              </w:rPr>
              <w:instrText xml:space="preserve">mily":"Waldschmitt","given":"Nadine"},{"family":"Yamazaki","given":"Takahiro"},{"family":"Isnard","given":"Christophe"},{"family":"Poirier-Colame","given":"Vichnou"},{"family":"Duong","given":"Connie P. M."},{"family":"Flament","given":"Caroline"},{"family":"Lepage","given":"Patricia"},{"family":"Roberti","given":"Maria Paula"},{"family":"Routy","given":"Bertrand"},{"family":"Jacquelot","given":"Nicolas"},{"family":"Apetoh","given":"Lionel"},{"family":"Becharef","given":"Sonia"},{"family":"Rusakiewicz","given":"Sylvie"},{"family":"Langella","given":"Philippe"},{"family":"Sokol","given":"Harry"},{"family":"Kroemer","given":"Guido"},{"family":"Enot","given":"David"},{"family":"Roux","given":"Antoine"},{"family":"Eggermont","given":"Alexander"},{"family":"Tartour","given":"Eric"},{"family":"Johannes","given":"Ludger"},{"family":"Woerther","given":"Paul-Louis"},{"family":"Chachaty","given":"Elisabeth"},{"family":"Soria","given":"Jean-Charles"},{"family":"Golden","given":"Encouse"},{"family":"Formenti","given":"Silvia"},{"family":"Plebanski","given":"Magdalena"},{"family":"Madondo","given":"Mutsa"},{"family":"Rosenstiel","given":"Philip"},{"family":"Raoult","given":"Didier"},{"family":"Cattoir","given":"Vincent"},{"family":"Boneca","given":"Ivo Gomperts"},{"family":"Chamaillard","given":"Mathias"},{"family":"Zitvogel","given":"Laurence"}],"issued":{"date-parts":[["2016"]],"season":"18"}}}],"schema":"https://github.com/citation-style-language/schema/raw/master/csl-citation.json"} </w:instrText>
            </w:r>
            <w:r>
              <w:rPr>
                <w:rFonts w:asciiTheme="minorHAnsi" w:hAnsiTheme="minorHAnsi" w:cstheme="minorHAnsi"/>
                <w:sz w:val="14"/>
                <w:szCs w:val="14"/>
              </w:rPr>
              <w:fldChar w:fldCharType="separate"/>
            </w:r>
            <w:r w:rsidRPr="00244861">
              <w:rPr>
                <w:rFonts w:ascii="Calibri" w:hAnsiTheme="minorHAnsi" w:cs="Calibri"/>
                <w:sz w:val="14"/>
                <w:lang w:val="en-US"/>
              </w:rPr>
              <w:t>(Daillère et al. 2016)</w:t>
            </w:r>
            <w:r>
              <w:rPr>
                <w:rFonts w:asciiTheme="minorHAnsi" w:hAnsiTheme="minorHAnsi" w:cstheme="minorHAnsi"/>
                <w:sz w:val="14"/>
                <w:szCs w:val="14"/>
              </w:rPr>
              <w:fldChar w:fldCharType="end"/>
            </w:r>
          </w:p>
        </w:tc>
      </w:tr>
      <w:tr w:rsidR="00585823" w:rsidRPr="00DB327F" w:rsidTr="00F31D8E">
        <w:trPr>
          <w:gridBefore w:val="1"/>
          <w:wBefore w:w="13" w:type="dxa"/>
          <w:trHeight w:val="1083"/>
        </w:trPr>
        <w:tc>
          <w:tcPr>
            <w:tcW w:w="2726" w:type="dxa"/>
            <w:gridSpan w:val="4"/>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lastRenderedPageBreak/>
              <w:t>*MCA205 sarcoma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*TC1 lung cancer</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ATB</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CTX or anti-PD</w:t>
            </w:r>
            <w:r w:rsidR="008D4E0E">
              <w:rPr>
                <w:rFonts w:asciiTheme="minorHAnsi" w:hAnsiTheme="minorHAnsi" w:cstheme="minorHAnsi"/>
                <w:sz w:val="14"/>
                <w:szCs w:val="14"/>
                <w:lang w:val="en-US"/>
              </w:rPr>
              <w:t>-</w:t>
            </w:r>
            <w:r w:rsidRPr="00585823">
              <w:rPr>
                <w:rFonts w:asciiTheme="minorHAnsi" w:hAnsiTheme="minorHAnsi" w:cstheme="minorHAnsi"/>
                <w:sz w:val="14"/>
                <w:szCs w:val="14"/>
                <w:lang w:val="en-US"/>
              </w:rPr>
              <w:t>1 Abs</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Various strains of </w:t>
            </w:r>
            <w:r w:rsidRPr="00585823">
              <w:rPr>
                <w:rFonts w:asciiTheme="minorHAnsi" w:hAnsiTheme="minorHAnsi" w:cstheme="minorHAnsi"/>
                <w:i/>
                <w:sz w:val="14"/>
                <w:szCs w:val="14"/>
                <w:lang w:val="en-US"/>
              </w:rPr>
              <w:t xml:space="preserve">E.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containing or not a </w:t>
            </w:r>
            <w:proofErr w:type="spellStart"/>
            <w:r w:rsidRPr="00585823">
              <w:rPr>
                <w:rFonts w:asciiTheme="minorHAnsi" w:hAnsiTheme="minorHAnsi" w:cstheme="minorHAnsi"/>
                <w:sz w:val="14"/>
                <w:szCs w:val="14"/>
                <w:lang w:val="en-US"/>
              </w:rPr>
              <w:t>Siphoviridae</w:t>
            </w:r>
            <w:proofErr w:type="spellEnd"/>
            <w:r w:rsidRPr="00585823">
              <w:rPr>
                <w:rFonts w:asciiTheme="minorHAnsi" w:hAnsiTheme="minorHAnsi" w:cstheme="minorHAnsi"/>
                <w:sz w:val="14"/>
                <w:szCs w:val="14"/>
                <w:lang w:val="en-US"/>
              </w:rPr>
              <w:t xml:space="preserve"> phage sequence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w:t>
            </w:r>
            <w:r w:rsidRPr="00585823">
              <w:rPr>
                <w:rFonts w:asciiTheme="minorHAnsi" w:hAnsiTheme="minorHAnsi" w:cstheme="minorHAnsi"/>
                <w:i/>
                <w:sz w:val="14"/>
                <w:szCs w:val="14"/>
                <w:lang w:val="en-US"/>
              </w:rPr>
              <w:t xml:space="preserve">E.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spp. harboring various genetic sequences and CTX or </w:t>
            </w:r>
            <w:r w:rsidR="00DB327F">
              <w:rPr>
                <w:rFonts w:asciiTheme="minorHAnsi" w:hAnsiTheme="minorHAnsi" w:cstheme="minorHAnsi"/>
                <w:sz w:val="14"/>
                <w:szCs w:val="14"/>
                <w:lang w:val="en-US"/>
              </w:rPr>
              <w:t>anti</w:t>
            </w:r>
            <w:r w:rsidR="00F31D8E">
              <w:rPr>
                <w:rFonts w:asciiTheme="minorHAnsi" w:hAnsiTheme="minorHAnsi" w:cstheme="minorHAnsi"/>
                <w:sz w:val="14"/>
                <w:szCs w:val="14"/>
                <w:lang w:val="en-US"/>
              </w:rPr>
              <w:t>-</w:t>
            </w:r>
            <w:r w:rsidRPr="00585823">
              <w:rPr>
                <w:rFonts w:asciiTheme="minorHAnsi" w:hAnsiTheme="minorHAnsi" w:cstheme="minorHAnsi"/>
                <w:sz w:val="14"/>
                <w:szCs w:val="14"/>
                <w:lang w:val="en-US"/>
              </w:rPr>
              <w:t>PD</w:t>
            </w:r>
            <w:r w:rsidR="00F31D8E">
              <w:rPr>
                <w:rFonts w:asciiTheme="minorHAnsi" w:hAnsiTheme="minorHAnsi" w:cstheme="minorHAnsi"/>
                <w:sz w:val="14"/>
                <w:szCs w:val="14"/>
                <w:lang w:val="en-US"/>
              </w:rPr>
              <w:t>-</w:t>
            </w:r>
            <w:r w:rsidRPr="00585823">
              <w:rPr>
                <w:rFonts w:asciiTheme="minorHAnsi" w:hAnsiTheme="minorHAnsi" w:cstheme="minorHAnsi"/>
                <w:sz w:val="14"/>
                <w:szCs w:val="14"/>
                <w:lang w:val="en-US"/>
              </w:rPr>
              <w:t xml:space="preserve">1 </w:t>
            </w:r>
            <w:proofErr w:type="spellStart"/>
            <w:r w:rsidRPr="00585823">
              <w:rPr>
                <w:rFonts w:asciiTheme="minorHAnsi" w:hAnsiTheme="minorHAnsi" w:cstheme="minorHAnsi"/>
                <w:sz w:val="14"/>
                <w:szCs w:val="14"/>
                <w:lang w:val="en-US"/>
              </w:rPr>
              <w:t>mAbs</w:t>
            </w:r>
            <w:proofErr w:type="spellEnd"/>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 H-2K</w:t>
            </w:r>
            <w:r w:rsidRPr="00585823">
              <w:rPr>
                <w:rFonts w:asciiTheme="minorHAnsi" w:hAnsiTheme="minorHAnsi" w:cstheme="minorHAnsi"/>
                <w:sz w:val="14"/>
                <w:szCs w:val="14"/>
                <w:vertAlign w:val="superscript"/>
                <w:lang w:val="en-US"/>
              </w:rPr>
              <w:t>b</w:t>
            </w:r>
            <w:r w:rsidRPr="00585823">
              <w:rPr>
                <w:rFonts w:asciiTheme="minorHAnsi" w:hAnsiTheme="minorHAnsi" w:cstheme="minorHAnsi"/>
                <w:sz w:val="14"/>
                <w:szCs w:val="14"/>
                <w:lang w:val="en-US"/>
              </w:rPr>
              <w:t>-restricted CTL responses in spleen and tumor beds</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Molecular mimicry between </w:t>
            </w:r>
            <w:r w:rsidRPr="00585823">
              <w:rPr>
                <w:rFonts w:asciiTheme="minorHAnsi" w:hAnsiTheme="minorHAnsi" w:cstheme="minorHAnsi"/>
                <w:i/>
                <w:sz w:val="14"/>
                <w:szCs w:val="14"/>
                <w:lang w:val="en-US"/>
              </w:rPr>
              <w:t xml:space="preserve">E. </w:t>
            </w:r>
            <w:proofErr w:type="spellStart"/>
            <w:r w:rsidRPr="00585823">
              <w:rPr>
                <w:rFonts w:asciiTheme="minorHAnsi" w:hAnsiTheme="minorHAnsi" w:cstheme="minorHAnsi"/>
                <w:i/>
                <w:sz w:val="14"/>
                <w:szCs w:val="14"/>
                <w:lang w:val="en-US"/>
              </w:rPr>
              <w:t>hirae</w:t>
            </w:r>
            <w:proofErr w:type="spellEnd"/>
            <w:r w:rsidRPr="00585823">
              <w:rPr>
                <w:rFonts w:asciiTheme="minorHAnsi" w:hAnsiTheme="minorHAnsi" w:cstheme="minorHAnsi"/>
                <w:sz w:val="14"/>
                <w:szCs w:val="14"/>
                <w:lang w:val="en-US"/>
              </w:rPr>
              <w:t xml:space="preserve"> TMP1 antigen and PSMB4 oncogenic driver</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585823" w:rsidRDefault="00244861" w:rsidP="00C37C4D">
            <w:pPr>
              <w:rPr>
                <w:rFonts w:asciiTheme="minorHAnsi" w:hAnsiTheme="minorHAnsi" w:cstheme="minorHAnsi"/>
                <w:sz w:val="14"/>
                <w:szCs w:val="14"/>
                <w:lang w:val="it-IT"/>
              </w:rPr>
            </w:pPr>
            <w:r>
              <w:rPr>
                <w:rFonts w:asciiTheme="minorHAnsi" w:hAnsiTheme="minorHAnsi" w:cstheme="minorHAnsi"/>
                <w:sz w:val="14"/>
                <w:szCs w:val="14"/>
                <w:lang w:val="it-IT"/>
              </w:rPr>
              <w:fldChar w:fldCharType="begin"/>
            </w:r>
            <w:r>
              <w:rPr>
                <w:rFonts w:asciiTheme="minorHAnsi" w:hAnsiTheme="minorHAnsi" w:cstheme="minorHAnsi"/>
                <w:sz w:val="14"/>
                <w:szCs w:val="14"/>
                <w:lang w:val="it-IT"/>
              </w:rPr>
              <w:instrText xml:space="preserve"> ADDIN ZOTERO_ITEM CSL_CITATION {"citationID":"qzjvSm4c","properties":{"formattedCitation":"(Fluckiger et al. 2020)","plainCitation":"(Fluckiger et al. 2020)","noteIndex":0},"citationItems":[{"id":3117,"uris":["http://zotero.org/users/2801898/items/GPEWFBXN"],"uri":["http://zotero.org/users/2801898/items/GPEWFBXN"],"itemData":{"id":3117,"type":"article-journal","abstract":"Intestinal microbiota have been proposed to induce commensal-specific memory T cells that cross-react with tumor-associated antigens. We identified major histocompatibility complex (MHC) class I-binding epitopes in the tail length tape measure protein (TMP) of a prophage found in the genome of the bacteriophage Enterococcus hirae Mice bearing E. hirae harboring this prophage mounted a TMP-specific H-2Kb-restricted CD8+ T lymphocyte response upon immunotherapy with cyclophosphamide or anti-PD-1 antibodies. Administration of bacterial strains engineered to express the TMP epitope improved immunotherapy in mice. In renal and lung cancer patients, the presence of the enterococcal prophage in stools and expression of a TMP-cross-reactive antigen by tumors correlated with long-term benefit of PD-1 blockade therapy. In melanoma patients, T cell clones recognizing naturally processed cancer antigens that are cross-reactive with microbial peptides were detected.","container-title":"Science (New York, N.Y.)","DOI":"10.1126/science.aax0701","ISSN":"1095-9203","issue":"6506","journalAbbreviation":"Science","language":"eng","note":"PMID: 32820119","page":"936-942","source":"PubMed","title":"Cross-reactivity between tumor MHC class I-restricted antigens and an enterococcal bacteriophage","volume":"369","author":[{"family":"Fluckiger","given":"Aurélie"},{"family":"Daillère","given":"Romain"},{"family":"Sassi","given":"Mohamed"},{"family":"Sixt","given":"Barbara Susanne"},{"family":"Liu","given":"Peng"},{"family":"Loos","given":"Friedemann"},{"family":"Richard","given":"Corentin"},{"family":"Rabu","given":"Catherine"},{"family":"Alou","given":"Maryam Tidjani"},{"family":"Goubet","given":"Anne-Gaëlle"},{"family":"Lemaitre","given":"Fabien"},{"family":"Ferrere","given":"Gladys"},{"family":"Derosa","given":"Lisa"},{"family":"Duong","given":"Connie P. M."},{"family":"Messaoudene","given":"Meriem"},{"family":"Gagné","given":"Andréanne"},{"family":"Joubert","given":"Philippe"},{"family":"De Sordi","given":"Luisa"},{"family":"Debarbieux","given":"Laurent"},{"family":"Simon","given":"Sylvain"},{"family":"Scarlata","given":"Clara-Maria"},{"family":"Ayyoub","given":"Maha"},{"family":"Palermo","given":"Belinda"},{"family":"Facciolo","given":"Francesco"},{"family":"Boidot","given":"Romain"},{"family":"Wheeler","given":"Richard"},{"family":"Boneca","given":"Ivo Gomperts"},{"family":"Sztupinszki","given":"Zsofia"},{"family":"Papp","given":"Krisztian"},{"family":"Csabai","given":"Istvan"},{"family":"Pasolli","given":"Edoardo"},{"family":"Segata","given":"Nicola"},{"family":"Lopez-Otin","given":"Carlos"},{"family":"Szallasi","given":"Zoltan"},{"family":"Andre","given":"Fabrice"},{"family":"Iebba","given":"Valerio"},{"family":"Quiniou","given":"Valentin"},{"family":"Klatzmann","given":"David"},{"family":"Boukhalil","given":"Jacques"},{"family":"Khelaifia","given":"Saber"},{"family":"Raoult","given":"Didier"},{"family":"Albiges","given":"Laurence"},{"family":"Escudier","given":"Bernard"},{"family":"Eggermont","given":"Alexander"},{"family":"Mami-Chouaib","given":"Fathia"},{"family":"Nistico","given":"Paola"},{"family":"Ghiringhelli","given":"François"},{"family":"Routy","given":"Bertrand"},{"family":"Labarrière","given":"Nathalie"},{"family":"Cattoir","given":"Vincent"},{"family":"Kroemer","given":"Guido"},{"family":"Zitvogel","given":"Laurence"}],"issued":{"date-parts":[["2020",8,21]]}}}],"schema":"https://github.com/citation-style-language/schema/raw/master/csl-citation.json"} </w:instrText>
            </w:r>
            <w:r>
              <w:rPr>
                <w:rFonts w:asciiTheme="minorHAnsi" w:hAnsiTheme="minorHAnsi" w:cstheme="minorHAnsi"/>
                <w:sz w:val="14"/>
                <w:szCs w:val="14"/>
                <w:lang w:val="it-IT"/>
              </w:rPr>
              <w:fldChar w:fldCharType="separate"/>
            </w:r>
            <w:r>
              <w:rPr>
                <w:rFonts w:asciiTheme="minorHAnsi" w:hAnsiTheme="minorHAnsi" w:cstheme="minorHAnsi"/>
                <w:sz w:val="14"/>
                <w:szCs w:val="14"/>
                <w:lang w:val="it-IT"/>
              </w:rPr>
              <w:t>(Fluckiger et al. 2020)</w:t>
            </w:r>
            <w:r>
              <w:rPr>
                <w:rFonts w:asciiTheme="minorHAnsi" w:hAnsiTheme="minorHAnsi" w:cstheme="minorHAnsi"/>
                <w:sz w:val="14"/>
                <w:szCs w:val="14"/>
                <w:lang w:val="it-IT"/>
              </w:rPr>
              <w:fldChar w:fldCharType="end"/>
            </w:r>
          </w:p>
        </w:tc>
      </w:tr>
      <w:tr w:rsidR="000962D0" w:rsidRPr="00244861" w:rsidTr="00F31D8E">
        <w:trPr>
          <w:gridBefore w:val="1"/>
          <w:wBefore w:w="13" w:type="dxa"/>
          <w:trHeight w:val="1083"/>
        </w:trPr>
        <w:tc>
          <w:tcPr>
            <w:tcW w:w="2726" w:type="dxa"/>
            <w:gridSpan w:val="4"/>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*YUMM1.5 melanoma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*NRASQ61Kmouse melanoma cells</w:t>
            </w:r>
          </w:p>
          <w:p w:rsidR="00C37C4D" w:rsidRPr="00585823" w:rsidRDefault="00C37C4D" w:rsidP="00C37C4D">
            <w:pPr>
              <w:rPr>
                <w:rFonts w:asciiTheme="minorHAnsi" w:hAnsiTheme="minorHAnsi" w:cstheme="minorHAnsi"/>
                <w:sz w:val="14"/>
                <w:szCs w:val="14"/>
                <w:lang w:val="en-US"/>
              </w:rPr>
            </w:pPr>
          </w:p>
        </w:tc>
        <w:tc>
          <w:tcPr>
            <w:tcW w:w="14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Prebiotics in SPF mice</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Mucine</w:t>
            </w:r>
            <w:proofErr w:type="spellEnd"/>
            <w:r w:rsidRPr="00585823">
              <w:rPr>
                <w:rFonts w:asciiTheme="minorHAnsi" w:hAnsiTheme="minorHAnsi" w:cstheme="minorHAnsi"/>
                <w:sz w:val="14"/>
                <w:szCs w:val="14"/>
                <w:lang w:val="en-US"/>
              </w:rPr>
              <w:t xml:space="preserve"> or Inulin</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None</w:t>
            </w:r>
          </w:p>
        </w:tc>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Oral gavage of prebiotics in conjunction with MEK or BRAF inhibitors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(mucin (3% in drinking water) or inulin (15% w/w in chow) starting 2 weeks before </w:t>
            </w:r>
            <w:proofErr w:type="spellStart"/>
            <w:r w:rsidRPr="00585823">
              <w:rPr>
                <w:rFonts w:asciiTheme="minorHAnsi" w:hAnsiTheme="minorHAnsi" w:cstheme="minorHAnsi"/>
                <w:sz w:val="14"/>
                <w:szCs w:val="14"/>
                <w:lang w:val="en-US"/>
              </w:rPr>
              <w:t>sc</w:t>
            </w:r>
            <w:proofErr w:type="spellEnd"/>
            <w:r w:rsidRPr="00585823">
              <w:rPr>
                <w:rFonts w:asciiTheme="minorHAnsi" w:hAnsiTheme="minorHAnsi" w:cstheme="minorHAnsi"/>
                <w:sz w:val="14"/>
                <w:szCs w:val="14"/>
                <w:lang w:val="en-US"/>
              </w:rPr>
              <w:t xml:space="preserve"> inoculation of melanoma tumor cells </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Changes of the microbiota composition with prebiotics (mucin and </w:t>
            </w:r>
            <w:proofErr w:type="spellStart"/>
            <w:r w:rsidRPr="00585823">
              <w:rPr>
                <w:rFonts w:asciiTheme="minorHAnsi" w:hAnsiTheme="minorHAnsi" w:cstheme="minorHAnsi"/>
                <w:sz w:val="14"/>
                <w:szCs w:val="14"/>
                <w:lang w:val="en-US"/>
              </w:rPr>
              <w:t>Akk</w:t>
            </w:r>
            <w:proofErr w:type="spellEnd"/>
            <w:r w:rsidRPr="00585823">
              <w:rPr>
                <w:rFonts w:asciiTheme="minorHAnsi" w:hAnsiTheme="minorHAnsi" w:cstheme="minorHAnsi"/>
                <w:sz w:val="14"/>
                <w:szCs w:val="14"/>
                <w:lang w:val="en-US"/>
              </w:rPr>
              <w:t xml:space="preserve">, inulin and </w:t>
            </w:r>
            <w:proofErr w:type="spellStart"/>
            <w:r w:rsidRPr="00585823">
              <w:rPr>
                <w:rFonts w:asciiTheme="minorHAnsi" w:hAnsiTheme="minorHAnsi" w:cstheme="minorHAnsi"/>
                <w:sz w:val="14"/>
                <w:szCs w:val="14"/>
                <w:lang w:val="en-US"/>
              </w:rPr>
              <w:t>Biifidobacteria</w:t>
            </w:r>
            <w:proofErr w:type="spellEnd"/>
            <w:r w:rsidRPr="00585823">
              <w:rPr>
                <w:rFonts w:asciiTheme="minorHAnsi" w:hAnsiTheme="minorHAnsi" w:cstheme="minorHAnsi"/>
                <w:sz w:val="14"/>
                <w:szCs w:val="14"/>
                <w:lang w:val="en-US"/>
              </w:rPr>
              <w:t>)</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Systemic Il-1a and Cxcl13 with mucin. TH1 cells and DC maturation with both prebiotics.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Inulin attenuated resistance of melanoma to MEK inhibitors</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tcPr>
          <w:p w:rsidR="00C37C4D" w:rsidRPr="00585823" w:rsidRDefault="00244861" w:rsidP="00C37C4D">
            <w:pPr>
              <w:rPr>
                <w:rStyle w:val="citation-part"/>
                <w:rFonts w:asciiTheme="minorHAnsi" w:hAnsiTheme="minorHAnsi" w:cstheme="minorHAnsi"/>
                <w:sz w:val="14"/>
                <w:szCs w:val="14"/>
                <w:lang w:val="en-US"/>
              </w:rPr>
            </w:pPr>
            <w:r>
              <w:rPr>
                <w:rStyle w:val="citation-part"/>
                <w:rFonts w:asciiTheme="minorHAnsi" w:hAnsiTheme="minorHAnsi" w:cstheme="minorHAnsi"/>
                <w:sz w:val="14"/>
                <w:szCs w:val="14"/>
                <w:lang w:val="en-US"/>
              </w:rPr>
              <w:fldChar w:fldCharType="begin"/>
            </w:r>
            <w:r>
              <w:rPr>
                <w:rStyle w:val="citation-part"/>
                <w:rFonts w:asciiTheme="minorHAnsi" w:hAnsiTheme="minorHAnsi" w:cstheme="minorHAnsi"/>
                <w:sz w:val="14"/>
                <w:szCs w:val="14"/>
                <w:lang w:val="en-US"/>
              </w:rPr>
              <w:instrText xml:space="preserve"> ADDIN ZOTERO_ITEM CSL_CITATION {"citationID":"tjUldHhp","properties":{"formattedCitation":"(Li et al. 2020)","plainCitation":"(Li et al. 2020)","noteIndex":0},"citationItems":[{"id":3119,"uris":["http://zotero.org/users/2801898/items/S6BQT8W8"],"uri":["http://zotero.org/users/2801898/items/S6BQT8W8"],"itemData":{"id":3119,"type":"article-journal","abstract":"Growing evidence supports the importance of gut microbiota in the control of tumor growth and response to therapy. Here, we select prebiotics that can enrich bacterial taxa that promote anti-tumor immunity. Addition of the prebiotics inulin or mucin to the diet of C57BL/6 mice induces anti-tumor immune responses and inhibition of BRAF mutant melanoma growth in a subcutaneously implanted syngeneic mouse model. Mucin fails to inhibit tumor growth in germ-free mice, indicating that the gut microbiota is required for the activation of the anti-tumor immune response. Inulin and mucin drive distinct changes in the microbiota, as inulin, but not mucin, limits tumor growth in syngeneic mouse models of colon cancer and NRAS mutant melanoma and enhances the efficacy of a MEK inhibitor against melanoma while delaying the emergence of drug resistance. We highlight the importance of gut microbiota in anti-tumor immunity and the potential therapeutic role for prebiotics in this process.","container-title":"Cell Reports","DOI":"10.1016/j.celrep.2020.01.035","ISSN":"2211-1247","issue":"6","journalAbbreviation":"Cell Rep","language":"eng","note":"PMID: 32049008\nPMCID: PMC7053418","page":"1753-1766.e6","source":"PubMed","title":"Prebiotic-Induced Anti-tumor Immunity Attenuates Tumor Growth","volume":"30","author":[{"family":"Li","given":"Yan"},{"family":"Elmén","given":"Lisa"},{"family":"Segota","given":"Igor"},{"family":"Xian","given":"Yibo"},{"family":"Tinoco","given":"Roberto"},{"family":"Feng","given":"Yongmei"},{"family":"Fujita","given":"Yu"},{"family":"Segura Muñoz","given":"Rafael R."},{"family":"Schmaltz","given":"Robert"},{"family":"Bradley","given":"Linda M."},{"family":"Ramer-Tait","given":"Amanda"},{"family":"Zarecki","given":"Raphy"},{"family":"Long","given":"Tao"},{"family":"Peterson","given":"Scott N."},{"family":"Ronai","given":"Ze'ev A."}],"issued":{"date-parts":[["2020",2,11]]}}}],"schema":"https://github.com/citation-style-language/schema/raw/master/csl-citation.json"} </w:instrText>
            </w:r>
            <w:r>
              <w:rPr>
                <w:rStyle w:val="citation-part"/>
                <w:rFonts w:asciiTheme="minorHAnsi" w:hAnsiTheme="minorHAnsi" w:cstheme="minorHAnsi"/>
                <w:sz w:val="14"/>
                <w:szCs w:val="14"/>
                <w:lang w:val="en-US"/>
              </w:rPr>
              <w:fldChar w:fldCharType="separate"/>
            </w:r>
            <w:r>
              <w:rPr>
                <w:rStyle w:val="citation-part"/>
                <w:rFonts w:asciiTheme="minorHAnsi" w:hAnsiTheme="minorHAnsi" w:cstheme="minorHAnsi"/>
                <w:noProof/>
                <w:sz w:val="14"/>
                <w:szCs w:val="14"/>
                <w:lang w:val="en-US"/>
              </w:rPr>
              <w:t>(Li et al. 2020)</w:t>
            </w:r>
            <w:r>
              <w:rPr>
                <w:rStyle w:val="citation-part"/>
                <w:rFonts w:asciiTheme="minorHAnsi" w:hAnsiTheme="minorHAnsi" w:cstheme="minorHAnsi"/>
                <w:sz w:val="14"/>
                <w:szCs w:val="14"/>
                <w:lang w:val="en-US"/>
              </w:rPr>
              <w:fldChar w:fldCharType="end"/>
            </w:r>
          </w:p>
        </w:tc>
      </w:tr>
      <w:tr w:rsidR="00C37C4D" w:rsidRPr="00244861" w:rsidTr="0091404C">
        <w:trPr>
          <w:gridBefore w:val="1"/>
          <w:wBefore w:w="13" w:type="dxa"/>
          <w:trHeight w:val="185"/>
        </w:trPr>
        <w:tc>
          <w:tcPr>
            <w:tcW w:w="16275" w:type="dxa"/>
            <w:gridSpan w:val="21"/>
            <w:tcBorders>
              <w:top w:val="single" w:sz="8" w:space="0" w:color="FFFFFF"/>
              <w:left w:val="single" w:sz="4" w:space="0" w:color="auto"/>
              <w:bottom w:val="single" w:sz="8" w:space="0" w:color="FFFFFF"/>
              <w:right w:val="single" w:sz="4" w:space="0" w:color="auto"/>
            </w:tcBorders>
            <w:shd w:val="clear" w:color="auto" w:fill="AEAAAA" w:themeFill="background2" w:themeFillShade="BF"/>
            <w:tcMar>
              <w:top w:w="4" w:type="dxa"/>
              <w:left w:w="4" w:type="dxa"/>
              <w:bottom w:w="0" w:type="dxa"/>
              <w:right w:w="4" w:type="dxa"/>
            </w:tcMar>
            <w:vAlign w:val="bottom"/>
            <w:hideMark/>
          </w:tcPr>
          <w:p w:rsidR="00C37C4D" w:rsidRPr="00244861" w:rsidRDefault="00C37C4D" w:rsidP="00C37C4D">
            <w:pPr>
              <w:rPr>
                <w:rFonts w:asciiTheme="minorHAnsi" w:hAnsiTheme="minorHAnsi" w:cstheme="minorHAnsi"/>
                <w:sz w:val="14"/>
                <w:szCs w:val="14"/>
                <w:lang w:val="en-US"/>
              </w:rPr>
            </w:pPr>
            <w:r w:rsidRPr="00244861">
              <w:rPr>
                <w:rFonts w:asciiTheme="minorHAnsi" w:hAnsiTheme="minorHAnsi" w:cstheme="minorHAnsi"/>
                <w:b/>
                <w:bCs/>
                <w:sz w:val="14"/>
                <w:szCs w:val="14"/>
                <w:lang w:val="en-US"/>
              </w:rPr>
              <w:t>RADIATION THERAPY</w:t>
            </w:r>
            <w:r w:rsidRPr="00585823">
              <w:rPr>
                <w:rFonts w:asciiTheme="minorHAnsi" w:hAnsiTheme="minorHAnsi" w:cstheme="minorHAnsi"/>
                <w:sz w:val="14"/>
                <w:szCs w:val="14"/>
                <w:lang w:val="sk-SK"/>
              </w:rPr>
              <w:t> </w:t>
            </w:r>
          </w:p>
        </w:tc>
      </w:tr>
      <w:tr w:rsidR="000962D0" w:rsidRPr="00244861" w:rsidTr="00F31D8E">
        <w:trPr>
          <w:gridBefore w:val="1"/>
          <w:wBefore w:w="13" w:type="dxa"/>
          <w:trHeight w:val="728"/>
        </w:trPr>
        <w:tc>
          <w:tcPr>
            <w:tcW w:w="2726" w:type="dxa"/>
            <w:gridSpan w:val="4"/>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*B16-OVA melanoma, </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*TC1 cervix/lung carcinoma </w:t>
            </w:r>
          </w:p>
        </w:tc>
        <w:tc>
          <w:tcPr>
            <w:tcW w:w="14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SPF and </w:t>
            </w:r>
            <w:proofErr w:type="spellStart"/>
            <w:r w:rsidRPr="00585823">
              <w:rPr>
                <w:rFonts w:asciiTheme="minorHAnsi" w:hAnsiTheme="minorHAnsi" w:cstheme="minorHAnsi"/>
                <w:sz w:val="14"/>
                <w:szCs w:val="14"/>
                <w:lang w:val="en-US"/>
              </w:rPr>
              <w:t>vancomycine</w:t>
            </w:r>
            <w:proofErr w:type="spellEnd"/>
            <w:r w:rsidRPr="00585823">
              <w:rPr>
                <w:rFonts w:asciiTheme="minorHAnsi" w:hAnsiTheme="minorHAnsi" w:cstheme="minorHAnsi"/>
                <w:sz w:val="14"/>
                <w:szCs w:val="14"/>
                <w:lang w:val="en-US"/>
              </w:rPr>
              <w:t xml:space="preserve"> treated mice</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External beam radiotherapy (RT) on tumor beds</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Gram positive bacteria</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and SCFA</w:t>
            </w:r>
          </w:p>
        </w:tc>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w:t>
            </w:r>
            <w:proofErr w:type="spellStart"/>
            <w:r w:rsidRPr="00585823">
              <w:rPr>
                <w:rFonts w:asciiTheme="minorHAnsi" w:hAnsiTheme="minorHAnsi" w:cstheme="minorHAnsi"/>
                <w:sz w:val="14"/>
                <w:szCs w:val="14"/>
                <w:lang w:val="en-US"/>
              </w:rPr>
              <w:t>vancomycine</w:t>
            </w:r>
            <w:proofErr w:type="spellEnd"/>
            <w:r w:rsidRPr="00585823">
              <w:rPr>
                <w:rFonts w:asciiTheme="minorHAnsi" w:hAnsiTheme="minorHAnsi" w:cstheme="minorHAnsi"/>
                <w:sz w:val="14"/>
                <w:szCs w:val="14"/>
                <w:lang w:val="en-US"/>
              </w:rPr>
              <w:t xml:space="preserve"> before tumor inoculation</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Enhanced local and abscopal anti -tumor effects of RT</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Increases local cross- presentation of tumor antigen-specific T cells</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Inhibitory effects of distinct Gram+ bacteria and butyrate</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hideMark/>
          </w:tcPr>
          <w:p w:rsidR="00C37C4D" w:rsidRPr="00244861" w:rsidRDefault="00244861" w:rsidP="00C37C4D">
            <w:pPr>
              <w:rPr>
                <w:rFonts w:asciiTheme="minorHAnsi" w:hAnsiTheme="minorHAnsi" w:cstheme="minorHAnsi"/>
                <w:sz w:val="14"/>
                <w:szCs w:val="14"/>
              </w:rPr>
            </w:pPr>
            <w:r>
              <w:rPr>
                <w:rFonts w:asciiTheme="minorHAnsi" w:hAnsiTheme="minorHAnsi" w:cstheme="minorHAnsi"/>
                <w:sz w:val="14"/>
                <w:szCs w:val="14"/>
                <w:lang w:val="en-US"/>
              </w:rPr>
              <w:fldChar w:fldCharType="begin"/>
            </w:r>
            <w:r>
              <w:rPr>
                <w:rFonts w:asciiTheme="minorHAnsi" w:hAnsiTheme="minorHAnsi" w:cstheme="minorHAnsi"/>
                <w:sz w:val="14"/>
                <w:szCs w:val="14"/>
              </w:rPr>
              <w:instrText xml:space="preserve"> ADDIN ZOTERO_ITEM CSL_CITATION {"citationID":"mpuUuvv4","properties":{"formattedCitation":"(Uribe-Herranz et al. 2020)","plainCitation":"(Uribe-Herranz et al. 2020)","noteIndex":0},"citationItems":[{"id":1067,"uris":["http://zotero.org/users/2801898/items/JW9N5TYL"],"uri":["http://zotero.org/users/2801898/items/JW9N5TYL"],"itemData":{"id":1067,"type":"webpage","language":"en","note":"source: www.jci.org\npublisher: American Society for Clinical Investigation\nDOI: 10.1172/JCI124332","title":"Gut microbiota modulate dendritic cell antigen presentation and radiotherapy-induced antitumor immune response","URL":"https://www.jci.org/articles/view/124332/ga","author":[{"family":"Uribe-Herranz","given":"Mireia"},{"family":"Rafail","given":"Stavros"},{"family":"Beghi","given":"Silvia"},{"family":"Gil-de-Gómez","given":"Luis"},{"family":"Verginadis","given":"Ioannis"},{"family":"Bittinger","given":"Kyle"},{"family":"Pustylnikov","given":"Sergey"},{"family":"Pierini","given":"Stefano"},{"family":"Perales-Linares","given":"Renzo"},{"family":"Blair","given":"Ian A."},{"family":"Mesaros","given":"Clementina A."},{"family":"Snyder","given":"Nathaniel W."},{"family":"Bushman","given":"Frederic"},{"family":"Koumenis","given":"Constantinos"},{"family":"Facciabene","given":"Andrea"}],"accessed":{"date-parts":[["2020",7,27]]},"issued":{"date-parts":[["2020",1,2]]}}}],"schema":"https://github.com/citation-style-language/schema/raw/master/csl-citation.json"} </w:instrText>
            </w:r>
            <w:r>
              <w:rPr>
                <w:rFonts w:asciiTheme="minorHAnsi" w:hAnsiTheme="minorHAnsi" w:cstheme="minorHAnsi"/>
                <w:sz w:val="14"/>
                <w:szCs w:val="14"/>
                <w:lang w:val="en-US"/>
              </w:rPr>
              <w:fldChar w:fldCharType="separate"/>
            </w:r>
            <w:r>
              <w:rPr>
                <w:rFonts w:asciiTheme="minorHAnsi" w:hAnsiTheme="minorHAnsi" w:cstheme="minorHAnsi"/>
                <w:noProof/>
                <w:sz w:val="14"/>
                <w:szCs w:val="14"/>
              </w:rPr>
              <w:t>(Uribe-Herranz et al. 2020)</w:t>
            </w:r>
            <w:r>
              <w:rPr>
                <w:rFonts w:asciiTheme="minorHAnsi" w:hAnsiTheme="minorHAnsi" w:cstheme="minorHAnsi"/>
                <w:sz w:val="14"/>
                <w:szCs w:val="14"/>
                <w:lang w:val="en-US"/>
              </w:rPr>
              <w:fldChar w:fldCharType="end"/>
            </w:r>
          </w:p>
        </w:tc>
      </w:tr>
      <w:tr w:rsidR="00585823" w:rsidRPr="00DB327F" w:rsidTr="00F31D8E">
        <w:trPr>
          <w:gridBefore w:val="1"/>
          <w:wBefore w:w="13" w:type="dxa"/>
          <w:trHeight w:val="728"/>
        </w:trPr>
        <w:tc>
          <w:tcPr>
            <w:tcW w:w="2726" w:type="dxa"/>
            <w:gridSpan w:val="4"/>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*Elite mice subjected to sublethal irradiation</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*B16F10</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*EL4</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*21 </w:t>
            </w:r>
            <w:proofErr w:type="spellStart"/>
            <w:r w:rsidRPr="00585823">
              <w:rPr>
                <w:rFonts w:asciiTheme="minorHAnsi" w:hAnsiTheme="minorHAnsi" w:cstheme="minorHAnsi"/>
                <w:sz w:val="14"/>
                <w:szCs w:val="14"/>
                <w:lang w:val="en-US"/>
              </w:rPr>
              <w:t>leukaemia</w:t>
            </w:r>
            <w:proofErr w:type="spellEnd"/>
            <w:r w:rsidRPr="00585823">
              <w:rPr>
                <w:rFonts w:asciiTheme="minorHAnsi" w:hAnsiTheme="minorHAnsi" w:cstheme="minorHAnsi"/>
                <w:sz w:val="14"/>
                <w:szCs w:val="14"/>
                <w:lang w:val="en-US"/>
              </w:rPr>
              <w:t xml:space="preserve"> patients at </w:t>
            </w:r>
            <w:proofErr w:type="spellStart"/>
            <w:r w:rsidRPr="00585823">
              <w:rPr>
                <w:rFonts w:asciiTheme="minorHAnsi" w:hAnsiTheme="minorHAnsi" w:cstheme="minorHAnsi"/>
                <w:sz w:val="14"/>
                <w:szCs w:val="14"/>
                <w:lang w:val="en-US"/>
              </w:rPr>
              <w:t>strat</w:t>
            </w:r>
            <w:proofErr w:type="spellEnd"/>
            <w:r w:rsidRPr="00585823">
              <w:rPr>
                <w:rFonts w:asciiTheme="minorHAnsi" w:hAnsiTheme="minorHAnsi" w:cstheme="minorHAnsi"/>
                <w:sz w:val="14"/>
                <w:szCs w:val="14"/>
                <w:lang w:val="en-US"/>
              </w:rPr>
              <w:t xml:space="preserve"> of TBI for pre-HSCT</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FMT and dirty cage sharing</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Partial or total body irradiation</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proofErr w:type="spellStart"/>
            <w:r w:rsidRPr="00585823">
              <w:rPr>
                <w:rFonts w:asciiTheme="minorHAnsi" w:hAnsiTheme="minorHAnsi" w:cstheme="minorHAnsi"/>
                <w:sz w:val="14"/>
                <w:szCs w:val="14"/>
                <w:lang w:val="en-US"/>
              </w:rPr>
              <w:t>Lachnospiraceae</w:t>
            </w:r>
            <w:proofErr w:type="spellEnd"/>
            <w:r w:rsidRPr="00585823">
              <w:rPr>
                <w:rFonts w:asciiTheme="minorHAnsi" w:hAnsiTheme="minorHAnsi" w:cstheme="minorHAnsi"/>
                <w:sz w:val="14"/>
                <w:szCs w:val="14"/>
                <w:lang w:val="en-US"/>
              </w:rPr>
              <w:t xml:space="preserve"> and </w:t>
            </w:r>
            <w:proofErr w:type="spellStart"/>
            <w:r w:rsidRPr="00585823">
              <w:rPr>
                <w:rFonts w:asciiTheme="minorHAnsi" w:hAnsiTheme="minorHAnsi" w:cstheme="minorHAnsi"/>
                <w:sz w:val="14"/>
                <w:szCs w:val="14"/>
                <w:lang w:val="en-US"/>
              </w:rPr>
              <w:t>Enterococcaceae</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gavages with </w:t>
            </w:r>
            <w:proofErr w:type="spellStart"/>
            <w:r w:rsidRPr="00585823">
              <w:rPr>
                <w:rFonts w:asciiTheme="minorHAnsi" w:hAnsiTheme="minorHAnsi" w:cstheme="minorHAnsi"/>
                <w:sz w:val="14"/>
                <w:szCs w:val="14"/>
                <w:lang w:val="en-US"/>
              </w:rPr>
              <w:t>Lachnospiraceae</w:t>
            </w:r>
            <w:proofErr w:type="spellEnd"/>
            <w:r w:rsidRPr="00585823">
              <w:rPr>
                <w:rFonts w:asciiTheme="minorHAnsi" w:hAnsiTheme="minorHAnsi" w:cstheme="minorHAnsi"/>
                <w:sz w:val="14"/>
                <w:szCs w:val="14"/>
                <w:lang w:val="en-US"/>
              </w:rPr>
              <w:t xml:space="preserve"> family members </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Gut metabolic changes such as increased Propionate and H-Indole 3- carboxaldehyde Kynurenic acid that protect mice against DNA damage and ROS release</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Increased hematopoiesis and intestinal barrier recovery post-sublethal irradiation</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tcPr>
          <w:p w:rsidR="00C37C4D" w:rsidRPr="003D71D0" w:rsidRDefault="003D71D0" w:rsidP="00C37C4D">
            <w:pPr>
              <w:rPr>
                <w:rFonts w:asciiTheme="minorHAnsi" w:hAnsiTheme="minorHAnsi" w:cstheme="minorHAnsi"/>
                <w:sz w:val="14"/>
                <w:szCs w:val="14"/>
                <w:lang w:val="en-US"/>
              </w:rPr>
            </w:pPr>
            <w:r>
              <w:rPr>
                <w:rFonts w:asciiTheme="minorHAnsi" w:hAnsiTheme="minorHAnsi" w:cstheme="minorHAnsi"/>
                <w:sz w:val="14"/>
                <w:szCs w:val="14"/>
              </w:rPr>
              <w:fldChar w:fldCharType="begin"/>
            </w:r>
            <w:r>
              <w:rPr>
                <w:rFonts w:asciiTheme="minorHAnsi" w:hAnsiTheme="minorHAnsi" w:cstheme="minorHAnsi"/>
                <w:sz w:val="14"/>
                <w:szCs w:val="14"/>
              </w:rPr>
              <w:instrText xml:space="preserve"> ADDIN ZOTERO_ITEM CSL_CITATION {"citationID":"OF4PUrJT","properties":{"formattedCitation":"(Gao et al. 2018)","plainCitation":"(Gao et al. 2018)","noteIndex":0},"citationItems":[{"id":3124,"uris":["http://zotero.org/users/2801898/items/M7X4Y4ZL"],"uri":["http://zotero.org/users/2801898/items/M7X4Y4ZL"],"itemData":{"id":3124,"type":"article-journal","abstract":"The gut microbiota influences the health of the host, especially with regard to gut immune homeostasis and the intestinal immune response. In addition to serving as a nutrient enhancer, L-tryptophan (Trp) plays crucial roles in the balance between intestinal immune tolerance and gut microbiota maintenance. Recent discoveries have underscored that changes in the microbiota modulate the host immune system by modulating Trp metabolism. Moreover, Trp, endogenous Trp metabolites (kynurenines, serotonin, and melatonin), and bacterial Trp metabolites (indole, indolic acid, skatole, and tryptamine) have profound effects on gut microbial composition, microbial metabolism, the host's immune system, the host-microbiome interface, and host immune system–intestinal microbiota interactions. The aryl hydrocarbon receptor (AhR) mediates the regulation of intestinal immunity by Trp metabolites (as ligands of AhR), which is beneficial for immune homeostasis. Among Trp metabolites, AhR ligands consist of endogenous metabolites, including kynurenine, kynurenic acid, xanthurenic acid, and cinnabarinic acid, and bacterial metabolites, including indole, indole propionic acid, indole acetic acid, skatole, and tryptamine. Additional factors, such as aging, stress, probiotics, and diseases (spondyloarthritis, irritable bowel syndrome, inflammatory bowel disease, colorectal cancer), which are associated with variability in Trp metabolism, can influence Trp–microbiome–immune system interactions in the gut and also play roles in regulating gut immunity. This review clarifies how the gut microbiota regulates Trp metabolism and identifies the underlying molecular mechanisms of these interactions. Increased mechanistic insight into how the mic</w:instrText>
            </w:r>
            <w:r w:rsidRPr="003D71D0">
              <w:rPr>
                <w:rFonts w:asciiTheme="minorHAnsi" w:hAnsiTheme="minorHAnsi" w:cstheme="minorHAnsi"/>
                <w:sz w:val="14"/>
                <w:szCs w:val="14"/>
                <w:lang w:val="en-US"/>
              </w:rPr>
              <w:instrText xml:space="preserve">robiota modulates the intestinal immune system through Trp metabolism may allow for the identification of innovative microbiota-based diagnostics, as well as appropriate nutritional supplementation of Trp to prevent or alleviate intestinal inflammation. Moreover, this review provides new insight regarding the influence of the gut microbiota on Trp metabolism. Additional comprehensive analyses of targeted Trp metabolites (including endogenous and bacterial metabolites) are essential for experimental preciseness, as the influence of the gut microbiota cannot be neglected, and may explain contradictory results in the literature.","container-title":"Frontiers in Cellular and Infection Microbiology","DOI":"10.3389/fcimb.2018.00013","ISSN":"2235-2988","journalAbbreviation":"Front Cell Infect Microbiol","note":"PMID: 29468141\nPMCID: PMC5808205","source":"PubMed Central","title":"Impact of the Gut Microbiota on Intestinal Immunity Mediated by Tryptophan Metabolism","URL":"https://www.ncbi.nlm.nih.gov/pmc/articles/PMC5808205/","volume":"8","author":[{"family":"Gao","given":"Jing"},{"family":"Xu","given":"Kang"},{"family":"Liu","given":"Hongnan"},{"family":"Liu","given":"Gang"},{"family":"Bai","given":"Miaomiao"},{"family":"Peng","given":"Can"},{"family":"Li","given":"Tiejun"},{"family":"Yin","given":"Yulong"}],"accessed":{"date-parts":[["2021",1,26]]},"issued":{"date-parts":[["2018",2,6]]}}}],"schema":"https://github.com/citation-style-language/schema/raw/master/csl-citation.json"} </w:instrText>
            </w:r>
            <w:r>
              <w:rPr>
                <w:rFonts w:asciiTheme="minorHAnsi" w:hAnsiTheme="minorHAnsi" w:cstheme="minorHAnsi"/>
                <w:sz w:val="14"/>
                <w:szCs w:val="14"/>
              </w:rPr>
              <w:fldChar w:fldCharType="separate"/>
            </w:r>
            <w:r w:rsidRPr="003D71D0">
              <w:rPr>
                <w:rFonts w:asciiTheme="minorHAnsi" w:hAnsiTheme="minorHAnsi" w:cstheme="minorHAnsi"/>
                <w:noProof/>
                <w:sz w:val="14"/>
                <w:szCs w:val="14"/>
                <w:lang w:val="en-US"/>
              </w:rPr>
              <w:t>(Gao et al. 2018)</w:t>
            </w:r>
            <w:r>
              <w:rPr>
                <w:rFonts w:asciiTheme="minorHAnsi" w:hAnsiTheme="minorHAnsi" w:cstheme="minorHAnsi"/>
                <w:sz w:val="14"/>
                <w:szCs w:val="14"/>
              </w:rPr>
              <w:fldChar w:fldCharType="end"/>
            </w:r>
          </w:p>
        </w:tc>
      </w:tr>
      <w:tr w:rsidR="00C37C4D" w:rsidRPr="00DB327F" w:rsidTr="0091404C">
        <w:trPr>
          <w:gridBefore w:val="1"/>
          <w:wBefore w:w="13" w:type="dxa"/>
          <w:trHeight w:val="224"/>
        </w:trPr>
        <w:tc>
          <w:tcPr>
            <w:tcW w:w="16275" w:type="dxa"/>
            <w:gridSpan w:val="21"/>
            <w:tcBorders>
              <w:top w:val="single" w:sz="8" w:space="0" w:color="FFFFFF"/>
              <w:left w:val="single" w:sz="4" w:space="0" w:color="auto"/>
              <w:bottom w:val="single" w:sz="8" w:space="0" w:color="FFFFFF"/>
              <w:right w:val="single" w:sz="4" w:space="0" w:color="auto"/>
            </w:tcBorders>
            <w:shd w:val="clear" w:color="auto" w:fill="AEAAAA" w:themeFill="background2" w:themeFillShade="BF"/>
            <w:tcMar>
              <w:top w:w="4" w:type="dxa"/>
              <w:left w:w="4" w:type="dxa"/>
              <w:bottom w:w="0" w:type="dxa"/>
              <w:right w:w="4" w:type="dxa"/>
            </w:tcMar>
            <w:vAlign w:val="bottom"/>
            <w:hideMark/>
          </w:tcPr>
          <w:p w:rsidR="00C37C4D" w:rsidRPr="003D71D0" w:rsidRDefault="00C37C4D" w:rsidP="00C37C4D">
            <w:pPr>
              <w:rPr>
                <w:rFonts w:asciiTheme="minorHAnsi" w:hAnsiTheme="minorHAnsi" w:cstheme="minorHAnsi"/>
                <w:sz w:val="14"/>
                <w:szCs w:val="14"/>
                <w:lang w:val="en-US"/>
              </w:rPr>
            </w:pPr>
            <w:r w:rsidRPr="003D71D0">
              <w:rPr>
                <w:rFonts w:asciiTheme="minorHAnsi" w:hAnsiTheme="minorHAnsi" w:cstheme="minorHAnsi"/>
                <w:b/>
                <w:bCs/>
                <w:sz w:val="14"/>
                <w:szCs w:val="14"/>
                <w:lang w:val="en-US"/>
              </w:rPr>
              <w:t>STEM CELL TRANSPLANT (SCT)</w:t>
            </w:r>
          </w:p>
        </w:tc>
      </w:tr>
      <w:tr w:rsidR="000962D0" w:rsidRPr="00DB327F" w:rsidTr="00F31D8E">
        <w:trPr>
          <w:gridBefore w:val="1"/>
          <w:wBefore w:w="13" w:type="dxa"/>
          <w:trHeight w:val="908"/>
        </w:trPr>
        <w:tc>
          <w:tcPr>
            <w:tcW w:w="2726" w:type="dxa"/>
            <w:gridSpan w:val="4"/>
            <w:tcBorders>
              <w:top w:val="single" w:sz="8" w:space="0" w:color="FFFFFF"/>
              <w:left w:val="single" w:sz="4" w:space="0" w:color="auto"/>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Major-histocompatibility-complex (MHC)-matched minor-antigen-mismatched </w:t>
            </w:r>
            <w:proofErr w:type="spellStart"/>
            <w:r w:rsidRPr="00585823">
              <w:rPr>
                <w:rFonts w:asciiTheme="minorHAnsi" w:hAnsiTheme="minorHAnsi" w:cstheme="minorHAnsi"/>
                <w:sz w:val="14"/>
                <w:szCs w:val="14"/>
                <w:lang w:val="en-US"/>
              </w:rPr>
              <w:t>allo</w:t>
            </w:r>
            <w:proofErr w:type="spellEnd"/>
            <w:r w:rsidRPr="00585823">
              <w:rPr>
                <w:rFonts w:asciiTheme="minorHAnsi" w:hAnsiTheme="minorHAnsi" w:cstheme="minorHAnsi"/>
                <w:sz w:val="14"/>
                <w:szCs w:val="14"/>
                <w:lang w:val="en-US"/>
              </w:rPr>
              <w:t>-HCT model (C57BL/6→129S1/</w:t>
            </w:r>
            <w:proofErr w:type="spellStart"/>
            <w:r w:rsidRPr="00585823">
              <w:rPr>
                <w:rFonts w:asciiTheme="minorHAnsi" w:hAnsiTheme="minorHAnsi" w:cstheme="minorHAnsi"/>
                <w:sz w:val="14"/>
                <w:szCs w:val="14"/>
                <w:lang w:val="en-US"/>
              </w:rPr>
              <w:t>Sv</w:t>
            </w:r>
            <w:proofErr w:type="spellEnd"/>
            <w:r w:rsidRPr="00585823">
              <w:rPr>
                <w:rFonts w:asciiTheme="minorHAnsi" w:hAnsiTheme="minorHAnsi" w:cstheme="minorHAnsi"/>
                <w:sz w:val="14"/>
                <w:szCs w:val="14"/>
                <w:lang w:val="en-US"/>
              </w:rPr>
              <w:t xml:space="preserve">) </w:t>
            </w:r>
          </w:p>
          <w:p w:rsidR="00C37C4D" w:rsidRPr="00585823" w:rsidRDefault="00C37C4D" w:rsidP="00C37C4D">
            <w:pPr>
              <w:rPr>
                <w:rFonts w:asciiTheme="minorHAnsi" w:hAnsiTheme="minorHAnsi" w:cstheme="minorHAnsi"/>
                <w:sz w:val="14"/>
                <w:szCs w:val="14"/>
                <w:lang w:val="en-US"/>
              </w:rPr>
            </w:pPr>
          </w:p>
        </w:tc>
        <w:tc>
          <w:tcPr>
            <w:tcW w:w="14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Broad spectrum ATB</w:t>
            </w:r>
          </w:p>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compared with T cell </w:t>
            </w:r>
            <w:proofErr w:type="spellStart"/>
            <w:r w:rsidRPr="00585823">
              <w:rPr>
                <w:rFonts w:asciiTheme="minorHAnsi" w:hAnsiTheme="minorHAnsi" w:cstheme="minorHAnsi"/>
                <w:sz w:val="14"/>
                <w:szCs w:val="14"/>
                <w:lang w:val="en-US"/>
              </w:rPr>
              <w:t>repleted</w:t>
            </w:r>
            <w:proofErr w:type="spellEnd"/>
            <w:r w:rsidRPr="00585823">
              <w:rPr>
                <w:rFonts w:asciiTheme="minorHAnsi" w:hAnsiTheme="minorHAnsi" w:cstheme="minorHAnsi"/>
                <w:sz w:val="14"/>
                <w:szCs w:val="14"/>
                <w:lang w:val="en-US"/>
              </w:rPr>
              <w:t xml:space="preserve"> grafts</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Allogeneic bone marrow transplantation (BMT)</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i/>
                <w:sz w:val="14"/>
                <w:szCs w:val="14"/>
                <w:lang w:val="en-US"/>
              </w:rPr>
            </w:pPr>
            <w:r w:rsidRPr="00585823">
              <w:rPr>
                <w:rFonts w:asciiTheme="minorHAnsi" w:hAnsiTheme="minorHAnsi" w:cstheme="minorHAnsi"/>
                <w:i/>
                <w:sz w:val="14"/>
                <w:szCs w:val="14"/>
                <w:lang w:val="en-US"/>
              </w:rPr>
              <w:t>Enterococcus faecalis</w:t>
            </w:r>
          </w:p>
        </w:tc>
        <w:tc>
          <w:tcPr>
            <w:tcW w:w="17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Dietary lactose depletion or elimination of Enterococci growth post-all BMT</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Graft-versus-host disease (GVHD) modulated with enterococci relative overgrowth in colon LP</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FFFFFF" w:themeFill="background1"/>
            <w:tcMar>
              <w:top w:w="4" w:type="dxa"/>
              <w:left w:w="4" w:type="dxa"/>
              <w:bottom w:w="0" w:type="dxa"/>
              <w:right w:w="4" w:type="dxa"/>
            </w:tcMar>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Disaccharide lactose-induced </w:t>
            </w:r>
            <w:r w:rsidR="003D71D0" w:rsidRPr="00585823">
              <w:rPr>
                <w:rFonts w:asciiTheme="minorHAnsi" w:hAnsiTheme="minorHAnsi" w:cstheme="minorHAnsi"/>
                <w:sz w:val="14"/>
                <w:szCs w:val="14"/>
                <w:lang w:val="en-US"/>
              </w:rPr>
              <w:t>Enterococci</w:t>
            </w:r>
            <w:r w:rsidRPr="00585823">
              <w:rPr>
                <w:rFonts w:asciiTheme="minorHAnsi" w:hAnsiTheme="minorHAnsi" w:cstheme="minorHAnsi"/>
                <w:sz w:val="14"/>
                <w:szCs w:val="14"/>
                <w:lang w:val="en-US"/>
              </w:rPr>
              <w:t xml:space="preserve"> overgrowth, creating elevated IFN</w:t>
            </w:r>
            <w:r w:rsidR="008D4E0E" w:rsidRPr="00DB327F">
              <w:rPr>
                <w:rFonts w:ascii="Cambria Math" w:hAnsi="Cambria Math" w:cs="Cambria Math"/>
                <w:b/>
                <w:bCs/>
                <w:sz w:val="14"/>
                <w:szCs w:val="14"/>
              </w:rPr>
              <w:t>𝛄</w:t>
            </w:r>
            <w:bookmarkStart w:id="0" w:name="_GoBack"/>
            <w:bookmarkEnd w:id="0"/>
            <w:r w:rsidRPr="00585823">
              <w:rPr>
                <w:rFonts w:asciiTheme="minorHAnsi" w:hAnsiTheme="minorHAnsi" w:cstheme="minorHAnsi"/>
                <w:sz w:val="14"/>
                <w:szCs w:val="14"/>
                <w:lang w:val="en-US"/>
              </w:rPr>
              <w:t xml:space="preserve"> serum levels, TH17 colonic accumulation and recirculation of CD4+ T cells </w:t>
            </w:r>
          </w:p>
        </w:tc>
        <w:tc>
          <w:tcPr>
            <w:tcW w:w="2143" w:type="dxa"/>
            <w:tcBorders>
              <w:top w:val="single" w:sz="8" w:space="0" w:color="FFFFFF"/>
              <w:left w:val="single" w:sz="8" w:space="0" w:color="FFFFFF"/>
              <w:bottom w:val="single" w:sz="8" w:space="0" w:color="FFFFFF"/>
              <w:right w:val="single" w:sz="4" w:space="0" w:color="auto"/>
            </w:tcBorders>
            <w:shd w:val="clear" w:color="auto" w:fill="FFFFFF" w:themeFill="background1"/>
            <w:tcMar>
              <w:top w:w="4" w:type="dxa"/>
              <w:left w:w="4" w:type="dxa"/>
              <w:bottom w:w="0" w:type="dxa"/>
              <w:right w:w="4" w:type="dxa"/>
            </w:tcMar>
          </w:tcPr>
          <w:p w:rsidR="00C37C4D" w:rsidRPr="00585823" w:rsidRDefault="003D7899" w:rsidP="007D3F32">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sidR="007D3F32">
              <w:rPr>
                <w:rFonts w:asciiTheme="minorHAnsi" w:hAnsiTheme="minorHAnsi" w:cstheme="minorHAnsi"/>
                <w:sz w:val="14"/>
                <w:szCs w:val="14"/>
                <w:lang w:val="en-US"/>
              </w:rPr>
              <w:instrText xml:space="preserve"> ADDIN ZOTERO_ITEM CSL_CITATION {"citationID":"YKn5i2wz","properties":{"formattedCitation":"(Stein-Thoeringer et al. 2019; Iida et al. 2013)","plainCitation":"(Stein-Thoeringer et al. 2019; Iida et al. 2013)","noteIndex":0},"citationItems":[{"id":3132,"uris":["http://zotero.org/users/2801898/items/YMDQQBJ2"],"uri":["http://zotero.org/users/2801898/items/YMDQQBJ2"],"itemData":{"id":3132,"type":"article-journal","abstract":"Disruption of intestinal microbial communities appears to underlie many human illnesses, but the mechanisms that promote this dysbiosis and its adverse consequences are poorly understood. In patients who received allogeneic hematopoietic cell transplantation (allo-HCT), we describe a high incidence of enterococcal expansion, which was associated with graft-versus-host disease (GVHD) and mortality. We found that Enterococcus also expands in the mouse gastrointestinal tract after allo-HCT and exacerbates disease severity in gnotobiotic models. Enterococcus growth is dependent on the disaccharide lactose, and dietary lactose depletion attenuates Enterococcus outgrowth and reduces the severity of GVHD in mice. Allo-HCT patients carrying lactose-nonabsorber genotypes showed compromised clearance of postantibiotic Enterococcus domination. We report lactose as a common nutrient that drives expansion of a commensal bacterium that exacerbates an intestinal and systemic inflammatory disease.","container-title":"Science (New York, N.Y.)","DOI":"10.1126/science.aax3760","ISSN":"1095-9203","issue":"6469","journalAbbreviation":"Science","language":"eng","note":"PMID: 31780560\nPMCID: PMC7003985","page":"1143-1149","source":"PubMed","title":"Lactose drives Enterococcus expansion to promote graft-versus-host disease","volume":"366","author":[{"family":"Stein-Thoeringer","given":"C. K."},{"family":"Nichols","given":"K. B."},{"family":"Lazrak","given":"A."},{"family":"Docampo","given":"M. D."},{"family":"Slingerland","given":"A. E."},{"family":"Slingerland","given":"J. B."},{"family":"Clurman","given":"A. G."},{"family":"Armijo","given":"G."},{"family":"Gomes","given":"A. L. C."},{"family":"Shono","given":"Y."},{"family":"Staffas","given":"A."},{"family":"Burgos da Silva","given":"M."},{"family":"Devlin","given":"S. M."},{"family":"Markey","given":"K. A."},{"family":"Bajic","given":"D."},{"family":"Pinedo","given":"R."},{"family":"Tsakmaklis","given":"A."},{"family":"Littmann","given":"E. R."},{"family":"Pastore","given":"A."},{"family":"Taur","given":"Y."},{"family":"Monette","given":"S."},{"family":"Arcila","given":"M. E."},{"family":"Pickard","given":"A. J."},{"family":"Maloy","given":"M."},{"family":"Wright","given":"R. J."},{"family":"Amoretti","given":"L. A."},{"family":"Fontana","given":"E."},{"family":"Pham","given":"D."},{"family":"Jamal","given":"M. A."},{"family":"Weber","given":"D."},{"family":"Sung","given":"A. D."},{"family":"Hashimoto","given":"D."},{"family":"Scheid","given":"C."},{"family":"Xavier","given":"J. B."},{"family":"Messina","given":"J. A."},{"family":"Romero","given":"K."},{"family":"Lew","given":"M."},{"family":"Bush","given":"A."},{"family":"Bohannon","given":"L."},{"family":"Hayasaka","given":"K."},{"family":"Hasegawa","given":"Y."},{"family":"Vehreschild","given":"M. J. G. T."},{"family":"Cross","given":"J. R."},{"family":"Ponce","given":"D. M."},{"family":"Perales","given":"M. A."},{"family":"Giralt","given":"S. A."},{"family":"Jenq","given":"R. R."},{"family":"Teshima","given":"T."},{"family":"Holler","given":"E."},{"family":"Chao","given":"N. J."},{"family":"Pamer","given":"E. G."},{"family":"Peled","given":"J. U."},{"family":"Brink","given":"M. R. M.","non-dropping-particle":"van den"}],"issued":{"date-parts":[["2019",11,29]]}}},{"id":677,"uris":["http://zotero.org/users/2801898/items/QE5JIXUH"],"uri":["http://zotero.org/users/2801898/items/QE5JIXUH"],"itemData":{"id":677,"type":"article-journal","abstract":"The gut microbiota influences both local and systemic inflammation. Inflammation contributes to development, progression, and treatment of cancer, but it remains unclear whether commensal bacteria affect inflammation in the sterile tumor microenvironment. Here, we show that disruption of the microbiota impairs the response of subcutaneous tumors to CpG-oligonucleotide immunotherapy and platinum chemotherapy. In antibiotics-treated or germ-free mice, tumor-infiltrating myeloid-derived cells responded poorly to therapy, resulting in lower cytokine production and tumor necrosis after CpG-oligonucleotide treatment and deficient production of reactive oxygen species and cytotoxicity after chemotherapy. Thus, optimal responses to cancer therapy require an intact commensal microbiota that mediates its effects by modulating myeloid-derived cell functions in the tumor microenvironment. These findings underscore the importance of the microbiota in the outcome of disease treatment.","container-title":"Science (New York, N.Y.)","DOI":"10.1126/science.1240527","ISSN":"1095-9203","issue":"6161","journalAbbreviation":"Science","language":"eng","note":"PMID: 24264989","page":"967-970","source":"PubMed","title":"Commensal bacteria control cancer response to therapy by modulating the tumor microenvironment","volume":"342","author":[{"family":"Iida","given":"Noriho"},{"family":"Dzutsev","given":"Amiran"},{"family":"Stewart","given":"C. Andrew"},{"family":"Smith","given":"Loretta"},{"family":"Bouladoux","given":"Nicolas"},{"family":"Weingarten","given":"Rebecca A."},{"family":"Molina","given":"Daniel A."},{"family":"Salcedo","given":"Rosalba"},{"family":"Back","given":"Timothy"},{"family":"Cramer","given":"Sarah"},{"family":"Dai","given":"Ren-Ming"},{"family":"Kiu","given":"Hiu"},{"family":"Cardone","given":"Marco"},{"family":"Naik","given":"Shruti"},{"family":"Patri","given":"Anil K."},{"family":"Wang","given":"Ena"},{"family":"Marincola","given":"Francesco M."},{"family":"Frank","given":"Karen M."},{"family":"Belkaid","given":"Yasmine"},{"family":"Trinchieri","given":"Giorgio"},{"family":"Goldszmid","given":"Romina S."}],"issued":{"date-parts":[["2013",11,22]]}}}],"schema":"https://github.com/citation-style-language/schema/raw/master/csl-citation.json"} </w:instrText>
            </w:r>
            <w:r>
              <w:rPr>
                <w:rFonts w:asciiTheme="minorHAnsi" w:hAnsiTheme="minorHAnsi" w:cstheme="minorHAnsi"/>
                <w:sz w:val="14"/>
                <w:szCs w:val="14"/>
                <w:lang w:val="en-US"/>
              </w:rPr>
              <w:fldChar w:fldCharType="separate"/>
            </w:r>
            <w:r w:rsidR="007D3F32">
              <w:rPr>
                <w:rFonts w:asciiTheme="minorHAnsi" w:hAnsiTheme="minorHAnsi" w:cstheme="minorHAnsi"/>
                <w:noProof/>
                <w:sz w:val="14"/>
                <w:szCs w:val="14"/>
                <w:lang w:val="en-US"/>
              </w:rPr>
              <w:t>(Stein-Thoeringer et al. 2019; Iida et al. 2013)</w:t>
            </w:r>
            <w:r>
              <w:rPr>
                <w:rFonts w:asciiTheme="minorHAnsi" w:hAnsiTheme="minorHAnsi" w:cstheme="minorHAnsi"/>
                <w:sz w:val="14"/>
                <w:szCs w:val="14"/>
                <w:lang w:val="en-US"/>
              </w:rPr>
              <w:fldChar w:fldCharType="end"/>
            </w:r>
          </w:p>
        </w:tc>
      </w:tr>
      <w:tr w:rsidR="000962D0" w:rsidRPr="00DB327F" w:rsidTr="00F31D8E">
        <w:trPr>
          <w:gridBefore w:val="1"/>
          <w:wBefore w:w="13" w:type="dxa"/>
          <w:trHeight w:val="908"/>
        </w:trPr>
        <w:tc>
          <w:tcPr>
            <w:tcW w:w="2726" w:type="dxa"/>
            <w:gridSpan w:val="4"/>
            <w:tcBorders>
              <w:top w:val="single" w:sz="8" w:space="0" w:color="FFFFFF"/>
              <w:left w:val="single" w:sz="4" w:space="0" w:color="auto"/>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Mice irradiated (TBI) and transplanted with B10.BR BM and T cells </w:t>
            </w:r>
            <w:r w:rsidRPr="00585823">
              <w:rPr>
                <w:rFonts w:asciiTheme="minorHAnsi" w:hAnsiTheme="minorHAnsi" w:cstheme="minorHAnsi"/>
                <w:sz w:val="14"/>
                <w:szCs w:val="14"/>
                <w:lang w:val="en-US"/>
              </w:rPr>
              <w:br/>
              <w:t>7 days ampicillin, before BMT</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3D71D0" w:rsidRDefault="00C37C4D" w:rsidP="00C37C4D">
            <w:pPr>
              <w:rPr>
                <w:rFonts w:asciiTheme="minorHAnsi" w:hAnsiTheme="minorHAnsi" w:cstheme="minorHAnsi"/>
                <w:sz w:val="14"/>
                <w:szCs w:val="14"/>
                <w:lang w:val="en-US"/>
              </w:rPr>
            </w:pPr>
            <w:r w:rsidRPr="003D71D0">
              <w:rPr>
                <w:rFonts w:asciiTheme="minorHAnsi" w:hAnsiTheme="minorHAnsi" w:cstheme="minorHAnsi"/>
                <w:sz w:val="14"/>
                <w:szCs w:val="14"/>
                <w:lang w:val="en-US"/>
              </w:rPr>
              <w:t>C57BL/6J mice</w:t>
            </w:r>
          </w:p>
        </w:tc>
        <w:tc>
          <w:tcPr>
            <w:tcW w:w="1874"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Allogeneic bone marrow transplantation (BMT)</w:t>
            </w:r>
          </w:p>
        </w:tc>
        <w:tc>
          <w:tcPr>
            <w:tcW w:w="2447" w:type="dxa"/>
            <w:gridSpan w:val="5"/>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3D71D0" w:rsidRDefault="00C37C4D" w:rsidP="00C37C4D">
            <w:pPr>
              <w:rPr>
                <w:rFonts w:asciiTheme="minorHAnsi" w:hAnsiTheme="minorHAnsi" w:cstheme="minorHAnsi"/>
                <w:i/>
                <w:sz w:val="14"/>
                <w:szCs w:val="14"/>
                <w:lang w:val="en-US"/>
              </w:rPr>
            </w:pPr>
            <w:r w:rsidRPr="003D71D0">
              <w:rPr>
                <w:rFonts w:asciiTheme="minorHAnsi" w:hAnsiTheme="minorHAnsi" w:cstheme="minorHAnsi"/>
                <w:i/>
                <w:sz w:val="14"/>
                <w:szCs w:val="14"/>
                <w:lang w:val="en-US"/>
              </w:rPr>
              <w:t xml:space="preserve">Lactobacillus </w:t>
            </w:r>
            <w:proofErr w:type="spellStart"/>
            <w:r w:rsidRPr="003D71D0">
              <w:rPr>
                <w:rFonts w:asciiTheme="minorHAnsi" w:hAnsiTheme="minorHAnsi" w:cstheme="minorHAnsi"/>
                <w:i/>
                <w:sz w:val="14"/>
                <w:szCs w:val="14"/>
                <w:lang w:val="en-US"/>
              </w:rPr>
              <w:t>johnsonii</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Oral reintroduction every other day for 14 days before BMT</w:t>
            </w:r>
          </w:p>
        </w:tc>
        <w:tc>
          <w:tcPr>
            <w:tcW w:w="2013"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585823" w:rsidRDefault="00C37C4D" w:rsidP="00C37C4D">
            <w:pPr>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Protection against Graft-versus-host disease (GVHD) </w:t>
            </w:r>
          </w:p>
        </w:tc>
        <w:tc>
          <w:tcPr>
            <w:tcW w:w="1931" w:type="dxa"/>
            <w:gridSpan w:val="3"/>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4" w:type="dxa"/>
              <w:left w:w="4" w:type="dxa"/>
              <w:bottom w:w="0" w:type="dxa"/>
              <w:right w:w="4" w:type="dxa"/>
            </w:tcMar>
            <w:hideMark/>
          </w:tcPr>
          <w:p w:rsidR="00C37C4D" w:rsidRPr="003D71D0" w:rsidRDefault="00C37C4D" w:rsidP="00C37C4D">
            <w:pPr>
              <w:rPr>
                <w:rFonts w:asciiTheme="minorHAnsi" w:hAnsiTheme="minorHAnsi" w:cstheme="minorHAnsi"/>
                <w:sz w:val="14"/>
                <w:szCs w:val="14"/>
                <w:lang w:val="en-US"/>
              </w:rPr>
            </w:pPr>
            <w:r w:rsidRPr="003D71D0">
              <w:rPr>
                <w:rFonts w:asciiTheme="minorHAnsi" w:hAnsiTheme="minorHAnsi" w:cstheme="minorHAnsi"/>
                <w:sz w:val="14"/>
                <w:szCs w:val="14"/>
                <w:lang w:val="en-US"/>
              </w:rPr>
              <w:t>Unknown</w:t>
            </w:r>
          </w:p>
        </w:tc>
        <w:tc>
          <w:tcPr>
            <w:tcW w:w="214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4" w:type="dxa"/>
              <w:left w:w="4" w:type="dxa"/>
              <w:bottom w:w="0" w:type="dxa"/>
              <w:right w:w="4" w:type="dxa"/>
            </w:tcMar>
            <w:hideMark/>
          </w:tcPr>
          <w:p w:rsidR="00C37C4D" w:rsidRPr="003D7899" w:rsidRDefault="003D7899" w:rsidP="00C37C4D">
            <w:pPr>
              <w:rPr>
                <w:rFonts w:asciiTheme="minorHAnsi" w:hAnsiTheme="minorHAnsi" w:cstheme="minorHAnsi"/>
                <w:sz w:val="14"/>
                <w:szCs w:val="14"/>
                <w:lang w:val="en-US"/>
              </w:rPr>
            </w:pPr>
            <w:r>
              <w:rPr>
                <w:rFonts w:asciiTheme="minorHAnsi" w:hAnsiTheme="minorHAnsi" w:cstheme="minorHAnsi"/>
                <w:sz w:val="14"/>
                <w:szCs w:val="14"/>
                <w:lang w:val="en-US"/>
              </w:rPr>
              <w:fldChar w:fldCharType="begin"/>
            </w:r>
            <w:r w:rsidRPr="003D7899">
              <w:rPr>
                <w:rFonts w:asciiTheme="minorHAnsi" w:hAnsiTheme="minorHAnsi" w:cstheme="minorHAnsi"/>
                <w:sz w:val="14"/>
                <w:szCs w:val="14"/>
                <w:lang w:val="en-US"/>
              </w:rPr>
              <w:instrText xml:space="preserve"> ADDIN ZOTERO_ITEM CSL_CITATION {"citationID":"ufFbVjZ5","properties":{"formattedCitation":"(Jenq et al. 2012)","plainCitation":"(Jenq et al. 2012)","noteIndex":0},"citationItems":[{"id":3127,"uris":["http://zotero.org/users/2801898/items/87I27SAT"],"uri":["http://zotero.org/users/2801898/items/87I27SAT"],"itemData":{"id":3127,"type":"article-journal","abstract":"Despite a growing understanding of the link between intestinal inflammation and resident gut microbes, longitudinal studies of human flora before initial onset of intestinal inflammation have not been reported. Here, we demonstrate in murine and human recipients of allogeneic bone marrow transplantation (BMT) that intestinal inflammation secondary to graft-versus-host disease (GVHD) is associated with major shifts in the composition of the intestinal microbiota. The microbiota, in turn, can modulate the severity of intestinal inflammation. In mouse models of GVHD, we observed loss of overall diversity and expansion of Lactobacillales and loss of Clostridiales. Eliminating Lactobaci</w:instrText>
            </w:r>
            <w:r w:rsidRPr="007D3F32">
              <w:rPr>
                <w:rFonts w:asciiTheme="minorHAnsi" w:hAnsiTheme="minorHAnsi" w:cstheme="minorHAnsi"/>
                <w:sz w:val="14"/>
                <w:szCs w:val="14"/>
                <w:lang w:val="en-US"/>
              </w:rPr>
              <w:instrText>llales from the flora of mice before BMT aggravated GVHD, whereas reintroducing the predominant species of Lactobacillus mediated si</w:instrText>
            </w:r>
            <w:r w:rsidRPr="003D7899">
              <w:rPr>
                <w:rFonts w:asciiTheme="minorHAnsi" w:hAnsiTheme="minorHAnsi" w:cstheme="minorHAnsi"/>
                <w:sz w:val="14"/>
                <w:szCs w:val="14"/>
              </w:rPr>
              <w:instrText>gnificant protection against GVHD. We then characterized gut flora of patients during onset of intestinal inflammation caused by GVHD and found patterns mirroring those in mice. We also identified increased microbial chaos early after allogeneic BMT as a potential risk factor for subsequent GVHD. Together, these data demonstrate regulation of flora by int</w:instrText>
            </w:r>
            <w:r w:rsidRPr="003D7899">
              <w:rPr>
                <w:rFonts w:asciiTheme="minorHAnsi" w:hAnsiTheme="minorHAnsi" w:cstheme="minorHAnsi"/>
                <w:sz w:val="14"/>
                <w:szCs w:val="14"/>
                <w:lang w:val="en-US"/>
              </w:rPr>
              <w:instrText xml:space="preserve">estinal inflammation and suggest that flora manipulation may reduce intestinal inflammation and improve outcomes for allogeneic BMT recipients.","container-title":"The Journal of Experimental Medicine","DOI":"10.1084/jem.20112408","ISSN":"1540-9538","issue":"5","journalAbbreviation":"J Exp Med","language":"eng","note":"PMID: 22547653\nPMCID: PMC3348096","page":"903-911","source":"PubMed","title":"Regulation of intestinal inflammation by microbiota following allogeneic bone marrow transplantation","volume":"209","author":[{"family":"Jenq","given":"Robert R."},{"family":"Ubeda","given":"Carles"},{"family":"Taur","given":"Ying"},{"family":"Menezes","given":"Clarissa C."},{"family":"Khanin","given":"Raya"},{"family":"Dudakov","given":"Jarrod A."},{"family":"Liu","given":"Chen"},{"family":"West","given":"Mallory L."},{"family":"Singer","given":"Natalie V."},{"family":"Equinda","given":"Michele J."},{"family":"Gobourne","given":"Asia"},{"family":"Lipuma","given":"Lauren"},{"family":"Young","given":"Lauren F."},{"family":"Smith","given":"Odette M."},{"family":"Ghosh","given":"Arnab"},{"family":"Hanash","given":"Alan M."},{"family":"Goldberg","given":"Jenna D."},{"family":"Aoyama","given":"Kazutoshi"},{"family":"Blazar","given":"Bruce R."},{"family":"Pamer","given":"Eric G."},{"family":"Brink","given":"Marcel R. M.","non-dropping-particle":"van den"}],"issued":{"date-parts":[["2012",5,7]]}}}],"schema":"https://github.com/citation-style-language/schema/raw/master/csl-citation.json"} </w:instrText>
            </w:r>
            <w:r>
              <w:rPr>
                <w:rFonts w:asciiTheme="minorHAnsi" w:hAnsiTheme="minorHAnsi" w:cstheme="minorHAnsi"/>
                <w:sz w:val="14"/>
                <w:szCs w:val="14"/>
                <w:lang w:val="en-US"/>
              </w:rPr>
              <w:fldChar w:fldCharType="separate"/>
            </w:r>
            <w:r w:rsidRPr="003D7899">
              <w:rPr>
                <w:rFonts w:asciiTheme="minorHAnsi" w:hAnsiTheme="minorHAnsi" w:cstheme="minorHAnsi"/>
                <w:noProof/>
                <w:sz w:val="14"/>
                <w:szCs w:val="14"/>
                <w:lang w:val="en-US"/>
              </w:rPr>
              <w:t>(Jenq et al. 2012)</w:t>
            </w:r>
            <w:r>
              <w:rPr>
                <w:rFonts w:asciiTheme="minorHAnsi" w:hAnsiTheme="minorHAnsi" w:cstheme="minorHAnsi"/>
                <w:sz w:val="14"/>
                <w:szCs w:val="14"/>
                <w:lang w:val="en-US"/>
              </w:rPr>
              <w:fldChar w:fldCharType="end"/>
            </w:r>
          </w:p>
        </w:tc>
      </w:tr>
      <w:tr w:rsidR="00780F1B" w:rsidRPr="003D7899" w:rsidTr="00F31D8E">
        <w:trPr>
          <w:gridBefore w:val="1"/>
          <w:wBefore w:w="13" w:type="dxa"/>
          <w:trHeight w:val="908"/>
        </w:trPr>
        <w:tc>
          <w:tcPr>
            <w:tcW w:w="2726" w:type="dxa"/>
            <w:gridSpan w:val="4"/>
            <w:tcBorders>
              <w:top w:val="single" w:sz="8" w:space="0" w:color="FFFFFF"/>
              <w:left w:val="single" w:sz="4" w:space="0" w:color="auto"/>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8B716E">
            <w:pPr>
              <w:shd w:val="clear" w:color="auto" w:fill="FFFFFF" w:themeFill="background1"/>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Mice irradiated (TBI) and transplanted with BM </w:t>
            </w:r>
            <w:r w:rsidRPr="00585823">
              <w:rPr>
                <w:rFonts w:asciiTheme="minorHAnsi" w:hAnsiTheme="minorHAnsi" w:cstheme="minorHAnsi"/>
                <w:sz w:val="14"/>
                <w:szCs w:val="14"/>
                <w:lang w:val="en-US"/>
              </w:rPr>
              <w:br/>
              <w:t>7 days ampicillin, before BMT</w:t>
            </w:r>
          </w:p>
        </w:tc>
        <w:tc>
          <w:tcPr>
            <w:tcW w:w="1440" w:type="dxa"/>
            <w:tcBorders>
              <w:top w:val="single" w:sz="8" w:space="0" w:color="FFFFFF"/>
              <w:left w:val="single" w:sz="8" w:space="0" w:color="FFFFFF"/>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3D71D0" w:rsidRDefault="00C37C4D" w:rsidP="008B716E">
            <w:pPr>
              <w:shd w:val="clear" w:color="auto" w:fill="FFFFFF" w:themeFill="background1"/>
              <w:rPr>
                <w:rFonts w:asciiTheme="minorHAnsi" w:hAnsiTheme="minorHAnsi" w:cstheme="minorHAnsi"/>
                <w:sz w:val="14"/>
                <w:szCs w:val="14"/>
                <w:lang w:val="en-US"/>
              </w:rPr>
            </w:pPr>
            <w:r w:rsidRPr="003D71D0">
              <w:rPr>
                <w:rFonts w:asciiTheme="minorHAnsi" w:hAnsiTheme="minorHAnsi" w:cstheme="minorHAnsi"/>
                <w:sz w:val="14"/>
                <w:szCs w:val="14"/>
                <w:lang w:val="en-US"/>
              </w:rPr>
              <w:t>C57BL/6J mice</w:t>
            </w:r>
          </w:p>
        </w:tc>
        <w:tc>
          <w:tcPr>
            <w:tcW w:w="1874" w:type="dxa"/>
            <w:gridSpan w:val="3"/>
            <w:tcBorders>
              <w:top w:val="single" w:sz="8" w:space="0" w:color="FFFFFF"/>
              <w:left w:val="single" w:sz="8" w:space="0" w:color="FFFFFF"/>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8B716E">
            <w:pPr>
              <w:shd w:val="clear" w:color="auto" w:fill="FFFFFF" w:themeFill="background1"/>
              <w:rPr>
                <w:rFonts w:asciiTheme="minorHAnsi" w:hAnsiTheme="minorHAnsi" w:cstheme="minorHAnsi"/>
                <w:sz w:val="14"/>
                <w:szCs w:val="14"/>
                <w:lang w:val="en-US"/>
              </w:rPr>
            </w:pPr>
            <w:r w:rsidRPr="00585823">
              <w:rPr>
                <w:rFonts w:asciiTheme="minorHAnsi" w:hAnsiTheme="minorHAnsi" w:cstheme="minorHAnsi"/>
                <w:sz w:val="14"/>
                <w:szCs w:val="14"/>
                <w:lang w:val="en-US"/>
              </w:rPr>
              <w:t>Allogeneic bone marrow transplantation (BMT)</w:t>
            </w:r>
          </w:p>
        </w:tc>
        <w:tc>
          <w:tcPr>
            <w:tcW w:w="2447" w:type="dxa"/>
            <w:gridSpan w:val="5"/>
            <w:tcBorders>
              <w:top w:val="single" w:sz="8" w:space="0" w:color="FFFFFF"/>
              <w:left w:val="single" w:sz="8" w:space="0" w:color="FFFFFF"/>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E6436A" w:rsidRDefault="00C37C4D" w:rsidP="008B716E">
            <w:pPr>
              <w:shd w:val="clear" w:color="auto" w:fill="FFFFFF" w:themeFill="background1"/>
              <w:rPr>
                <w:rFonts w:asciiTheme="minorHAnsi" w:hAnsiTheme="minorHAnsi" w:cstheme="minorHAnsi"/>
                <w:i/>
                <w:iCs/>
                <w:sz w:val="14"/>
                <w:szCs w:val="14"/>
                <w:lang w:val="en-US"/>
              </w:rPr>
            </w:pPr>
            <w:r w:rsidRPr="00E6436A">
              <w:rPr>
                <w:rFonts w:asciiTheme="minorHAnsi" w:hAnsiTheme="minorHAnsi" w:cstheme="minorHAnsi"/>
                <w:i/>
                <w:iCs/>
                <w:sz w:val="14"/>
                <w:szCs w:val="14"/>
                <w:lang w:val="en-US"/>
              </w:rPr>
              <w:t xml:space="preserve">Lactobacillus </w:t>
            </w:r>
            <w:proofErr w:type="spellStart"/>
            <w:r w:rsidRPr="00E6436A">
              <w:rPr>
                <w:rFonts w:asciiTheme="minorHAnsi" w:hAnsiTheme="minorHAnsi" w:cstheme="minorHAnsi"/>
                <w:i/>
                <w:iCs/>
                <w:sz w:val="14"/>
                <w:szCs w:val="14"/>
                <w:lang w:val="en-US"/>
              </w:rPr>
              <w:t>rhamnosus</w:t>
            </w:r>
            <w:proofErr w:type="spellEnd"/>
            <w:r w:rsidRPr="00E6436A">
              <w:rPr>
                <w:rFonts w:asciiTheme="minorHAnsi" w:hAnsiTheme="minorHAnsi" w:cstheme="minorHAnsi"/>
                <w:i/>
                <w:iCs/>
                <w:sz w:val="14"/>
                <w:szCs w:val="14"/>
                <w:lang w:val="en-US"/>
              </w:rPr>
              <w:t xml:space="preserve"> GG</w:t>
            </w:r>
          </w:p>
        </w:tc>
        <w:tc>
          <w:tcPr>
            <w:tcW w:w="1701" w:type="dxa"/>
            <w:tcBorders>
              <w:top w:val="single" w:sz="8" w:space="0" w:color="FFFFFF"/>
              <w:left w:val="single" w:sz="8" w:space="0" w:color="FFFFFF"/>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8B716E">
            <w:pPr>
              <w:shd w:val="clear" w:color="auto" w:fill="FFFFFF" w:themeFill="background1"/>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Oral administration 7 days prior to BMT  </w:t>
            </w:r>
            <w:r w:rsidRPr="00585823">
              <w:rPr>
                <w:rFonts w:asciiTheme="minorHAnsi" w:hAnsiTheme="minorHAnsi" w:cstheme="minorHAnsi"/>
                <w:sz w:val="14"/>
                <w:szCs w:val="14"/>
                <w:lang w:val="en-US"/>
              </w:rPr>
              <w:br/>
              <w:t xml:space="preserve">or in post transplantation period </w:t>
            </w:r>
            <w:r w:rsidR="003D7899" w:rsidRPr="00585823">
              <w:rPr>
                <w:rFonts w:asciiTheme="minorHAnsi" w:hAnsiTheme="minorHAnsi" w:cstheme="minorHAnsi"/>
                <w:sz w:val="14"/>
                <w:szCs w:val="14"/>
                <w:lang w:val="en-US"/>
              </w:rPr>
              <w:t>proceeded</w:t>
            </w:r>
            <w:r w:rsidRPr="00585823">
              <w:rPr>
                <w:rFonts w:asciiTheme="minorHAnsi" w:hAnsiTheme="minorHAnsi" w:cstheme="minorHAnsi"/>
                <w:sz w:val="14"/>
                <w:szCs w:val="14"/>
                <w:lang w:val="en-US"/>
              </w:rPr>
              <w:t xml:space="preserve"> by 7 days of </w:t>
            </w:r>
            <w:r w:rsidR="0091404C" w:rsidRPr="00585823">
              <w:rPr>
                <w:rFonts w:asciiTheme="minorHAnsi" w:hAnsiTheme="minorHAnsi" w:cstheme="minorHAnsi"/>
                <w:sz w:val="14"/>
                <w:szCs w:val="14"/>
                <w:lang w:val="en-US"/>
              </w:rPr>
              <w:t>ciprofloxacin</w:t>
            </w:r>
          </w:p>
        </w:tc>
        <w:tc>
          <w:tcPr>
            <w:tcW w:w="2013" w:type="dxa"/>
            <w:gridSpan w:val="3"/>
            <w:tcBorders>
              <w:top w:val="single" w:sz="8" w:space="0" w:color="FFFFFF"/>
              <w:left w:val="single" w:sz="8" w:space="0" w:color="FFFFFF"/>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585823" w:rsidRDefault="00C37C4D" w:rsidP="008B716E">
            <w:pPr>
              <w:shd w:val="clear" w:color="auto" w:fill="FFFFFF" w:themeFill="background1"/>
              <w:rPr>
                <w:rFonts w:asciiTheme="minorHAnsi" w:hAnsiTheme="minorHAnsi" w:cstheme="minorHAnsi"/>
                <w:sz w:val="14"/>
                <w:szCs w:val="14"/>
                <w:lang w:val="en-US"/>
              </w:rPr>
            </w:pPr>
            <w:r w:rsidRPr="00585823">
              <w:rPr>
                <w:rFonts w:asciiTheme="minorHAnsi" w:hAnsiTheme="minorHAnsi" w:cstheme="minorHAnsi"/>
                <w:sz w:val="14"/>
                <w:szCs w:val="14"/>
                <w:lang w:val="en-US"/>
              </w:rPr>
              <w:t xml:space="preserve">Reduced mortality post BMT and protect </w:t>
            </w:r>
            <w:r w:rsidR="003D7899" w:rsidRPr="00585823">
              <w:rPr>
                <w:rFonts w:asciiTheme="minorHAnsi" w:hAnsiTheme="minorHAnsi" w:cstheme="minorHAnsi"/>
                <w:sz w:val="14"/>
                <w:szCs w:val="14"/>
                <w:lang w:val="en-US"/>
              </w:rPr>
              <w:t>against</w:t>
            </w:r>
            <w:r w:rsidRPr="00585823">
              <w:rPr>
                <w:rFonts w:asciiTheme="minorHAnsi" w:hAnsiTheme="minorHAnsi" w:cstheme="minorHAnsi"/>
                <w:sz w:val="14"/>
                <w:szCs w:val="14"/>
                <w:lang w:val="en-US"/>
              </w:rPr>
              <w:t xml:space="preserve"> GVHD</w:t>
            </w:r>
          </w:p>
        </w:tc>
        <w:tc>
          <w:tcPr>
            <w:tcW w:w="1931" w:type="dxa"/>
            <w:gridSpan w:val="3"/>
            <w:tcBorders>
              <w:top w:val="single" w:sz="8" w:space="0" w:color="FFFFFF"/>
              <w:left w:val="single" w:sz="8" w:space="0" w:color="FFFFFF"/>
              <w:bottom w:val="single" w:sz="4" w:space="0" w:color="auto"/>
              <w:right w:val="single" w:sz="8" w:space="0" w:color="FFFFFF"/>
            </w:tcBorders>
            <w:shd w:val="clear" w:color="auto" w:fill="FFFFFF" w:themeFill="background1"/>
            <w:tcMar>
              <w:top w:w="4" w:type="dxa"/>
              <w:left w:w="4" w:type="dxa"/>
              <w:bottom w:w="0" w:type="dxa"/>
              <w:right w:w="4" w:type="dxa"/>
            </w:tcMar>
            <w:hideMark/>
          </w:tcPr>
          <w:p w:rsidR="00C37C4D" w:rsidRPr="003D71D0" w:rsidRDefault="00C37C4D" w:rsidP="008B716E">
            <w:pPr>
              <w:shd w:val="clear" w:color="auto" w:fill="FFFFFF" w:themeFill="background1"/>
              <w:rPr>
                <w:rFonts w:asciiTheme="minorHAnsi" w:hAnsiTheme="minorHAnsi" w:cstheme="minorHAnsi"/>
                <w:sz w:val="14"/>
                <w:szCs w:val="14"/>
                <w:lang w:val="en-US"/>
              </w:rPr>
            </w:pPr>
            <w:r w:rsidRPr="003D71D0">
              <w:rPr>
                <w:rFonts w:asciiTheme="minorHAnsi" w:hAnsiTheme="minorHAnsi" w:cstheme="minorHAnsi"/>
                <w:sz w:val="14"/>
                <w:szCs w:val="14"/>
                <w:lang w:val="en-US"/>
              </w:rPr>
              <w:t>Unknown</w:t>
            </w:r>
          </w:p>
        </w:tc>
        <w:tc>
          <w:tcPr>
            <w:tcW w:w="2143" w:type="dxa"/>
            <w:tcBorders>
              <w:top w:val="single" w:sz="8" w:space="0" w:color="FFFFFF"/>
              <w:left w:val="single" w:sz="8" w:space="0" w:color="FFFFFF"/>
              <w:bottom w:val="single" w:sz="4" w:space="0" w:color="auto"/>
              <w:right w:val="single" w:sz="4" w:space="0" w:color="auto"/>
            </w:tcBorders>
            <w:shd w:val="clear" w:color="auto" w:fill="FFFFFF" w:themeFill="background1"/>
            <w:tcMar>
              <w:top w:w="4" w:type="dxa"/>
              <w:left w:w="4" w:type="dxa"/>
              <w:bottom w:w="0" w:type="dxa"/>
              <w:right w:w="4" w:type="dxa"/>
            </w:tcMar>
            <w:hideMark/>
          </w:tcPr>
          <w:p w:rsidR="00C37C4D" w:rsidRPr="003D7899" w:rsidRDefault="003D7899" w:rsidP="008B716E">
            <w:pPr>
              <w:shd w:val="clear" w:color="auto" w:fill="FFFFFF" w:themeFill="background1"/>
              <w:rPr>
                <w:rFonts w:asciiTheme="minorHAnsi" w:hAnsiTheme="minorHAnsi" w:cstheme="minorHAnsi"/>
                <w:sz w:val="14"/>
                <w:szCs w:val="14"/>
              </w:rPr>
            </w:pPr>
            <w:r>
              <w:rPr>
                <w:rFonts w:asciiTheme="minorHAnsi" w:hAnsiTheme="minorHAnsi" w:cstheme="minorHAnsi"/>
                <w:sz w:val="14"/>
                <w:szCs w:val="14"/>
                <w:lang w:val="de-DE"/>
              </w:rPr>
              <w:fldChar w:fldCharType="begin"/>
            </w:r>
            <w:r>
              <w:rPr>
                <w:rFonts w:asciiTheme="minorHAnsi" w:hAnsiTheme="minorHAnsi" w:cstheme="minorHAnsi"/>
                <w:sz w:val="14"/>
                <w:szCs w:val="14"/>
                <w:lang w:val="de-DE"/>
              </w:rPr>
              <w:instrText xml:space="preserve"> ADDIN ZOTERO_ITEM CSL_CITATION {"citationID":"9qZNrPMo","properties":{"formattedCitation":"(Gerbitz et al. 2004)","plainCitation":"(Gerbitz et al. 2004)","noteIndex":0},"citationItems":[{"id":3130,"uris":["http://zotero.org/users/2801898/items/4BIHYN72"],"uri":["http://zotero.org/users/2801898/items/4BIHYN72"],"itemData":{"id":3130,"type":"article-journal","abstract":"Acute graft-versus-host disease (aGVHD) often limits feasibility and outcome of allogeneic bone marrow transplantation. Current pathophysiologic concepts of aGVHD involve conditioning regimens, donor-derived T cells, proinflammatory cytokines, and bacterial lipopolysaccharide (LPS) as a major trigger for aGVHD. LPS derives mostly from gram-negative bacteria and can enter circulation through the impaired mucosal barrier after the conditioning regimen. Probiotic microorganisms have been shown to alter the composition of the intestinal microflora and thereby mediate anti-inflammatory effects. We hypothesized that modifying the enteric flora using the probiotic microorganism Lactobacillus rhamnosus GG, would ameliorate aGVHD. Here we show that oral administration of Lactobacillus rhamnosus GG before and after transplantation results in improved survival and reduced aGVHD. Furthermore, subculturing of mesenteric lymph node tissue revealed a reduced translocation of enteric bacteria. Our findings suggest that alteration of the intestinal microflora plays an important role in the initiation of experimental aGVHD.","container-title":"Blood","DOI":"10.1182/blood-2003-11-3769","ISSN":"0006-4971","issue":"11","journalAbbreviation":"Blood","language":"eng","note":"PMID: 14962899","page":"4365-4367","source":"PubMed","title":"Probiotic effects on experimental graft-versus-host disease: let them eat yogurt","title-short":"Probiotic effects on experimental graft-versus-host disease","volume":"103","author":[{"family":"Gerbitz","given":"Armin"},{"family":"Schultz","given":"Michael"},{"family":"Wilke","given":"Andrea"},{"family":"Linde","given":"Hans-Jörg"},{"family":"Schölmerich","given":"Jürgen"},{"family":"Andreesen","given":"Reinhard"},{"family":"Holler","given":"Ernst"}],"issued":{"date-parts":[["2004",6,1]]}}}],"schema":"https://github.com/citation-style-language/schema/raw/master/csl-citation.json"} </w:instrText>
            </w:r>
            <w:r>
              <w:rPr>
                <w:rFonts w:asciiTheme="minorHAnsi" w:hAnsiTheme="minorHAnsi" w:cstheme="minorHAnsi"/>
                <w:sz w:val="14"/>
                <w:szCs w:val="14"/>
                <w:lang w:val="de-DE"/>
              </w:rPr>
              <w:fldChar w:fldCharType="separate"/>
            </w:r>
            <w:r>
              <w:rPr>
                <w:rFonts w:asciiTheme="minorHAnsi" w:hAnsiTheme="minorHAnsi" w:cstheme="minorHAnsi"/>
                <w:noProof/>
                <w:sz w:val="14"/>
                <w:szCs w:val="14"/>
                <w:lang w:val="de-DE"/>
              </w:rPr>
              <w:t>(Gerbitz et al. 2004)</w:t>
            </w:r>
            <w:r>
              <w:rPr>
                <w:rFonts w:asciiTheme="minorHAnsi" w:hAnsiTheme="minorHAnsi" w:cstheme="minorHAnsi"/>
                <w:sz w:val="14"/>
                <w:szCs w:val="14"/>
                <w:lang w:val="de-DE"/>
              </w:rPr>
              <w:fldChar w:fldCharType="end"/>
            </w:r>
          </w:p>
        </w:tc>
      </w:tr>
    </w:tbl>
    <w:p w:rsidR="00BD52E1" w:rsidRPr="003D7899" w:rsidRDefault="00BD52E1" w:rsidP="008B716E">
      <w:pPr>
        <w:shd w:val="clear" w:color="auto" w:fill="FFFFFF" w:themeFill="background1"/>
        <w:rPr>
          <w:rFonts w:asciiTheme="minorHAnsi" w:hAnsiTheme="minorHAnsi" w:cstheme="minorHAnsi"/>
          <w:sz w:val="14"/>
          <w:szCs w:val="14"/>
        </w:rPr>
      </w:pPr>
    </w:p>
    <w:sectPr w:rsidR="00BD52E1" w:rsidRPr="003D7899" w:rsidSect="00E1607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41" w:rsidRDefault="00DD5641" w:rsidP="00B776F4">
      <w:r>
        <w:separator/>
      </w:r>
    </w:p>
  </w:endnote>
  <w:endnote w:type="continuationSeparator" w:id="0">
    <w:p w:rsidR="00DD5641" w:rsidRDefault="00DD5641" w:rsidP="00B7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41" w:rsidRDefault="00DD5641" w:rsidP="00B776F4">
      <w:r>
        <w:separator/>
      </w:r>
    </w:p>
  </w:footnote>
  <w:footnote w:type="continuationSeparator" w:id="0">
    <w:p w:rsidR="00DD5641" w:rsidRDefault="00DD5641" w:rsidP="00B7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0D61"/>
    <w:multiLevelType w:val="hybridMultilevel"/>
    <w:tmpl w:val="FC5AD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76"/>
    <w:rsid w:val="00005987"/>
    <w:rsid w:val="000110CA"/>
    <w:rsid w:val="00023B0C"/>
    <w:rsid w:val="000303AB"/>
    <w:rsid w:val="0003667B"/>
    <w:rsid w:val="00044056"/>
    <w:rsid w:val="00044F7B"/>
    <w:rsid w:val="00045333"/>
    <w:rsid w:val="00047315"/>
    <w:rsid w:val="00050D53"/>
    <w:rsid w:val="000822EA"/>
    <w:rsid w:val="000962D0"/>
    <w:rsid w:val="00096EB2"/>
    <w:rsid w:val="00097241"/>
    <w:rsid w:val="000A229C"/>
    <w:rsid w:val="000A4C4B"/>
    <w:rsid w:val="000C1F78"/>
    <w:rsid w:val="000D608B"/>
    <w:rsid w:val="000E1DA2"/>
    <w:rsid w:val="000E6807"/>
    <w:rsid w:val="001032D5"/>
    <w:rsid w:val="00104AA0"/>
    <w:rsid w:val="001060CC"/>
    <w:rsid w:val="00132B62"/>
    <w:rsid w:val="00133254"/>
    <w:rsid w:val="0014264F"/>
    <w:rsid w:val="00143A83"/>
    <w:rsid w:val="00144A8B"/>
    <w:rsid w:val="0015149F"/>
    <w:rsid w:val="00154345"/>
    <w:rsid w:val="00165347"/>
    <w:rsid w:val="00180396"/>
    <w:rsid w:val="00194F83"/>
    <w:rsid w:val="001D79ED"/>
    <w:rsid w:val="00201C88"/>
    <w:rsid w:val="002059C8"/>
    <w:rsid w:val="00212AC5"/>
    <w:rsid w:val="002144D9"/>
    <w:rsid w:val="00215BE3"/>
    <w:rsid w:val="002220BF"/>
    <w:rsid w:val="0022655A"/>
    <w:rsid w:val="002418EB"/>
    <w:rsid w:val="00243EA2"/>
    <w:rsid w:val="00244861"/>
    <w:rsid w:val="002672D2"/>
    <w:rsid w:val="002733BD"/>
    <w:rsid w:val="00273EA4"/>
    <w:rsid w:val="002820DB"/>
    <w:rsid w:val="00285C87"/>
    <w:rsid w:val="002A4162"/>
    <w:rsid w:val="002B3A28"/>
    <w:rsid w:val="002C3FA5"/>
    <w:rsid w:val="002E01CB"/>
    <w:rsid w:val="002E05CD"/>
    <w:rsid w:val="002F06B3"/>
    <w:rsid w:val="002F0F6C"/>
    <w:rsid w:val="003157D2"/>
    <w:rsid w:val="003163A8"/>
    <w:rsid w:val="00326BA1"/>
    <w:rsid w:val="00330108"/>
    <w:rsid w:val="00330E94"/>
    <w:rsid w:val="003337DB"/>
    <w:rsid w:val="00344D25"/>
    <w:rsid w:val="003461CC"/>
    <w:rsid w:val="00350A59"/>
    <w:rsid w:val="00351CFD"/>
    <w:rsid w:val="00373FBD"/>
    <w:rsid w:val="00390602"/>
    <w:rsid w:val="003A3A25"/>
    <w:rsid w:val="003A7DC7"/>
    <w:rsid w:val="003B4C55"/>
    <w:rsid w:val="003D06B4"/>
    <w:rsid w:val="003D0DB2"/>
    <w:rsid w:val="003D690C"/>
    <w:rsid w:val="003D71D0"/>
    <w:rsid w:val="003D7899"/>
    <w:rsid w:val="0041371D"/>
    <w:rsid w:val="0042008B"/>
    <w:rsid w:val="004220EF"/>
    <w:rsid w:val="00431AAC"/>
    <w:rsid w:val="00463B65"/>
    <w:rsid w:val="00470B68"/>
    <w:rsid w:val="00480F47"/>
    <w:rsid w:val="00481495"/>
    <w:rsid w:val="00496E58"/>
    <w:rsid w:val="00497F55"/>
    <w:rsid w:val="004A4BC9"/>
    <w:rsid w:val="004B4BB6"/>
    <w:rsid w:val="004C203B"/>
    <w:rsid w:val="004C508E"/>
    <w:rsid w:val="005141E8"/>
    <w:rsid w:val="0052433F"/>
    <w:rsid w:val="00534411"/>
    <w:rsid w:val="00534F85"/>
    <w:rsid w:val="005366A8"/>
    <w:rsid w:val="00544C97"/>
    <w:rsid w:val="0054518B"/>
    <w:rsid w:val="00547FF2"/>
    <w:rsid w:val="00552F08"/>
    <w:rsid w:val="005547F5"/>
    <w:rsid w:val="00554A27"/>
    <w:rsid w:val="00555DBC"/>
    <w:rsid w:val="00557BE9"/>
    <w:rsid w:val="00581CC6"/>
    <w:rsid w:val="00585823"/>
    <w:rsid w:val="00587D19"/>
    <w:rsid w:val="00593451"/>
    <w:rsid w:val="005A6584"/>
    <w:rsid w:val="005B7E49"/>
    <w:rsid w:val="005C0430"/>
    <w:rsid w:val="005D2DDE"/>
    <w:rsid w:val="005E1912"/>
    <w:rsid w:val="00602BF7"/>
    <w:rsid w:val="006031E8"/>
    <w:rsid w:val="00640490"/>
    <w:rsid w:val="00651512"/>
    <w:rsid w:val="00661738"/>
    <w:rsid w:val="0067380F"/>
    <w:rsid w:val="0067640F"/>
    <w:rsid w:val="006903BF"/>
    <w:rsid w:val="0069227A"/>
    <w:rsid w:val="00694589"/>
    <w:rsid w:val="00696C88"/>
    <w:rsid w:val="006A55B8"/>
    <w:rsid w:val="006B1440"/>
    <w:rsid w:val="006F35E3"/>
    <w:rsid w:val="00701DD0"/>
    <w:rsid w:val="007133CB"/>
    <w:rsid w:val="00720D08"/>
    <w:rsid w:val="00744923"/>
    <w:rsid w:val="00745C7D"/>
    <w:rsid w:val="007541D3"/>
    <w:rsid w:val="007578F2"/>
    <w:rsid w:val="007744CE"/>
    <w:rsid w:val="00780F1B"/>
    <w:rsid w:val="007821D0"/>
    <w:rsid w:val="007829A6"/>
    <w:rsid w:val="0078669E"/>
    <w:rsid w:val="00786E6C"/>
    <w:rsid w:val="00795A02"/>
    <w:rsid w:val="007C5E78"/>
    <w:rsid w:val="007D3F32"/>
    <w:rsid w:val="007E278B"/>
    <w:rsid w:val="00804B43"/>
    <w:rsid w:val="00811FFB"/>
    <w:rsid w:val="00822AC4"/>
    <w:rsid w:val="008258D8"/>
    <w:rsid w:val="00831A17"/>
    <w:rsid w:val="00855020"/>
    <w:rsid w:val="00861D3F"/>
    <w:rsid w:val="008710C4"/>
    <w:rsid w:val="00881C2D"/>
    <w:rsid w:val="0088438A"/>
    <w:rsid w:val="008B21EE"/>
    <w:rsid w:val="008B4662"/>
    <w:rsid w:val="008B716E"/>
    <w:rsid w:val="008C34F3"/>
    <w:rsid w:val="008C5394"/>
    <w:rsid w:val="008D4E0E"/>
    <w:rsid w:val="008F441C"/>
    <w:rsid w:val="00907469"/>
    <w:rsid w:val="00913113"/>
    <w:rsid w:val="0091404C"/>
    <w:rsid w:val="00927926"/>
    <w:rsid w:val="00931ECA"/>
    <w:rsid w:val="009327B9"/>
    <w:rsid w:val="00942B77"/>
    <w:rsid w:val="00945F37"/>
    <w:rsid w:val="00946821"/>
    <w:rsid w:val="00950B91"/>
    <w:rsid w:val="009904CE"/>
    <w:rsid w:val="009938C5"/>
    <w:rsid w:val="00994C72"/>
    <w:rsid w:val="009B2E22"/>
    <w:rsid w:val="009B795F"/>
    <w:rsid w:val="009C0128"/>
    <w:rsid w:val="009C11A0"/>
    <w:rsid w:val="009C16A8"/>
    <w:rsid w:val="009F2A0B"/>
    <w:rsid w:val="00A36DD5"/>
    <w:rsid w:val="00A44771"/>
    <w:rsid w:val="00A556B1"/>
    <w:rsid w:val="00A6129C"/>
    <w:rsid w:val="00A80C3A"/>
    <w:rsid w:val="00A91D1F"/>
    <w:rsid w:val="00A942DE"/>
    <w:rsid w:val="00AA4353"/>
    <w:rsid w:val="00AB43B8"/>
    <w:rsid w:val="00AC5065"/>
    <w:rsid w:val="00AC7E6B"/>
    <w:rsid w:val="00AE0F9B"/>
    <w:rsid w:val="00AE7EA6"/>
    <w:rsid w:val="00AF2441"/>
    <w:rsid w:val="00AF53D6"/>
    <w:rsid w:val="00B3099E"/>
    <w:rsid w:val="00B41B48"/>
    <w:rsid w:val="00B60589"/>
    <w:rsid w:val="00B64341"/>
    <w:rsid w:val="00B7182F"/>
    <w:rsid w:val="00B776F4"/>
    <w:rsid w:val="00BA6EC7"/>
    <w:rsid w:val="00BB5507"/>
    <w:rsid w:val="00BC7F47"/>
    <w:rsid w:val="00BD1C7B"/>
    <w:rsid w:val="00BD52E1"/>
    <w:rsid w:val="00C25014"/>
    <w:rsid w:val="00C334E3"/>
    <w:rsid w:val="00C3771F"/>
    <w:rsid w:val="00C37C4D"/>
    <w:rsid w:val="00C557DD"/>
    <w:rsid w:val="00C55E71"/>
    <w:rsid w:val="00C642AE"/>
    <w:rsid w:val="00C77E65"/>
    <w:rsid w:val="00CA2707"/>
    <w:rsid w:val="00CE7249"/>
    <w:rsid w:val="00D242E7"/>
    <w:rsid w:val="00D24333"/>
    <w:rsid w:val="00D36D8A"/>
    <w:rsid w:val="00D378E5"/>
    <w:rsid w:val="00D5158C"/>
    <w:rsid w:val="00D55A45"/>
    <w:rsid w:val="00D623A6"/>
    <w:rsid w:val="00D905AF"/>
    <w:rsid w:val="00DB327F"/>
    <w:rsid w:val="00DD1B3B"/>
    <w:rsid w:val="00DD4EE5"/>
    <w:rsid w:val="00DD5641"/>
    <w:rsid w:val="00DE676E"/>
    <w:rsid w:val="00DE7E33"/>
    <w:rsid w:val="00DF2DDB"/>
    <w:rsid w:val="00E051B3"/>
    <w:rsid w:val="00E13AF4"/>
    <w:rsid w:val="00E16076"/>
    <w:rsid w:val="00E16F4B"/>
    <w:rsid w:val="00E27079"/>
    <w:rsid w:val="00E40362"/>
    <w:rsid w:val="00E44E26"/>
    <w:rsid w:val="00E6436A"/>
    <w:rsid w:val="00E65A5F"/>
    <w:rsid w:val="00E869CB"/>
    <w:rsid w:val="00E938C0"/>
    <w:rsid w:val="00EA7172"/>
    <w:rsid w:val="00EB7EB1"/>
    <w:rsid w:val="00EC3AE8"/>
    <w:rsid w:val="00EE2536"/>
    <w:rsid w:val="00EE4505"/>
    <w:rsid w:val="00EF585E"/>
    <w:rsid w:val="00F126E2"/>
    <w:rsid w:val="00F1386B"/>
    <w:rsid w:val="00F2587A"/>
    <w:rsid w:val="00F31799"/>
    <w:rsid w:val="00F31D8E"/>
    <w:rsid w:val="00F340A7"/>
    <w:rsid w:val="00F3550A"/>
    <w:rsid w:val="00F41A82"/>
    <w:rsid w:val="00F56B15"/>
    <w:rsid w:val="00F709FD"/>
    <w:rsid w:val="00F71ECF"/>
    <w:rsid w:val="00F72381"/>
    <w:rsid w:val="00F743B0"/>
    <w:rsid w:val="00F8468B"/>
    <w:rsid w:val="00F909B1"/>
    <w:rsid w:val="00F93CDE"/>
    <w:rsid w:val="00FB3083"/>
    <w:rsid w:val="00FB64DD"/>
    <w:rsid w:val="00FC5FE7"/>
    <w:rsid w:val="00FD08D6"/>
    <w:rsid w:val="00FE3A11"/>
    <w:rsid w:val="00FE52F8"/>
    <w:rsid w:val="00FF4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C0F7"/>
  <w15:chartTrackingRefBased/>
  <w15:docId w15:val="{EEBD2C4A-70BD-0C4B-99BF-F7AB792E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7640F"/>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490"/>
    <w:pPr>
      <w:ind w:left="720"/>
      <w:contextualSpacing/>
    </w:pPr>
    <w:rPr>
      <w:rFonts w:asciiTheme="minorHAnsi" w:eastAsiaTheme="minorHAnsi" w:hAnsiTheme="minorHAnsi" w:cstheme="minorBidi"/>
      <w:lang w:eastAsia="en-US"/>
    </w:rPr>
  </w:style>
  <w:style w:type="character" w:customStyle="1" w:styleId="citation-part">
    <w:name w:val="citation-part"/>
    <w:basedOn w:val="Policepardfaut"/>
    <w:rsid w:val="00DE676E"/>
  </w:style>
  <w:style w:type="character" w:customStyle="1" w:styleId="docsum-pmid">
    <w:name w:val="docsum-pmid"/>
    <w:basedOn w:val="Policepardfaut"/>
    <w:rsid w:val="00DE676E"/>
  </w:style>
  <w:style w:type="character" w:customStyle="1" w:styleId="id-label">
    <w:name w:val="id-label"/>
    <w:basedOn w:val="Policepardfaut"/>
    <w:rsid w:val="00F41A82"/>
  </w:style>
  <w:style w:type="character" w:styleId="lev">
    <w:name w:val="Strong"/>
    <w:basedOn w:val="Policepardfaut"/>
    <w:uiPriority w:val="22"/>
    <w:qFormat/>
    <w:rsid w:val="00F41A82"/>
    <w:rPr>
      <w:b/>
      <w:bCs/>
    </w:rPr>
  </w:style>
  <w:style w:type="character" w:styleId="Lienhypertexte">
    <w:name w:val="Hyperlink"/>
    <w:basedOn w:val="Policepardfaut"/>
    <w:uiPriority w:val="99"/>
    <w:semiHidden/>
    <w:unhideWhenUsed/>
    <w:rsid w:val="00E16F4B"/>
    <w:rPr>
      <w:color w:val="0000FF"/>
      <w:u w:val="single"/>
    </w:rPr>
  </w:style>
  <w:style w:type="character" w:styleId="Accentuation">
    <w:name w:val="Emphasis"/>
    <w:basedOn w:val="Policepardfaut"/>
    <w:uiPriority w:val="20"/>
    <w:qFormat/>
    <w:rsid w:val="003D690C"/>
    <w:rPr>
      <w:i/>
      <w:iCs/>
    </w:rPr>
  </w:style>
  <w:style w:type="paragraph" w:styleId="Notedebasdepage">
    <w:name w:val="footnote text"/>
    <w:basedOn w:val="Normal"/>
    <w:link w:val="NotedebasdepageCar"/>
    <w:uiPriority w:val="99"/>
    <w:semiHidden/>
    <w:unhideWhenUsed/>
    <w:rsid w:val="00B776F4"/>
    <w:rPr>
      <w:sz w:val="20"/>
      <w:szCs w:val="20"/>
    </w:rPr>
  </w:style>
  <w:style w:type="character" w:customStyle="1" w:styleId="NotedebasdepageCar">
    <w:name w:val="Note de bas de page Car"/>
    <w:basedOn w:val="Policepardfaut"/>
    <w:link w:val="Notedebasdepage"/>
    <w:uiPriority w:val="99"/>
    <w:semiHidden/>
    <w:rsid w:val="00B776F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776F4"/>
    <w:rPr>
      <w:vertAlign w:val="superscript"/>
    </w:rPr>
  </w:style>
  <w:style w:type="character" w:styleId="Lienhypertextesuivivisit">
    <w:name w:val="FollowedHyperlink"/>
    <w:basedOn w:val="Policepardfaut"/>
    <w:uiPriority w:val="99"/>
    <w:semiHidden/>
    <w:unhideWhenUsed/>
    <w:rsid w:val="00B77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760">
      <w:bodyDiv w:val="1"/>
      <w:marLeft w:val="0"/>
      <w:marRight w:val="0"/>
      <w:marTop w:val="0"/>
      <w:marBottom w:val="0"/>
      <w:divBdr>
        <w:top w:val="none" w:sz="0" w:space="0" w:color="auto"/>
        <w:left w:val="none" w:sz="0" w:space="0" w:color="auto"/>
        <w:bottom w:val="none" w:sz="0" w:space="0" w:color="auto"/>
        <w:right w:val="none" w:sz="0" w:space="0" w:color="auto"/>
      </w:divBdr>
    </w:div>
    <w:div w:id="13699633">
      <w:bodyDiv w:val="1"/>
      <w:marLeft w:val="0"/>
      <w:marRight w:val="0"/>
      <w:marTop w:val="0"/>
      <w:marBottom w:val="0"/>
      <w:divBdr>
        <w:top w:val="none" w:sz="0" w:space="0" w:color="auto"/>
        <w:left w:val="none" w:sz="0" w:space="0" w:color="auto"/>
        <w:bottom w:val="none" w:sz="0" w:space="0" w:color="auto"/>
        <w:right w:val="none" w:sz="0" w:space="0" w:color="auto"/>
      </w:divBdr>
    </w:div>
    <w:div w:id="160779154">
      <w:bodyDiv w:val="1"/>
      <w:marLeft w:val="0"/>
      <w:marRight w:val="0"/>
      <w:marTop w:val="0"/>
      <w:marBottom w:val="0"/>
      <w:divBdr>
        <w:top w:val="none" w:sz="0" w:space="0" w:color="auto"/>
        <w:left w:val="none" w:sz="0" w:space="0" w:color="auto"/>
        <w:bottom w:val="none" w:sz="0" w:space="0" w:color="auto"/>
        <w:right w:val="none" w:sz="0" w:space="0" w:color="auto"/>
      </w:divBdr>
    </w:div>
    <w:div w:id="162747026">
      <w:bodyDiv w:val="1"/>
      <w:marLeft w:val="0"/>
      <w:marRight w:val="0"/>
      <w:marTop w:val="0"/>
      <w:marBottom w:val="0"/>
      <w:divBdr>
        <w:top w:val="none" w:sz="0" w:space="0" w:color="auto"/>
        <w:left w:val="none" w:sz="0" w:space="0" w:color="auto"/>
        <w:bottom w:val="none" w:sz="0" w:space="0" w:color="auto"/>
        <w:right w:val="none" w:sz="0" w:space="0" w:color="auto"/>
      </w:divBdr>
    </w:div>
    <w:div w:id="240262569">
      <w:bodyDiv w:val="1"/>
      <w:marLeft w:val="0"/>
      <w:marRight w:val="0"/>
      <w:marTop w:val="0"/>
      <w:marBottom w:val="0"/>
      <w:divBdr>
        <w:top w:val="none" w:sz="0" w:space="0" w:color="auto"/>
        <w:left w:val="none" w:sz="0" w:space="0" w:color="auto"/>
        <w:bottom w:val="none" w:sz="0" w:space="0" w:color="auto"/>
        <w:right w:val="none" w:sz="0" w:space="0" w:color="auto"/>
      </w:divBdr>
    </w:div>
    <w:div w:id="347104137">
      <w:bodyDiv w:val="1"/>
      <w:marLeft w:val="0"/>
      <w:marRight w:val="0"/>
      <w:marTop w:val="0"/>
      <w:marBottom w:val="0"/>
      <w:divBdr>
        <w:top w:val="none" w:sz="0" w:space="0" w:color="auto"/>
        <w:left w:val="none" w:sz="0" w:space="0" w:color="auto"/>
        <w:bottom w:val="none" w:sz="0" w:space="0" w:color="auto"/>
        <w:right w:val="none" w:sz="0" w:space="0" w:color="auto"/>
      </w:divBdr>
    </w:div>
    <w:div w:id="387803229">
      <w:bodyDiv w:val="1"/>
      <w:marLeft w:val="0"/>
      <w:marRight w:val="0"/>
      <w:marTop w:val="0"/>
      <w:marBottom w:val="0"/>
      <w:divBdr>
        <w:top w:val="none" w:sz="0" w:space="0" w:color="auto"/>
        <w:left w:val="none" w:sz="0" w:space="0" w:color="auto"/>
        <w:bottom w:val="none" w:sz="0" w:space="0" w:color="auto"/>
        <w:right w:val="none" w:sz="0" w:space="0" w:color="auto"/>
      </w:divBdr>
    </w:div>
    <w:div w:id="473447332">
      <w:bodyDiv w:val="1"/>
      <w:marLeft w:val="0"/>
      <w:marRight w:val="0"/>
      <w:marTop w:val="0"/>
      <w:marBottom w:val="0"/>
      <w:divBdr>
        <w:top w:val="none" w:sz="0" w:space="0" w:color="auto"/>
        <w:left w:val="none" w:sz="0" w:space="0" w:color="auto"/>
        <w:bottom w:val="none" w:sz="0" w:space="0" w:color="auto"/>
        <w:right w:val="none" w:sz="0" w:space="0" w:color="auto"/>
      </w:divBdr>
    </w:div>
    <w:div w:id="487136103">
      <w:bodyDiv w:val="1"/>
      <w:marLeft w:val="0"/>
      <w:marRight w:val="0"/>
      <w:marTop w:val="0"/>
      <w:marBottom w:val="0"/>
      <w:divBdr>
        <w:top w:val="none" w:sz="0" w:space="0" w:color="auto"/>
        <w:left w:val="none" w:sz="0" w:space="0" w:color="auto"/>
        <w:bottom w:val="none" w:sz="0" w:space="0" w:color="auto"/>
        <w:right w:val="none" w:sz="0" w:space="0" w:color="auto"/>
      </w:divBdr>
    </w:div>
    <w:div w:id="632759779">
      <w:bodyDiv w:val="1"/>
      <w:marLeft w:val="0"/>
      <w:marRight w:val="0"/>
      <w:marTop w:val="0"/>
      <w:marBottom w:val="0"/>
      <w:divBdr>
        <w:top w:val="none" w:sz="0" w:space="0" w:color="auto"/>
        <w:left w:val="none" w:sz="0" w:space="0" w:color="auto"/>
        <w:bottom w:val="none" w:sz="0" w:space="0" w:color="auto"/>
        <w:right w:val="none" w:sz="0" w:space="0" w:color="auto"/>
      </w:divBdr>
    </w:div>
    <w:div w:id="651251260">
      <w:bodyDiv w:val="1"/>
      <w:marLeft w:val="0"/>
      <w:marRight w:val="0"/>
      <w:marTop w:val="0"/>
      <w:marBottom w:val="0"/>
      <w:divBdr>
        <w:top w:val="none" w:sz="0" w:space="0" w:color="auto"/>
        <w:left w:val="none" w:sz="0" w:space="0" w:color="auto"/>
        <w:bottom w:val="none" w:sz="0" w:space="0" w:color="auto"/>
        <w:right w:val="none" w:sz="0" w:space="0" w:color="auto"/>
      </w:divBdr>
    </w:div>
    <w:div w:id="748116800">
      <w:bodyDiv w:val="1"/>
      <w:marLeft w:val="0"/>
      <w:marRight w:val="0"/>
      <w:marTop w:val="0"/>
      <w:marBottom w:val="0"/>
      <w:divBdr>
        <w:top w:val="none" w:sz="0" w:space="0" w:color="auto"/>
        <w:left w:val="none" w:sz="0" w:space="0" w:color="auto"/>
        <w:bottom w:val="none" w:sz="0" w:space="0" w:color="auto"/>
        <w:right w:val="none" w:sz="0" w:space="0" w:color="auto"/>
      </w:divBdr>
    </w:div>
    <w:div w:id="761727965">
      <w:bodyDiv w:val="1"/>
      <w:marLeft w:val="0"/>
      <w:marRight w:val="0"/>
      <w:marTop w:val="0"/>
      <w:marBottom w:val="0"/>
      <w:divBdr>
        <w:top w:val="none" w:sz="0" w:space="0" w:color="auto"/>
        <w:left w:val="none" w:sz="0" w:space="0" w:color="auto"/>
        <w:bottom w:val="none" w:sz="0" w:space="0" w:color="auto"/>
        <w:right w:val="none" w:sz="0" w:space="0" w:color="auto"/>
      </w:divBdr>
    </w:div>
    <w:div w:id="779032567">
      <w:bodyDiv w:val="1"/>
      <w:marLeft w:val="0"/>
      <w:marRight w:val="0"/>
      <w:marTop w:val="0"/>
      <w:marBottom w:val="0"/>
      <w:divBdr>
        <w:top w:val="none" w:sz="0" w:space="0" w:color="auto"/>
        <w:left w:val="none" w:sz="0" w:space="0" w:color="auto"/>
        <w:bottom w:val="none" w:sz="0" w:space="0" w:color="auto"/>
        <w:right w:val="none" w:sz="0" w:space="0" w:color="auto"/>
      </w:divBdr>
    </w:div>
    <w:div w:id="851451289">
      <w:bodyDiv w:val="1"/>
      <w:marLeft w:val="0"/>
      <w:marRight w:val="0"/>
      <w:marTop w:val="0"/>
      <w:marBottom w:val="0"/>
      <w:divBdr>
        <w:top w:val="none" w:sz="0" w:space="0" w:color="auto"/>
        <w:left w:val="none" w:sz="0" w:space="0" w:color="auto"/>
        <w:bottom w:val="none" w:sz="0" w:space="0" w:color="auto"/>
        <w:right w:val="none" w:sz="0" w:space="0" w:color="auto"/>
      </w:divBdr>
    </w:div>
    <w:div w:id="913394425">
      <w:bodyDiv w:val="1"/>
      <w:marLeft w:val="0"/>
      <w:marRight w:val="0"/>
      <w:marTop w:val="0"/>
      <w:marBottom w:val="0"/>
      <w:divBdr>
        <w:top w:val="none" w:sz="0" w:space="0" w:color="auto"/>
        <w:left w:val="none" w:sz="0" w:space="0" w:color="auto"/>
        <w:bottom w:val="none" w:sz="0" w:space="0" w:color="auto"/>
        <w:right w:val="none" w:sz="0" w:space="0" w:color="auto"/>
      </w:divBdr>
      <w:divsChild>
        <w:div w:id="1237282501">
          <w:marLeft w:val="0"/>
          <w:marRight w:val="0"/>
          <w:marTop w:val="0"/>
          <w:marBottom w:val="0"/>
          <w:divBdr>
            <w:top w:val="none" w:sz="0" w:space="0" w:color="auto"/>
            <w:left w:val="none" w:sz="0" w:space="0" w:color="auto"/>
            <w:bottom w:val="none" w:sz="0" w:space="0" w:color="auto"/>
            <w:right w:val="none" w:sz="0" w:space="0" w:color="auto"/>
          </w:divBdr>
        </w:div>
        <w:div w:id="543560687">
          <w:marLeft w:val="0"/>
          <w:marRight w:val="0"/>
          <w:marTop w:val="0"/>
          <w:marBottom w:val="0"/>
          <w:divBdr>
            <w:top w:val="none" w:sz="0" w:space="0" w:color="auto"/>
            <w:left w:val="none" w:sz="0" w:space="0" w:color="auto"/>
            <w:bottom w:val="none" w:sz="0" w:space="0" w:color="auto"/>
            <w:right w:val="none" w:sz="0" w:space="0" w:color="auto"/>
          </w:divBdr>
        </w:div>
      </w:divsChild>
    </w:div>
    <w:div w:id="960501112">
      <w:bodyDiv w:val="1"/>
      <w:marLeft w:val="0"/>
      <w:marRight w:val="0"/>
      <w:marTop w:val="0"/>
      <w:marBottom w:val="0"/>
      <w:divBdr>
        <w:top w:val="none" w:sz="0" w:space="0" w:color="auto"/>
        <w:left w:val="none" w:sz="0" w:space="0" w:color="auto"/>
        <w:bottom w:val="none" w:sz="0" w:space="0" w:color="auto"/>
        <w:right w:val="none" w:sz="0" w:space="0" w:color="auto"/>
      </w:divBdr>
    </w:div>
    <w:div w:id="1033845385">
      <w:bodyDiv w:val="1"/>
      <w:marLeft w:val="0"/>
      <w:marRight w:val="0"/>
      <w:marTop w:val="0"/>
      <w:marBottom w:val="0"/>
      <w:divBdr>
        <w:top w:val="none" w:sz="0" w:space="0" w:color="auto"/>
        <w:left w:val="none" w:sz="0" w:space="0" w:color="auto"/>
        <w:bottom w:val="none" w:sz="0" w:space="0" w:color="auto"/>
        <w:right w:val="none" w:sz="0" w:space="0" w:color="auto"/>
      </w:divBdr>
    </w:div>
    <w:div w:id="1198543695">
      <w:bodyDiv w:val="1"/>
      <w:marLeft w:val="0"/>
      <w:marRight w:val="0"/>
      <w:marTop w:val="0"/>
      <w:marBottom w:val="0"/>
      <w:divBdr>
        <w:top w:val="none" w:sz="0" w:space="0" w:color="auto"/>
        <w:left w:val="none" w:sz="0" w:space="0" w:color="auto"/>
        <w:bottom w:val="none" w:sz="0" w:space="0" w:color="auto"/>
        <w:right w:val="none" w:sz="0" w:space="0" w:color="auto"/>
      </w:divBdr>
    </w:div>
    <w:div w:id="1208906480">
      <w:bodyDiv w:val="1"/>
      <w:marLeft w:val="0"/>
      <w:marRight w:val="0"/>
      <w:marTop w:val="0"/>
      <w:marBottom w:val="0"/>
      <w:divBdr>
        <w:top w:val="none" w:sz="0" w:space="0" w:color="auto"/>
        <w:left w:val="none" w:sz="0" w:space="0" w:color="auto"/>
        <w:bottom w:val="none" w:sz="0" w:space="0" w:color="auto"/>
        <w:right w:val="none" w:sz="0" w:space="0" w:color="auto"/>
      </w:divBdr>
    </w:div>
    <w:div w:id="1227912522">
      <w:bodyDiv w:val="1"/>
      <w:marLeft w:val="0"/>
      <w:marRight w:val="0"/>
      <w:marTop w:val="0"/>
      <w:marBottom w:val="0"/>
      <w:divBdr>
        <w:top w:val="none" w:sz="0" w:space="0" w:color="auto"/>
        <w:left w:val="none" w:sz="0" w:space="0" w:color="auto"/>
        <w:bottom w:val="none" w:sz="0" w:space="0" w:color="auto"/>
        <w:right w:val="none" w:sz="0" w:space="0" w:color="auto"/>
      </w:divBdr>
    </w:div>
    <w:div w:id="1283729198">
      <w:bodyDiv w:val="1"/>
      <w:marLeft w:val="0"/>
      <w:marRight w:val="0"/>
      <w:marTop w:val="0"/>
      <w:marBottom w:val="0"/>
      <w:divBdr>
        <w:top w:val="none" w:sz="0" w:space="0" w:color="auto"/>
        <w:left w:val="none" w:sz="0" w:space="0" w:color="auto"/>
        <w:bottom w:val="none" w:sz="0" w:space="0" w:color="auto"/>
        <w:right w:val="none" w:sz="0" w:space="0" w:color="auto"/>
      </w:divBdr>
    </w:div>
    <w:div w:id="1296914811">
      <w:bodyDiv w:val="1"/>
      <w:marLeft w:val="0"/>
      <w:marRight w:val="0"/>
      <w:marTop w:val="0"/>
      <w:marBottom w:val="0"/>
      <w:divBdr>
        <w:top w:val="none" w:sz="0" w:space="0" w:color="auto"/>
        <w:left w:val="none" w:sz="0" w:space="0" w:color="auto"/>
        <w:bottom w:val="none" w:sz="0" w:space="0" w:color="auto"/>
        <w:right w:val="none" w:sz="0" w:space="0" w:color="auto"/>
      </w:divBdr>
    </w:div>
    <w:div w:id="1317688166">
      <w:bodyDiv w:val="1"/>
      <w:marLeft w:val="0"/>
      <w:marRight w:val="0"/>
      <w:marTop w:val="0"/>
      <w:marBottom w:val="0"/>
      <w:divBdr>
        <w:top w:val="none" w:sz="0" w:space="0" w:color="auto"/>
        <w:left w:val="none" w:sz="0" w:space="0" w:color="auto"/>
        <w:bottom w:val="none" w:sz="0" w:space="0" w:color="auto"/>
        <w:right w:val="none" w:sz="0" w:space="0" w:color="auto"/>
      </w:divBdr>
    </w:div>
    <w:div w:id="1332175465">
      <w:bodyDiv w:val="1"/>
      <w:marLeft w:val="0"/>
      <w:marRight w:val="0"/>
      <w:marTop w:val="0"/>
      <w:marBottom w:val="0"/>
      <w:divBdr>
        <w:top w:val="none" w:sz="0" w:space="0" w:color="auto"/>
        <w:left w:val="none" w:sz="0" w:space="0" w:color="auto"/>
        <w:bottom w:val="none" w:sz="0" w:space="0" w:color="auto"/>
        <w:right w:val="none" w:sz="0" w:space="0" w:color="auto"/>
      </w:divBdr>
    </w:div>
    <w:div w:id="1336614505">
      <w:bodyDiv w:val="1"/>
      <w:marLeft w:val="0"/>
      <w:marRight w:val="0"/>
      <w:marTop w:val="0"/>
      <w:marBottom w:val="0"/>
      <w:divBdr>
        <w:top w:val="none" w:sz="0" w:space="0" w:color="auto"/>
        <w:left w:val="none" w:sz="0" w:space="0" w:color="auto"/>
        <w:bottom w:val="none" w:sz="0" w:space="0" w:color="auto"/>
        <w:right w:val="none" w:sz="0" w:space="0" w:color="auto"/>
      </w:divBdr>
    </w:div>
    <w:div w:id="1351760527">
      <w:bodyDiv w:val="1"/>
      <w:marLeft w:val="0"/>
      <w:marRight w:val="0"/>
      <w:marTop w:val="0"/>
      <w:marBottom w:val="0"/>
      <w:divBdr>
        <w:top w:val="none" w:sz="0" w:space="0" w:color="auto"/>
        <w:left w:val="none" w:sz="0" w:space="0" w:color="auto"/>
        <w:bottom w:val="none" w:sz="0" w:space="0" w:color="auto"/>
        <w:right w:val="none" w:sz="0" w:space="0" w:color="auto"/>
      </w:divBdr>
    </w:div>
    <w:div w:id="1360618289">
      <w:bodyDiv w:val="1"/>
      <w:marLeft w:val="0"/>
      <w:marRight w:val="0"/>
      <w:marTop w:val="0"/>
      <w:marBottom w:val="0"/>
      <w:divBdr>
        <w:top w:val="none" w:sz="0" w:space="0" w:color="auto"/>
        <w:left w:val="none" w:sz="0" w:space="0" w:color="auto"/>
        <w:bottom w:val="none" w:sz="0" w:space="0" w:color="auto"/>
        <w:right w:val="none" w:sz="0" w:space="0" w:color="auto"/>
      </w:divBdr>
    </w:div>
    <w:div w:id="1404985933">
      <w:bodyDiv w:val="1"/>
      <w:marLeft w:val="0"/>
      <w:marRight w:val="0"/>
      <w:marTop w:val="0"/>
      <w:marBottom w:val="0"/>
      <w:divBdr>
        <w:top w:val="none" w:sz="0" w:space="0" w:color="auto"/>
        <w:left w:val="none" w:sz="0" w:space="0" w:color="auto"/>
        <w:bottom w:val="none" w:sz="0" w:space="0" w:color="auto"/>
        <w:right w:val="none" w:sz="0" w:space="0" w:color="auto"/>
      </w:divBdr>
    </w:div>
    <w:div w:id="1510177291">
      <w:bodyDiv w:val="1"/>
      <w:marLeft w:val="0"/>
      <w:marRight w:val="0"/>
      <w:marTop w:val="0"/>
      <w:marBottom w:val="0"/>
      <w:divBdr>
        <w:top w:val="none" w:sz="0" w:space="0" w:color="auto"/>
        <w:left w:val="none" w:sz="0" w:space="0" w:color="auto"/>
        <w:bottom w:val="none" w:sz="0" w:space="0" w:color="auto"/>
        <w:right w:val="none" w:sz="0" w:space="0" w:color="auto"/>
      </w:divBdr>
    </w:div>
    <w:div w:id="1703507852">
      <w:bodyDiv w:val="1"/>
      <w:marLeft w:val="0"/>
      <w:marRight w:val="0"/>
      <w:marTop w:val="0"/>
      <w:marBottom w:val="0"/>
      <w:divBdr>
        <w:top w:val="none" w:sz="0" w:space="0" w:color="auto"/>
        <w:left w:val="none" w:sz="0" w:space="0" w:color="auto"/>
        <w:bottom w:val="none" w:sz="0" w:space="0" w:color="auto"/>
        <w:right w:val="none" w:sz="0" w:space="0" w:color="auto"/>
      </w:divBdr>
    </w:div>
    <w:div w:id="1795824663">
      <w:bodyDiv w:val="1"/>
      <w:marLeft w:val="0"/>
      <w:marRight w:val="0"/>
      <w:marTop w:val="0"/>
      <w:marBottom w:val="0"/>
      <w:divBdr>
        <w:top w:val="none" w:sz="0" w:space="0" w:color="auto"/>
        <w:left w:val="none" w:sz="0" w:space="0" w:color="auto"/>
        <w:bottom w:val="none" w:sz="0" w:space="0" w:color="auto"/>
        <w:right w:val="none" w:sz="0" w:space="0" w:color="auto"/>
      </w:divBdr>
    </w:div>
    <w:div w:id="1982734407">
      <w:bodyDiv w:val="1"/>
      <w:marLeft w:val="0"/>
      <w:marRight w:val="0"/>
      <w:marTop w:val="0"/>
      <w:marBottom w:val="0"/>
      <w:divBdr>
        <w:top w:val="none" w:sz="0" w:space="0" w:color="auto"/>
        <w:left w:val="none" w:sz="0" w:space="0" w:color="auto"/>
        <w:bottom w:val="none" w:sz="0" w:space="0" w:color="auto"/>
        <w:right w:val="none" w:sz="0" w:space="0" w:color="auto"/>
      </w:divBdr>
    </w:div>
    <w:div w:id="2102598597">
      <w:bodyDiv w:val="1"/>
      <w:marLeft w:val="0"/>
      <w:marRight w:val="0"/>
      <w:marTop w:val="0"/>
      <w:marBottom w:val="0"/>
      <w:divBdr>
        <w:top w:val="none" w:sz="0" w:space="0" w:color="auto"/>
        <w:left w:val="none" w:sz="0" w:space="0" w:color="auto"/>
        <w:bottom w:val="none" w:sz="0" w:space="0" w:color="auto"/>
        <w:right w:val="none" w:sz="0" w:space="0" w:color="auto"/>
      </w:divBdr>
    </w:div>
    <w:div w:id="21300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18987</Words>
  <Characters>104430</Characters>
  <Application>Microsoft Office Word</Application>
  <DocSecurity>0</DocSecurity>
  <Lines>870</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derosa</cp:lastModifiedBy>
  <cp:revision>3</cp:revision>
  <cp:lastPrinted>2020-12-14T09:03:00Z</cp:lastPrinted>
  <dcterms:created xsi:type="dcterms:W3CDTF">2021-01-26T19:06:00Z</dcterms:created>
  <dcterms:modified xsi:type="dcterms:W3CDTF">2021-02-19T08:24:00Z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id="L1SGsIBm"/&gt;&lt;style id="http://www.zotero.org/styles/chicago-author-date" locale="fr-FR"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