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B1BEC" w14:textId="0C92A755" w:rsidR="00E5061B" w:rsidRDefault="007B2659" w:rsidP="005B777B">
      <w:pPr>
        <w:pStyle w:val="NoSpacing"/>
      </w:pPr>
      <w:r>
        <w:t>SUPPLEMENTARY FIGURES</w:t>
      </w:r>
    </w:p>
    <w:p w14:paraId="712A0F83" w14:textId="77777777" w:rsidR="00AE2BE5" w:rsidRDefault="00AE2BE5" w:rsidP="005B777B">
      <w:pPr>
        <w:pStyle w:val="NoSpacing"/>
      </w:pPr>
    </w:p>
    <w:p w14:paraId="711B255E" w14:textId="5B437DD4" w:rsidR="001F403D" w:rsidRPr="00E5061B" w:rsidRDefault="00DB215B" w:rsidP="00E5061B">
      <w:pPr>
        <w:spacing w:line="480" w:lineRule="auto"/>
        <w:rPr>
          <w:rFonts w:ascii="Times New Roman" w:eastAsia="Times New Roman" w:hAnsi="Times New Roman" w:cs="Times New Roman"/>
          <w:b/>
          <w:sz w:val="24"/>
          <w:szCs w:val="24"/>
          <w:lang w:val="en-US"/>
        </w:rPr>
      </w:pPr>
      <w:r>
        <w:rPr>
          <w:noProof/>
        </w:rPr>
        <w:drawing>
          <wp:inline distT="0" distB="0" distL="0" distR="0" wp14:anchorId="473F235A" wp14:editId="22D7DF83">
            <wp:extent cx="4549140" cy="623529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256" t="8441" r="40513" b="8148"/>
                    <a:stretch/>
                  </pic:blipFill>
                  <pic:spPr bwMode="auto">
                    <a:xfrm>
                      <a:off x="0" y="0"/>
                      <a:ext cx="4638615" cy="6357939"/>
                    </a:xfrm>
                    <a:prstGeom prst="rect">
                      <a:avLst/>
                    </a:prstGeom>
                    <a:ln>
                      <a:noFill/>
                    </a:ln>
                    <a:extLst>
                      <a:ext uri="{53640926-AAD7-44D8-BBD7-CCE9431645EC}">
                        <a14:shadowObscured xmlns:a14="http://schemas.microsoft.com/office/drawing/2010/main"/>
                      </a:ext>
                    </a:extLst>
                  </pic:spPr>
                </pic:pic>
              </a:graphicData>
            </a:graphic>
          </wp:inline>
        </w:drawing>
      </w:r>
    </w:p>
    <w:p w14:paraId="397571EC" w14:textId="77777777" w:rsidR="00E5061B" w:rsidRPr="00E5061B" w:rsidRDefault="00E5061B" w:rsidP="00E5061B">
      <w:pPr>
        <w:spacing w:line="240" w:lineRule="auto"/>
        <w:rPr>
          <w:rFonts w:ascii="Times New Roman" w:eastAsia="Times New Roman" w:hAnsi="Times New Roman" w:cs="Times New Roman"/>
          <w:sz w:val="24"/>
          <w:szCs w:val="24"/>
          <w:lang w:val="en-US"/>
        </w:rPr>
      </w:pPr>
    </w:p>
    <w:p w14:paraId="69A03E6D" w14:textId="3BE03B50" w:rsidR="00E5061B" w:rsidRPr="00E5061B" w:rsidRDefault="00DB215B" w:rsidP="001235F9">
      <w:pPr>
        <w:spacing w:line="240" w:lineRule="auto"/>
        <w:rPr>
          <w:rFonts w:ascii="Times New Roman" w:eastAsia="Times New Roman" w:hAnsi="Times New Roman" w:cs="Times New Roman"/>
          <w:sz w:val="24"/>
          <w:szCs w:val="24"/>
          <w:lang w:val="en-US"/>
        </w:rPr>
      </w:pPr>
      <w:r>
        <w:rPr>
          <w:rFonts w:eastAsia="Times New Roman"/>
          <w:b/>
          <w:bCs/>
          <w:color w:val="000000"/>
          <w:lang w:val="en-US"/>
        </w:rPr>
        <w:t xml:space="preserve">Supplementary </w:t>
      </w:r>
      <w:r w:rsidR="00E5061B" w:rsidRPr="00E5061B">
        <w:rPr>
          <w:rFonts w:eastAsia="Times New Roman"/>
          <w:b/>
          <w:bCs/>
          <w:color w:val="000000"/>
          <w:lang w:val="en-US"/>
        </w:rPr>
        <w:t>Figure S1. RNA Sequencing Analysis on TRKA Double Mutant Tumors</w:t>
      </w:r>
    </w:p>
    <w:p w14:paraId="08631CF2" w14:textId="1097AC61" w:rsidR="00DB215B" w:rsidRPr="00F80A42" w:rsidRDefault="00E5061B" w:rsidP="001235F9">
      <w:pPr>
        <w:spacing w:line="240" w:lineRule="auto"/>
        <w:rPr>
          <w:rFonts w:eastAsia="Times New Roman"/>
          <w:color w:val="000000"/>
          <w:lang w:val="en-US"/>
        </w:rPr>
      </w:pPr>
      <w:r w:rsidRPr="00E5061B">
        <w:rPr>
          <w:rFonts w:eastAsia="Times New Roman"/>
          <w:color w:val="000000"/>
          <w:lang w:val="en-US"/>
        </w:rPr>
        <w:t xml:space="preserve">Standard RNA sequencing was conducted by GENEWIZ, LLC (South Plainfield, NJ) on RNA samples extracted from the PDX collected from the Patient 2-derived selitrectinib-resistant tumor (harboring a </w:t>
      </w:r>
      <w:r w:rsidRPr="00E5061B">
        <w:rPr>
          <w:rFonts w:eastAsia="Times New Roman"/>
          <w:i/>
          <w:color w:val="000000"/>
          <w:lang w:val="en-US"/>
        </w:rPr>
        <w:t>LMNA-NTRK1</w:t>
      </w:r>
      <w:r w:rsidRPr="00E5061B">
        <w:rPr>
          <w:rFonts w:eastAsia="Times New Roman"/>
          <w:color w:val="000000"/>
          <w:lang w:val="en-US"/>
        </w:rPr>
        <w:t xml:space="preserve">, TRKA G595R/G667A CRC); A) and from the </w:t>
      </w:r>
      <w:r w:rsidRPr="00E5061B">
        <w:rPr>
          <w:rFonts w:eastAsia="Times New Roman"/>
          <w:i/>
          <w:color w:val="000000"/>
          <w:lang w:val="en-US"/>
        </w:rPr>
        <w:t>LMNA-NTRK1</w:t>
      </w:r>
      <w:r w:rsidRPr="00E5061B">
        <w:rPr>
          <w:rFonts w:eastAsia="Times New Roman"/>
          <w:color w:val="000000"/>
          <w:lang w:val="en-US"/>
        </w:rPr>
        <w:t xml:space="preserve">, TRKA G595R/G667C CRC repotrectinib-resistant CRC cell line established in our laboratory (B). IGV schematic showing aligned paired-end RNA sequencing reads of Patient 2-derived PDX and CRC cell line spanning the loci of </w:t>
      </w:r>
      <w:r w:rsidRPr="00064492">
        <w:rPr>
          <w:rFonts w:eastAsia="Times New Roman"/>
          <w:i/>
          <w:color w:val="000000"/>
          <w:lang w:val="en-US"/>
        </w:rPr>
        <w:t>NTRK1</w:t>
      </w:r>
      <w:r w:rsidRPr="00E5061B">
        <w:rPr>
          <w:rFonts w:eastAsia="Times New Roman"/>
          <w:color w:val="000000"/>
          <w:lang w:val="en-US"/>
        </w:rPr>
        <w:t xml:space="preserve"> exons 14 and 15 containing both variants, conferring evidence for the in-cis configuration of both G595R/G667A (top) and G595R/G667C (bottom) mutations.</w:t>
      </w:r>
    </w:p>
    <w:p w14:paraId="4D6A0042" w14:textId="6A7A98BC" w:rsidR="005A5C20" w:rsidRPr="0098535A" w:rsidRDefault="0098535A" w:rsidP="00E5061B">
      <w:pPr>
        <w:spacing w:line="480" w:lineRule="auto"/>
        <w:rPr>
          <w:rFonts w:ascii="Times New Roman" w:eastAsia="Times New Roman" w:hAnsi="Times New Roman" w:cs="Times New Roman"/>
          <w:sz w:val="24"/>
          <w:szCs w:val="24"/>
          <w:lang w:val="en-US"/>
        </w:rPr>
      </w:pPr>
      <w:r>
        <w:rPr>
          <w:noProof/>
        </w:rPr>
        <w:lastRenderedPageBreak/>
        <w:drawing>
          <wp:inline distT="0" distB="0" distL="0" distR="0" wp14:anchorId="7C42574F" wp14:editId="4B18D600">
            <wp:extent cx="5830993" cy="221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28" t="22336" r="22050" b="28433"/>
                    <a:stretch/>
                  </pic:blipFill>
                  <pic:spPr bwMode="auto">
                    <a:xfrm>
                      <a:off x="0" y="0"/>
                      <a:ext cx="5839282" cy="2220572"/>
                    </a:xfrm>
                    <a:prstGeom prst="rect">
                      <a:avLst/>
                    </a:prstGeom>
                    <a:ln>
                      <a:noFill/>
                    </a:ln>
                    <a:extLst>
                      <a:ext uri="{53640926-AAD7-44D8-BBD7-CCE9431645EC}">
                        <a14:shadowObscured xmlns:a14="http://schemas.microsoft.com/office/drawing/2010/main"/>
                      </a:ext>
                    </a:extLst>
                  </pic:spPr>
                </pic:pic>
              </a:graphicData>
            </a:graphic>
          </wp:inline>
        </w:drawing>
      </w:r>
    </w:p>
    <w:p w14:paraId="5C1E7373" w14:textId="39423461" w:rsidR="00E5061B" w:rsidRPr="00E5061B" w:rsidRDefault="001B4071" w:rsidP="001235F9">
      <w:pPr>
        <w:spacing w:line="240" w:lineRule="auto"/>
        <w:rPr>
          <w:rFonts w:ascii="Times New Roman" w:eastAsia="Times New Roman" w:hAnsi="Times New Roman" w:cs="Times New Roman"/>
          <w:sz w:val="24"/>
          <w:szCs w:val="24"/>
          <w:lang w:val="en-US"/>
        </w:rPr>
      </w:pPr>
      <w:r>
        <w:rPr>
          <w:rFonts w:eastAsia="Times New Roman"/>
          <w:b/>
          <w:bCs/>
          <w:color w:val="000000"/>
          <w:lang w:val="en-US"/>
        </w:rPr>
        <w:t xml:space="preserve">Supplementary </w:t>
      </w:r>
      <w:r w:rsidR="00E5061B" w:rsidRPr="00E5061B">
        <w:rPr>
          <w:rFonts w:eastAsia="Times New Roman"/>
          <w:b/>
          <w:bCs/>
          <w:color w:val="000000"/>
          <w:lang w:val="en-US"/>
        </w:rPr>
        <w:t xml:space="preserve">Figure S2. TRKA G667 Mutations </w:t>
      </w:r>
      <w:r>
        <w:rPr>
          <w:rFonts w:eastAsia="Times New Roman"/>
          <w:b/>
          <w:bCs/>
          <w:color w:val="000000"/>
          <w:lang w:val="en-US"/>
        </w:rPr>
        <w:t>Confer Primary</w:t>
      </w:r>
      <w:r w:rsidR="00E5061B" w:rsidRPr="00E5061B">
        <w:rPr>
          <w:rFonts w:eastAsia="Times New Roman"/>
          <w:b/>
          <w:bCs/>
          <w:color w:val="000000"/>
          <w:lang w:val="en-US"/>
        </w:rPr>
        <w:t xml:space="preserve"> Resistance to Selitrectinib in Patients</w:t>
      </w:r>
    </w:p>
    <w:p w14:paraId="173FF6D8" w14:textId="4DEA629B" w:rsidR="00E5061B" w:rsidRPr="00E5061B" w:rsidRDefault="00E5061B" w:rsidP="001235F9">
      <w:pPr>
        <w:spacing w:line="240" w:lineRule="auto"/>
        <w:rPr>
          <w:rFonts w:ascii="Times New Roman" w:eastAsia="Times New Roman" w:hAnsi="Times New Roman" w:cs="Times New Roman"/>
          <w:sz w:val="24"/>
          <w:szCs w:val="24"/>
          <w:lang w:val="en-US"/>
        </w:rPr>
      </w:pPr>
      <w:r w:rsidRPr="00E5061B">
        <w:rPr>
          <w:rFonts w:eastAsia="Times New Roman"/>
          <w:color w:val="000000"/>
          <w:lang w:val="en-US"/>
        </w:rPr>
        <w:t xml:space="preserve">Schematic showing the emergence of TRKA G667 mutations at progression on larotrectinib in a </w:t>
      </w:r>
      <w:r w:rsidRPr="00E5061B">
        <w:rPr>
          <w:rFonts w:eastAsia="Times New Roman"/>
          <w:i/>
          <w:color w:val="000000"/>
          <w:lang w:val="en-US"/>
        </w:rPr>
        <w:t>TPR-NTRK1</w:t>
      </w:r>
      <w:r w:rsidRPr="00E5061B">
        <w:rPr>
          <w:rFonts w:eastAsia="Times New Roman"/>
          <w:color w:val="000000"/>
          <w:lang w:val="en-US"/>
        </w:rPr>
        <w:t xml:space="preserve"> lung cancer patient (Patient 4</w:t>
      </w:r>
      <w:r w:rsidR="008B1C6E">
        <w:rPr>
          <w:rFonts w:eastAsia="Times New Roman"/>
          <w:color w:val="000000"/>
          <w:lang w:val="en-US"/>
        </w:rPr>
        <w:t>, panel A</w:t>
      </w:r>
      <w:r w:rsidRPr="00E5061B">
        <w:rPr>
          <w:rFonts w:eastAsia="Times New Roman"/>
          <w:color w:val="000000"/>
          <w:lang w:val="en-US"/>
        </w:rPr>
        <w:t xml:space="preserve">) and a </w:t>
      </w:r>
      <w:r w:rsidRPr="00E5061B">
        <w:rPr>
          <w:rFonts w:eastAsia="Times New Roman"/>
          <w:i/>
          <w:color w:val="000000"/>
          <w:lang w:val="en-US"/>
        </w:rPr>
        <w:t>TPM3-NTRK1</w:t>
      </w:r>
      <w:r w:rsidRPr="00E5061B">
        <w:rPr>
          <w:rFonts w:eastAsia="Times New Roman"/>
          <w:color w:val="000000"/>
          <w:lang w:val="en-US"/>
        </w:rPr>
        <w:t xml:space="preserve"> thyroid cancer patient (Patient 5</w:t>
      </w:r>
      <w:r w:rsidR="008B1C6E">
        <w:rPr>
          <w:rFonts w:eastAsia="Times New Roman"/>
          <w:color w:val="000000"/>
          <w:lang w:val="en-US"/>
        </w:rPr>
        <w:t>, panel B</w:t>
      </w:r>
      <w:bookmarkStart w:id="0" w:name="_GoBack"/>
      <w:bookmarkEnd w:id="0"/>
      <w:r w:rsidRPr="00E5061B">
        <w:rPr>
          <w:rFonts w:eastAsia="Times New Roman"/>
          <w:color w:val="000000"/>
          <w:lang w:val="en-US"/>
        </w:rPr>
        <w:t>).</w:t>
      </w:r>
      <w:r w:rsidR="00DD1B32">
        <w:rPr>
          <w:rFonts w:eastAsia="Times New Roman"/>
          <w:color w:val="000000"/>
          <w:lang w:val="en-US"/>
        </w:rPr>
        <w:t xml:space="preserve"> The allele frequency of the multiple TRKA mutations identified in Patient 5 were the following: G595R= 0.001; F589L found in two subclones= 0.0182 and 0.0131;</w:t>
      </w:r>
      <w:r w:rsidRPr="00E5061B">
        <w:rPr>
          <w:rFonts w:eastAsia="Times New Roman"/>
          <w:color w:val="000000"/>
          <w:lang w:val="en-US"/>
        </w:rPr>
        <w:t xml:space="preserve"> </w:t>
      </w:r>
      <w:r w:rsidR="00DD1B32">
        <w:rPr>
          <w:rFonts w:eastAsia="Times New Roman"/>
          <w:color w:val="000000"/>
          <w:lang w:val="en-US"/>
        </w:rPr>
        <w:t xml:space="preserve">E548Q= 0.1694; G667C found in two subclones= 0.0744 and 0.0043; G667S= 0.0195. </w:t>
      </w:r>
      <w:r w:rsidRPr="00E5061B">
        <w:rPr>
          <w:rFonts w:eastAsia="Times New Roman"/>
          <w:color w:val="000000"/>
          <w:lang w:val="en-US"/>
        </w:rPr>
        <w:t>Both patients were then treated with selitrectini</w:t>
      </w:r>
      <w:r>
        <w:rPr>
          <w:rFonts w:eastAsia="Times New Roman"/>
          <w:color w:val="000000"/>
          <w:lang w:val="en-US"/>
        </w:rPr>
        <w:t>b</w:t>
      </w:r>
      <w:r w:rsidRPr="00E5061B">
        <w:rPr>
          <w:rFonts w:eastAsia="Times New Roman"/>
          <w:color w:val="000000"/>
          <w:lang w:val="en-US"/>
        </w:rPr>
        <w:t xml:space="preserve"> and experienced POD. PR= Partial Response.</w:t>
      </w:r>
    </w:p>
    <w:p w14:paraId="0BED7DCF" w14:textId="77777777" w:rsidR="00E5061B" w:rsidRPr="00E5061B" w:rsidRDefault="00E5061B" w:rsidP="00E5061B">
      <w:pPr>
        <w:spacing w:line="240" w:lineRule="auto"/>
        <w:rPr>
          <w:rFonts w:ascii="Times New Roman" w:eastAsia="Times New Roman" w:hAnsi="Times New Roman" w:cs="Times New Roman"/>
          <w:sz w:val="24"/>
          <w:szCs w:val="24"/>
          <w:lang w:val="en-US"/>
        </w:rPr>
      </w:pPr>
    </w:p>
    <w:p w14:paraId="3D9A49F5" w14:textId="77777777" w:rsidR="00DB215B" w:rsidRDefault="00DB215B" w:rsidP="00E5061B">
      <w:pPr>
        <w:spacing w:line="480" w:lineRule="auto"/>
        <w:rPr>
          <w:rFonts w:eastAsia="Times New Roman"/>
          <w:b/>
          <w:bCs/>
          <w:noProof/>
          <w:color w:val="000000"/>
          <w:lang w:val="en-US"/>
        </w:rPr>
      </w:pPr>
    </w:p>
    <w:p w14:paraId="138E5D0B" w14:textId="77777777" w:rsidR="00DB215B" w:rsidRDefault="00DB215B" w:rsidP="00E5061B">
      <w:pPr>
        <w:spacing w:line="480" w:lineRule="auto"/>
        <w:rPr>
          <w:rFonts w:eastAsia="Times New Roman"/>
          <w:b/>
          <w:bCs/>
          <w:noProof/>
          <w:color w:val="000000"/>
          <w:lang w:val="en-US"/>
        </w:rPr>
      </w:pPr>
    </w:p>
    <w:p w14:paraId="683D962A" w14:textId="315D340C" w:rsidR="00DB215B" w:rsidRDefault="0098535A" w:rsidP="00E5061B">
      <w:pPr>
        <w:spacing w:line="480" w:lineRule="auto"/>
        <w:rPr>
          <w:rFonts w:eastAsia="Times New Roman"/>
          <w:b/>
          <w:bCs/>
          <w:noProof/>
          <w:color w:val="000000"/>
          <w:lang w:val="en-US"/>
        </w:rPr>
      </w:pPr>
      <w:r>
        <w:rPr>
          <w:noProof/>
        </w:rPr>
        <w:lastRenderedPageBreak/>
        <w:drawing>
          <wp:inline distT="0" distB="0" distL="0" distR="0" wp14:anchorId="5FA28507" wp14:editId="34E2CAED">
            <wp:extent cx="5783580" cy="423347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88" t="14587" r="28590" b="11339"/>
                    <a:stretch/>
                  </pic:blipFill>
                  <pic:spPr bwMode="auto">
                    <a:xfrm>
                      <a:off x="0" y="0"/>
                      <a:ext cx="5807308" cy="4250844"/>
                    </a:xfrm>
                    <a:prstGeom prst="rect">
                      <a:avLst/>
                    </a:prstGeom>
                    <a:ln>
                      <a:noFill/>
                    </a:ln>
                    <a:extLst>
                      <a:ext uri="{53640926-AAD7-44D8-BBD7-CCE9431645EC}">
                        <a14:shadowObscured xmlns:a14="http://schemas.microsoft.com/office/drawing/2010/main"/>
                      </a:ext>
                    </a:extLst>
                  </pic:spPr>
                </pic:pic>
              </a:graphicData>
            </a:graphic>
          </wp:inline>
        </w:drawing>
      </w:r>
    </w:p>
    <w:p w14:paraId="6F69F3C8" w14:textId="77777777" w:rsidR="00AB21CB" w:rsidRDefault="00AB21CB" w:rsidP="007B2659">
      <w:pPr>
        <w:spacing w:line="360" w:lineRule="auto"/>
        <w:rPr>
          <w:rFonts w:eastAsia="Times New Roman"/>
          <w:b/>
          <w:bCs/>
          <w:color w:val="000000"/>
          <w:lang w:val="en-US"/>
        </w:rPr>
      </w:pPr>
    </w:p>
    <w:p w14:paraId="0082240D" w14:textId="2F7A15C3" w:rsidR="00A728FD" w:rsidRDefault="00CF5296" w:rsidP="001235F9">
      <w:pPr>
        <w:spacing w:line="240" w:lineRule="auto"/>
        <w:jc w:val="both"/>
        <w:rPr>
          <w:rFonts w:eastAsia="Times New Roman"/>
          <w:b/>
          <w:bCs/>
          <w:color w:val="000000"/>
          <w:lang w:val="en-US"/>
        </w:rPr>
      </w:pPr>
      <w:r>
        <w:rPr>
          <w:rFonts w:eastAsia="Times New Roman"/>
          <w:b/>
          <w:bCs/>
          <w:color w:val="000000"/>
          <w:lang w:val="en-US"/>
        </w:rPr>
        <w:t xml:space="preserve">Supplementary </w:t>
      </w:r>
      <w:r w:rsidRPr="00E5061B">
        <w:rPr>
          <w:rFonts w:eastAsia="Times New Roman"/>
          <w:b/>
          <w:bCs/>
          <w:color w:val="000000"/>
          <w:lang w:val="en-US"/>
        </w:rPr>
        <w:t>Figure S</w:t>
      </w:r>
      <w:r>
        <w:rPr>
          <w:rFonts w:eastAsia="Times New Roman"/>
          <w:b/>
          <w:bCs/>
          <w:color w:val="000000"/>
          <w:lang w:val="en-US"/>
        </w:rPr>
        <w:t>3</w:t>
      </w:r>
      <w:r w:rsidRPr="00E5061B">
        <w:rPr>
          <w:rFonts w:eastAsia="Times New Roman"/>
          <w:b/>
          <w:bCs/>
          <w:color w:val="000000"/>
          <w:lang w:val="en-US"/>
        </w:rPr>
        <w:t>.</w:t>
      </w:r>
      <w:r w:rsidR="00A728FD">
        <w:rPr>
          <w:rFonts w:eastAsia="Times New Roman"/>
          <w:b/>
          <w:bCs/>
          <w:color w:val="000000"/>
          <w:lang w:val="en-US"/>
        </w:rPr>
        <w:t xml:space="preserve"> </w:t>
      </w:r>
      <w:r w:rsidR="00373D90">
        <w:rPr>
          <w:rFonts w:eastAsia="Times New Roman"/>
          <w:b/>
          <w:bCs/>
          <w:color w:val="000000"/>
          <w:lang w:val="en-US"/>
        </w:rPr>
        <w:t>TRKA xDFG Mutants Are Predicted to be More Resistant to Type I but More Sensitive to Type II TRK Inhibitors than TRKA Wild Type and Solvent Front Mutant Kinases</w:t>
      </w:r>
    </w:p>
    <w:p w14:paraId="74BC9F6B" w14:textId="20448A80" w:rsidR="00CF5296" w:rsidRPr="008D1AD4" w:rsidRDefault="00CF5296" w:rsidP="001235F9">
      <w:pPr>
        <w:spacing w:line="240" w:lineRule="auto"/>
        <w:jc w:val="both"/>
        <w:rPr>
          <w:rFonts w:eastAsia="Times New Roman"/>
          <w:color w:val="000000"/>
          <w:lang w:eastAsia="en-SG"/>
        </w:rPr>
      </w:pPr>
      <w:r w:rsidRPr="00CF5296">
        <w:rPr>
          <w:rFonts w:eastAsia="Times New Roman"/>
          <w:color w:val="000000"/>
          <w:lang w:val="en-US"/>
        </w:rPr>
        <w:t>(A)</w:t>
      </w:r>
      <w:r>
        <w:rPr>
          <w:rFonts w:eastAsia="Times New Roman"/>
          <w:b/>
          <w:bCs/>
          <w:color w:val="000000"/>
          <w:lang w:val="en-US"/>
        </w:rPr>
        <w:t xml:space="preserve"> </w:t>
      </w:r>
      <w:r w:rsidRPr="008D1AD4">
        <w:t xml:space="preserve">Differences in the </w:t>
      </w:r>
      <w:r w:rsidRPr="008D1AD4">
        <w:rPr>
          <w:rFonts w:eastAsia="Times New Roman"/>
        </w:rPr>
        <w:t>free energies (computed using the FEP/MBAR method, see main manuscript) of binding of larotrectinib, selitrectinib, and repotrectinib to mutant TRKA compared to the WT</w:t>
      </w:r>
      <w:r>
        <w:rPr>
          <w:rFonts w:eastAsia="Times New Roman"/>
        </w:rPr>
        <w:t xml:space="preserve"> kinase</w:t>
      </w:r>
      <w:r w:rsidRPr="008D1AD4">
        <w:rPr>
          <w:rFonts w:eastAsia="Times New Roman"/>
        </w:rPr>
        <w:t>.</w:t>
      </w:r>
      <w:r>
        <w:rPr>
          <w:rFonts w:eastAsia="Times New Roman"/>
        </w:rPr>
        <w:t xml:space="preserve"> (B) </w:t>
      </w:r>
      <w:r w:rsidRPr="008D1AD4">
        <w:rPr>
          <w:rFonts w:eastAsia="Times New Roman"/>
          <w:color w:val="000000"/>
          <w:lang w:eastAsia="en-SG"/>
        </w:rPr>
        <w:t xml:space="preserve">Root mean squared fluctuations (RMSF) of WT and mutant </w:t>
      </w:r>
      <w:r>
        <w:rPr>
          <w:rFonts w:eastAsia="Times New Roman"/>
          <w:color w:val="000000"/>
          <w:lang w:eastAsia="en-SG"/>
        </w:rPr>
        <w:t>TRKA</w:t>
      </w:r>
      <w:r w:rsidRPr="008D1AD4">
        <w:rPr>
          <w:rFonts w:eastAsia="Times New Roman"/>
          <w:color w:val="000000"/>
          <w:lang w:eastAsia="en-SG"/>
        </w:rPr>
        <w:t xml:space="preserve"> bound to (top) </w:t>
      </w:r>
      <w:r>
        <w:rPr>
          <w:rFonts w:eastAsia="Times New Roman"/>
          <w:color w:val="000000"/>
          <w:lang w:eastAsia="en-SG"/>
        </w:rPr>
        <w:t>c</w:t>
      </w:r>
      <w:r w:rsidRPr="008D1AD4">
        <w:rPr>
          <w:rFonts w:eastAsia="Times New Roman"/>
          <w:color w:val="000000"/>
          <w:lang w:eastAsia="en-SG"/>
        </w:rPr>
        <w:t xml:space="preserve">abozantinib, (middle) </w:t>
      </w:r>
      <w:r>
        <w:rPr>
          <w:rFonts w:eastAsia="Times New Roman"/>
          <w:color w:val="000000"/>
          <w:lang w:eastAsia="en-SG"/>
        </w:rPr>
        <w:t>f</w:t>
      </w:r>
      <w:r w:rsidRPr="008D1AD4">
        <w:rPr>
          <w:rFonts w:eastAsia="Times New Roman"/>
          <w:color w:val="000000"/>
          <w:lang w:eastAsia="en-SG"/>
        </w:rPr>
        <w:t xml:space="preserve">oretinib, (bottom) </w:t>
      </w:r>
      <w:r>
        <w:rPr>
          <w:rFonts w:eastAsia="Times New Roman"/>
          <w:color w:val="000000"/>
          <w:lang w:eastAsia="en-SG"/>
        </w:rPr>
        <w:t>p</w:t>
      </w:r>
      <w:r w:rsidRPr="008D1AD4">
        <w:rPr>
          <w:rFonts w:eastAsia="Times New Roman"/>
          <w:color w:val="000000"/>
          <w:lang w:eastAsia="en-SG"/>
        </w:rPr>
        <w:t xml:space="preserve">onatinb sampled during the MD simulations. The flexibility of the mutants is similar to that seen for the WT suggesting that the binding of the drug is tolerated by the mutant TRKA. </w:t>
      </w:r>
      <w:r>
        <w:rPr>
          <w:rFonts w:eastAsia="Times New Roman"/>
          <w:color w:val="000000"/>
          <w:lang w:eastAsia="en-SG"/>
        </w:rPr>
        <w:t xml:space="preserve">(C) </w:t>
      </w:r>
      <w:r w:rsidRPr="008D1AD4">
        <w:rPr>
          <w:rFonts w:eastAsia="Times New Roman"/>
          <w:color w:val="000000"/>
          <w:lang w:eastAsia="en-SG"/>
        </w:rPr>
        <w:t>Distribution</w:t>
      </w:r>
      <w:r>
        <w:rPr>
          <w:rFonts w:eastAsia="Times New Roman"/>
          <w:color w:val="000000"/>
          <w:lang w:eastAsia="en-SG"/>
        </w:rPr>
        <w:t>s</w:t>
      </w:r>
      <w:r w:rsidRPr="008D1AD4">
        <w:rPr>
          <w:rFonts w:eastAsia="Times New Roman"/>
          <w:color w:val="000000"/>
          <w:lang w:eastAsia="en-SG"/>
        </w:rPr>
        <w:t xml:space="preserve"> of the distance</w:t>
      </w:r>
      <w:r>
        <w:rPr>
          <w:rFonts w:eastAsia="Times New Roman"/>
          <w:color w:val="000000"/>
          <w:lang w:eastAsia="en-SG"/>
        </w:rPr>
        <w:t>s</w:t>
      </w:r>
      <w:r w:rsidRPr="008D1AD4">
        <w:rPr>
          <w:rFonts w:eastAsia="Times New Roman"/>
          <w:color w:val="000000"/>
          <w:lang w:eastAsia="en-SG"/>
        </w:rPr>
        <w:t xml:space="preserve"> between the residue</w:t>
      </w:r>
      <w:r>
        <w:rPr>
          <w:rFonts w:eastAsia="Times New Roman"/>
          <w:color w:val="000000"/>
          <w:lang w:eastAsia="en-SG"/>
        </w:rPr>
        <w:t>s</w:t>
      </w:r>
      <w:r w:rsidRPr="008D1AD4">
        <w:rPr>
          <w:rFonts w:eastAsia="Times New Roman"/>
          <w:color w:val="000000"/>
          <w:lang w:eastAsia="en-SG"/>
        </w:rPr>
        <w:t xml:space="preserve"> at position 667 (Gly, Cys, Ser, Ala) and His648 sampled during the MD simulations of the apo states of the inactive conformations of WT and mutant TRKA proteins. </w:t>
      </w:r>
    </w:p>
    <w:p w14:paraId="573F8E8D" w14:textId="6A3EC8D6" w:rsidR="00AB21CB" w:rsidRPr="00CF5296" w:rsidRDefault="00AB21CB" w:rsidP="007B2659">
      <w:pPr>
        <w:spacing w:line="360" w:lineRule="auto"/>
        <w:rPr>
          <w:rFonts w:eastAsia="Times New Roman"/>
          <w:color w:val="000000"/>
        </w:rPr>
      </w:pPr>
    </w:p>
    <w:p w14:paraId="6234AFA9" w14:textId="77777777" w:rsidR="00AB21CB" w:rsidRDefault="00AB21CB" w:rsidP="007B2659">
      <w:pPr>
        <w:spacing w:line="360" w:lineRule="auto"/>
        <w:rPr>
          <w:rFonts w:eastAsia="Times New Roman"/>
          <w:b/>
          <w:bCs/>
          <w:color w:val="000000"/>
          <w:lang w:val="en-US"/>
        </w:rPr>
      </w:pPr>
    </w:p>
    <w:p w14:paraId="382F018F" w14:textId="77777777" w:rsidR="00AB21CB" w:rsidRDefault="00AB21CB" w:rsidP="007B2659">
      <w:pPr>
        <w:spacing w:line="360" w:lineRule="auto"/>
        <w:rPr>
          <w:rFonts w:eastAsia="Times New Roman"/>
          <w:b/>
          <w:bCs/>
          <w:color w:val="000000"/>
          <w:lang w:val="en-US"/>
        </w:rPr>
      </w:pPr>
    </w:p>
    <w:p w14:paraId="1BF614C2" w14:textId="77777777" w:rsidR="00AB21CB" w:rsidRDefault="00AB21CB" w:rsidP="007B2659">
      <w:pPr>
        <w:spacing w:line="360" w:lineRule="auto"/>
        <w:rPr>
          <w:rFonts w:eastAsia="Times New Roman"/>
          <w:b/>
          <w:bCs/>
          <w:color w:val="000000"/>
          <w:lang w:val="en-US"/>
        </w:rPr>
      </w:pPr>
    </w:p>
    <w:p w14:paraId="3DDA923C" w14:textId="77777777" w:rsidR="00AB21CB" w:rsidRDefault="00AB21CB" w:rsidP="007B2659">
      <w:pPr>
        <w:spacing w:line="360" w:lineRule="auto"/>
        <w:rPr>
          <w:rFonts w:eastAsia="Times New Roman"/>
          <w:b/>
          <w:bCs/>
          <w:color w:val="000000"/>
          <w:lang w:val="en-US"/>
        </w:rPr>
      </w:pPr>
    </w:p>
    <w:p w14:paraId="3C05A002" w14:textId="77777777" w:rsidR="00C23F1E" w:rsidRDefault="00CF5296" w:rsidP="007B2659">
      <w:pPr>
        <w:spacing w:line="360" w:lineRule="auto"/>
        <w:rPr>
          <w:rFonts w:eastAsia="Times New Roman"/>
          <w:b/>
          <w:bCs/>
          <w:color w:val="000000"/>
          <w:lang w:val="en-US"/>
        </w:rPr>
      </w:pPr>
      <w:r>
        <w:rPr>
          <w:noProof/>
        </w:rPr>
        <w:lastRenderedPageBreak/>
        <w:drawing>
          <wp:inline distT="0" distB="0" distL="0" distR="0" wp14:anchorId="4AFD97DE" wp14:editId="41D2BDDF">
            <wp:extent cx="4899660" cy="6674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92" t="14587" r="40594" b="8604"/>
                    <a:stretch/>
                  </pic:blipFill>
                  <pic:spPr bwMode="auto">
                    <a:xfrm>
                      <a:off x="0" y="0"/>
                      <a:ext cx="4951598" cy="6745725"/>
                    </a:xfrm>
                    <a:prstGeom prst="rect">
                      <a:avLst/>
                    </a:prstGeom>
                    <a:ln>
                      <a:noFill/>
                    </a:ln>
                    <a:extLst>
                      <a:ext uri="{53640926-AAD7-44D8-BBD7-CCE9431645EC}">
                        <a14:shadowObscured xmlns:a14="http://schemas.microsoft.com/office/drawing/2010/main"/>
                      </a:ext>
                    </a:extLst>
                  </pic:spPr>
                </pic:pic>
              </a:graphicData>
            </a:graphic>
          </wp:inline>
        </w:drawing>
      </w:r>
    </w:p>
    <w:p w14:paraId="7FB5E5F5" w14:textId="3ED84DFC" w:rsidR="00DB215B" w:rsidRDefault="00DB215B" w:rsidP="001235F9">
      <w:pPr>
        <w:spacing w:line="240" w:lineRule="auto"/>
        <w:rPr>
          <w:rFonts w:eastAsia="Times New Roman"/>
          <w:b/>
          <w:bCs/>
          <w:color w:val="000000"/>
          <w:lang w:val="en-US"/>
        </w:rPr>
      </w:pPr>
      <w:r>
        <w:rPr>
          <w:rFonts w:eastAsia="Times New Roman"/>
          <w:b/>
          <w:bCs/>
          <w:color w:val="000000"/>
          <w:lang w:val="en-US"/>
        </w:rPr>
        <w:t xml:space="preserve">Supplementary </w:t>
      </w:r>
      <w:r w:rsidR="00E5061B" w:rsidRPr="00E5061B">
        <w:rPr>
          <w:rFonts w:eastAsia="Times New Roman"/>
          <w:b/>
          <w:bCs/>
          <w:color w:val="000000"/>
          <w:lang w:val="en-US"/>
        </w:rPr>
        <w:t>Figure S</w:t>
      </w:r>
      <w:r w:rsidR="00AB21CB">
        <w:rPr>
          <w:rFonts w:eastAsia="Times New Roman"/>
          <w:b/>
          <w:bCs/>
          <w:color w:val="000000"/>
          <w:lang w:val="en-US"/>
        </w:rPr>
        <w:t>4</w:t>
      </w:r>
      <w:r w:rsidR="00E5061B" w:rsidRPr="00E5061B">
        <w:rPr>
          <w:rFonts w:eastAsia="Times New Roman"/>
          <w:b/>
          <w:bCs/>
          <w:color w:val="000000"/>
          <w:lang w:val="en-US"/>
        </w:rPr>
        <w:t xml:space="preserve">. </w:t>
      </w:r>
      <w:r>
        <w:rPr>
          <w:rFonts w:eastAsia="Times New Roman"/>
          <w:b/>
          <w:bCs/>
          <w:color w:val="000000"/>
          <w:lang w:val="en-US"/>
        </w:rPr>
        <w:t>TRKC</w:t>
      </w:r>
      <w:r w:rsidR="00AB21CB">
        <w:rPr>
          <w:rFonts w:eastAsia="Times New Roman"/>
          <w:b/>
          <w:bCs/>
          <w:color w:val="000000"/>
          <w:lang w:val="en-US"/>
        </w:rPr>
        <w:t xml:space="preserve"> and ROS1</w:t>
      </w:r>
      <w:r>
        <w:rPr>
          <w:rFonts w:eastAsia="Times New Roman"/>
          <w:b/>
          <w:bCs/>
          <w:color w:val="000000"/>
          <w:lang w:val="en-US"/>
        </w:rPr>
        <w:t xml:space="preserve"> xDFG </w:t>
      </w:r>
      <w:r w:rsidR="001B4071">
        <w:rPr>
          <w:rFonts w:eastAsia="Times New Roman"/>
          <w:b/>
          <w:bCs/>
          <w:color w:val="000000"/>
          <w:lang w:val="en-US"/>
        </w:rPr>
        <w:t>S</w:t>
      </w:r>
      <w:r>
        <w:rPr>
          <w:rFonts w:eastAsia="Times New Roman"/>
          <w:b/>
          <w:bCs/>
          <w:color w:val="000000"/>
          <w:lang w:val="en-US"/>
        </w:rPr>
        <w:t xml:space="preserve">ubstitutions </w:t>
      </w:r>
      <w:r w:rsidR="001B4071">
        <w:rPr>
          <w:rFonts w:eastAsia="Times New Roman"/>
          <w:b/>
          <w:bCs/>
          <w:color w:val="000000"/>
          <w:lang w:val="en-US"/>
        </w:rPr>
        <w:t>S</w:t>
      </w:r>
      <w:r>
        <w:rPr>
          <w:rFonts w:eastAsia="Times New Roman"/>
          <w:b/>
          <w:bCs/>
          <w:color w:val="000000"/>
          <w:lang w:val="en-US"/>
        </w:rPr>
        <w:t xml:space="preserve">ensitize to </w:t>
      </w:r>
      <w:r w:rsidR="001B4071">
        <w:rPr>
          <w:rFonts w:eastAsia="Times New Roman"/>
          <w:b/>
          <w:bCs/>
          <w:color w:val="000000"/>
          <w:lang w:val="en-US"/>
        </w:rPr>
        <w:t>T</w:t>
      </w:r>
      <w:r>
        <w:rPr>
          <w:rFonts w:eastAsia="Times New Roman"/>
          <w:b/>
          <w:bCs/>
          <w:color w:val="000000"/>
          <w:lang w:val="en-US"/>
        </w:rPr>
        <w:t xml:space="preserve">ype II </w:t>
      </w:r>
      <w:r w:rsidR="001B4071">
        <w:rPr>
          <w:rFonts w:eastAsia="Times New Roman"/>
          <w:b/>
          <w:bCs/>
          <w:color w:val="000000"/>
          <w:lang w:val="en-US"/>
        </w:rPr>
        <w:t>I</w:t>
      </w:r>
      <w:r>
        <w:rPr>
          <w:rFonts w:eastAsia="Times New Roman"/>
          <w:b/>
          <w:bCs/>
          <w:color w:val="000000"/>
          <w:lang w:val="en-US"/>
        </w:rPr>
        <w:t>nhibitors</w:t>
      </w:r>
    </w:p>
    <w:p w14:paraId="510D2B36" w14:textId="5F128A73" w:rsidR="00DB215B" w:rsidRPr="00473CCD" w:rsidRDefault="00373D90" w:rsidP="001235F9">
      <w:pPr>
        <w:spacing w:line="240" w:lineRule="auto"/>
        <w:rPr>
          <w:rFonts w:eastAsia="Times New Roman"/>
          <w:color w:val="000000"/>
        </w:rPr>
      </w:pPr>
      <w:r w:rsidRPr="00373D90">
        <w:rPr>
          <w:rFonts w:eastAsia="Times New Roman"/>
          <w:color w:val="000000"/>
        </w:rPr>
        <w:t>Activity of type II inhibitors against TRKC</w:t>
      </w:r>
      <w:r>
        <w:rPr>
          <w:rFonts w:eastAsia="Times New Roman"/>
          <w:color w:val="000000"/>
        </w:rPr>
        <w:t xml:space="preserve"> G696A/C</w:t>
      </w:r>
      <w:r w:rsidRPr="00373D90">
        <w:rPr>
          <w:rFonts w:eastAsia="Times New Roman"/>
          <w:color w:val="000000"/>
        </w:rPr>
        <w:t xml:space="preserve"> and ROS1</w:t>
      </w:r>
      <w:r>
        <w:rPr>
          <w:rFonts w:eastAsia="Times New Roman"/>
          <w:color w:val="000000"/>
        </w:rPr>
        <w:t xml:space="preserve"> G2101A/C</w:t>
      </w:r>
      <w:r w:rsidRPr="00373D90">
        <w:rPr>
          <w:rFonts w:eastAsia="Times New Roman"/>
          <w:color w:val="000000"/>
        </w:rPr>
        <w:t xml:space="preserve"> xDFG mutant kinases. </w:t>
      </w:r>
      <w:r w:rsidRPr="00473CCD">
        <w:rPr>
          <w:rFonts w:eastAsia="Times New Roman"/>
          <w:i/>
          <w:iCs/>
          <w:color w:val="000000"/>
        </w:rPr>
        <w:t>In vitro</w:t>
      </w:r>
      <w:r w:rsidRPr="00373D90">
        <w:rPr>
          <w:rFonts w:eastAsia="Times New Roman"/>
          <w:color w:val="000000"/>
        </w:rPr>
        <w:t xml:space="preserve"> radiometric assays of TRKC (A) and ROS1 (B) wild type and mutant kinases treated with a titration of type II drugs. TRKC (C) and ROS1 (D) mediated signaling inhibition following treatment of the wild type or the xDFG Gly to Cys </w:t>
      </w:r>
      <w:r w:rsidR="00473CCD">
        <w:rPr>
          <w:rFonts w:eastAsia="Times New Roman"/>
          <w:color w:val="000000"/>
        </w:rPr>
        <w:t xml:space="preserve">xDFG </w:t>
      </w:r>
      <w:r w:rsidRPr="00373D90">
        <w:rPr>
          <w:rFonts w:eastAsia="Times New Roman"/>
          <w:color w:val="000000"/>
        </w:rPr>
        <w:t>mutant kinases with type I or type II drugs. Modelling of TRKC (E) and ROS1 (F) in their Inactive states showing that the distance of the interaction</w:t>
      </w:r>
      <w:r w:rsidR="00473CCD">
        <w:rPr>
          <w:rFonts w:eastAsia="Times New Roman"/>
          <w:color w:val="000000"/>
        </w:rPr>
        <w:t xml:space="preserve"> </w:t>
      </w:r>
      <w:r w:rsidR="00473CCD" w:rsidRPr="00473CCD">
        <w:rPr>
          <w:rFonts w:eastAsia="Times New Roman"/>
          <w:color w:val="000000"/>
        </w:rPr>
        <w:t xml:space="preserve">between the xDFG residue and the H of the HRD motif reduces about 3-fold when the Glycine at the xDFG position is substituted with a </w:t>
      </w:r>
      <w:r w:rsidR="00152980">
        <w:rPr>
          <w:rFonts w:eastAsia="Times New Roman"/>
          <w:color w:val="000000"/>
        </w:rPr>
        <w:t>C</w:t>
      </w:r>
      <w:r w:rsidR="00473CCD" w:rsidRPr="00473CCD">
        <w:rPr>
          <w:rFonts w:eastAsia="Times New Roman"/>
          <w:color w:val="000000"/>
        </w:rPr>
        <w:t>ysteine.</w:t>
      </w:r>
      <w:r w:rsidRPr="00373D90">
        <w:rPr>
          <w:rFonts w:eastAsia="Times New Roman"/>
          <w:color w:val="000000"/>
        </w:rPr>
        <w:t xml:space="preserve"> </w:t>
      </w:r>
      <w:r w:rsidR="00DB215B">
        <w:rPr>
          <w:rFonts w:eastAsia="Times New Roman"/>
          <w:color w:val="000000"/>
        </w:rPr>
        <w:t>(</w:t>
      </w:r>
      <w:r w:rsidR="00473CCD">
        <w:rPr>
          <w:rFonts w:eastAsia="Times New Roman"/>
          <w:color w:val="000000"/>
        </w:rPr>
        <w:t>G</w:t>
      </w:r>
      <w:r w:rsidR="00DB215B">
        <w:rPr>
          <w:rFonts w:eastAsia="Times New Roman"/>
          <w:color w:val="000000"/>
        </w:rPr>
        <w:t xml:space="preserve">) </w:t>
      </w:r>
      <w:r w:rsidR="00473CCD">
        <w:rPr>
          <w:rFonts w:eastAsia="Times New Roman"/>
          <w:color w:val="000000"/>
        </w:rPr>
        <w:t>Prevalence of xDFG mutations in the MSK-IMPACT cohort in 1</w:t>
      </w:r>
      <w:r w:rsidR="00152980">
        <w:rPr>
          <w:rFonts w:eastAsia="Times New Roman"/>
          <w:color w:val="000000"/>
        </w:rPr>
        <w:t>6</w:t>
      </w:r>
      <w:r w:rsidR="00473CCD">
        <w:rPr>
          <w:rFonts w:eastAsia="Times New Roman"/>
          <w:color w:val="000000"/>
        </w:rPr>
        <w:t xml:space="preserve"> </w:t>
      </w:r>
      <w:r w:rsidR="00473CCD">
        <w:t>kinases</w:t>
      </w:r>
      <w:r w:rsidR="00152980">
        <w:t xml:space="preserve"> with high sequence identity.</w:t>
      </w:r>
    </w:p>
    <w:p w14:paraId="310030A9" w14:textId="3AC39ACE" w:rsidR="00E5061B" w:rsidRPr="00E5061B" w:rsidRDefault="00A728FD" w:rsidP="001235F9">
      <w:pPr>
        <w:spacing w:line="240" w:lineRule="auto"/>
        <w:rPr>
          <w:rFonts w:ascii="Times New Roman" w:eastAsia="Times New Roman" w:hAnsi="Times New Roman" w:cs="Times New Roman"/>
          <w:sz w:val="24"/>
          <w:szCs w:val="24"/>
          <w:lang w:val="en-US"/>
        </w:rPr>
      </w:pPr>
      <w:r>
        <w:rPr>
          <w:noProof/>
        </w:rPr>
        <w:lastRenderedPageBreak/>
        <w:drawing>
          <wp:inline distT="0" distB="0" distL="0" distR="0" wp14:anchorId="46723EC7" wp14:editId="2A6CFFCD">
            <wp:extent cx="5204460" cy="46155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16" t="15499" r="36666" b="7692"/>
                    <a:stretch/>
                  </pic:blipFill>
                  <pic:spPr bwMode="auto">
                    <a:xfrm>
                      <a:off x="0" y="0"/>
                      <a:ext cx="5223478" cy="463240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color w:val="000000"/>
          <w:lang w:val="en-US"/>
        </w:rPr>
        <w:t xml:space="preserve"> </w:t>
      </w:r>
      <w:r w:rsidR="00D017D6">
        <w:rPr>
          <w:rFonts w:eastAsia="Times New Roman"/>
          <w:b/>
          <w:bCs/>
          <w:color w:val="000000"/>
          <w:lang w:val="en-US"/>
        </w:rPr>
        <w:t>Supplementary Figure S</w:t>
      </w:r>
      <w:r>
        <w:rPr>
          <w:rFonts w:eastAsia="Times New Roman"/>
          <w:b/>
          <w:bCs/>
          <w:color w:val="000000"/>
          <w:lang w:val="en-US"/>
        </w:rPr>
        <w:t>5</w:t>
      </w:r>
      <w:r w:rsidR="00D017D6">
        <w:rPr>
          <w:rFonts w:eastAsia="Times New Roman"/>
          <w:b/>
          <w:bCs/>
          <w:color w:val="000000"/>
          <w:lang w:val="en-US"/>
        </w:rPr>
        <w:t xml:space="preserve">. </w:t>
      </w:r>
      <w:r w:rsidR="00E5061B" w:rsidRPr="00E5061B">
        <w:rPr>
          <w:rFonts w:eastAsia="Times New Roman"/>
          <w:b/>
          <w:bCs/>
          <w:color w:val="000000"/>
          <w:lang w:val="en-US"/>
        </w:rPr>
        <w:t>Workflow for the Generation of Isogenic Clones through CRISPR-Cas9 HDR Genome Editing</w:t>
      </w:r>
    </w:p>
    <w:p w14:paraId="6F57A1A7" w14:textId="77777777" w:rsidR="00E5061B" w:rsidRPr="00E5061B" w:rsidRDefault="00E5061B" w:rsidP="001235F9">
      <w:pPr>
        <w:spacing w:line="240" w:lineRule="auto"/>
        <w:rPr>
          <w:rFonts w:ascii="Times New Roman" w:eastAsia="Times New Roman" w:hAnsi="Times New Roman" w:cs="Times New Roman"/>
          <w:sz w:val="24"/>
          <w:szCs w:val="24"/>
          <w:lang w:val="en-US"/>
        </w:rPr>
      </w:pPr>
      <w:r w:rsidRPr="00E5061B">
        <w:rPr>
          <w:rFonts w:eastAsia="Times New Roman"/>
          <w:color w:val="000000"/>
          <w:lang w:val="en-US"/>
        </w:rPr>
        <w:t xml:space="preserve">Schematic of the generation of isogenic </w:t>
      </w:r>
      <w:r w:rsidRPr="00E5061B">
        <w:rPr>
          <w:rFonts w:eastAsia="Times New Roman"/>
          <w:i/>
          <w:color w:val="000000"/>
          <w:lang w:val="en-US"/>
        </w:rPr>
        <w:t>Bcan-Ntrk1</w:t>
      </w:r>
      <w:r w:rsidRPr="00E5061B">
        <w:rPr>
          <w:rFonts w:eastAsia="Times New Roman"/>
          <w:color w:val="000000"/>
          <w:lang w:val="en-US"/>
        </w:rPr>
        <w:t xml:space="preserve"> mouse glioma cells harboring the Trka G598R solvent front mutant and the Trka G670C mutant using CRISPR-Cas9 Homology-Directed-Repair (HDR) genome editing technique.</w:t>
      </w:r>
    </w:p>
    <w:p w14:paraId="0FE170D7" w14:textId="77777777" w:rsidR="00E5061B" w:rsidRDefault="00E5061B" w:rsidP="00E5061B">
      <w:pPr>
        <w:spacing w:line="240" w:lineRule="auto"/>
        <w:rPr>
          <w:rFonts w:ascii="Times New Roman" w:eastAsia="Times New Roman" w:hAnsi="Times New Roman" w:cs="Times New Roman"/>
          <w:sz w:val="24"/>
          <w:szCs w:val="24"/>
          <w:lang w:val="en-US"/>
        </w:rPr>
      </w:pPr>
    </w:p>
    <w:p w14:paraId="56B2B49B" w14:textId="77777777" w:rsidR="005A5C20" w:rsidRDefault="005A5C20" w:rsidP="00E5061B">
      <w:pPr>
        <w:spacing w:line="240" w:lineRule="auto"/>
        <w:rPr>
          <w:rFonts w:ascii="Times New Roman" w:eastAsia="Times New Roman" w:hAnsi="Times New Roman" w:cs="Times New Roman"/>
          <w:sz w:val="24"/>
          <w:szCs w:val="24"/>
          <w:lang w:val="en-US"/>
        </w:rPr>
      </w:pPr>
    </w:p>
    <w:p w14:paraId="20C7899C" w14:textId="77777777" w:rsidR="005A5C20" w:rsidRDefault="005A5C20" w:rsidP="00E5061B">
      <w:pPr>
        <w:spacing w:line="240" w:lineRule="auto"/>
        <w:rPr>
          <w:rFonts w:ascii="Times New Roman" w:eastAsia="Times New Roman" w:hAnsi="Times New Roman" w:cs="Times New Roman"/>
          <w:sz w:val="24"/>
          <w:szCs w:val="24"/>
          <w:lang w:val="en-US"/>
        </w:rPr>
      </w:pPr>
    </w:p>
    <w:p w14:paraId="21F6DD59" w14:textId="77777777" w:rsidR="005A5C20" w:rsidRDefault="005A5C20" w:rsidP="00E5061B">
      <w:pPr>
        <w:spacing w:line="240" w:lineRule="auto"/>
        <w:rPr>
          <w:rFonts w:ascii="Times New Roman" w:eastAsia="Times New Roman" w:hAnsi="Times New Roman" w:cs="Times New Roman"/>
          <w:sz w:val="24"/>
          <w:szCs w:val="24"/>
          <w:lang w:val="en-US"/>
        </w:rPr>
      </w:pPr>
    </w:p>
    <w:p w14:paraId="1696513D" w14:textId="77777777" w:rsidR="005A5C20" w:rsidRDefault="005A5C20" w:rsidP="00E5061B">
      <w:pPr>
        <w:spacing w:line="240" w:lineRule="auto"/>
        <w:rPr>
          <w:rFonts w:ascii="Times New Roman" w:eastAsia="Times New Roman" w:hAnsi="Times New Roman" w:cs="Times New Roman"/>
          <w:sz w:val="24"/>
          <w:szCs w:val="24"/>
          <w:lang w:val="en-US"/>
        </w:rPr>
      </w:pPr>
    </w:p>
    <w:p w14:paraId="1FB74397" w14:textId="28625A3F" w:rsidR="005A5C20" w:rsidRDefault="005A5C20" w:rsidP="00E5061B">
      <w:pPr>
        <w:spacing w:line="240" w:lineRule="auto"/>
        <w:rPr>
          <w:rFonts w:ascii="Times New Roman" w:eastAsia="Times New Roman" w:hAnsi="Times New Roman" w:cs="Times New Roman"/>
          <w:sz w:val="24"/>
          <w:szCs w:val="24"/>
          <w:lang w:val="en-US"/>
        </w:rPr>
      </w:pPr>
    </w:p>
    <w:p w14:paraId="54A8B4B2" w14:textId="77777777" w:rsidR="005A5C20" w:rsidRDefault="005A5C20" w:rsidP="00E5061B">
      <w:pPr>
        <w:spacing w:line="240" w:lineRule="auto"/>
        <w:rPr>
          <w:rFonts w:ascii="Times New Roman" w:eastAsia="Times New Roman" w:hAnsi="Times New Roman" w:cs="Times New Roman"/>
          <w:sz w:val="24"/>
          <w:szCs w:val="24"/>
          <w:lang w:val="en-US"/>
        </w:rPr>
      </w:pPr>
    </w:p>
    <w:p w14:paraId="6728FD62" w14:textId="77777777" w:rsidR="005A5C20" w:rsidRPr="00E5061B" w:rsidRDefault="005A5C20" w:rsidP="00E5061B">
      <w:pPr>
        <w:spacing w:line="240" w:lineRule="auto"/>
        <w:rPr>
          <w:rFonts w:ascii="Times New Roman" w:eastAsia="Times New Roman" w:hAnsi="Times New Roman" w:cs="Times New Roman"/>
          <w:sz w:val="24"/>
          <w:szCs w:val="24"/>
          <w:lang w:val="en-US"/>
        </w:rPr>
      </w:pPr>
    </w:p>
    <w:p w14:paraId="37476FFF" w14:textId="1BADA825" w:rsidR="003F4521" w:rsidRDefault="003F4521" w:rsidP="007B2659">
      <w:pPr>
        <w:spacing w:line="360" w:lineRule="auto"/>
        <w:rPr>
          <w:rFonts w:eastAsia="Times New Roman"/>
          <w:b/>
          <w:bCs/>
          <w:color w:val="000000"/>
          <w:lang w:val="en-US"/>
        </w:rPr>
      </w:pPr>
    </w:p>
    <w:p w14:paraId="12A5259C" w14:textId="1AA0C6D8" w:rsidR="00E5061B" w:rsidRPr="00E5061B" w:rsidRDefault="00A728FD" w:rsidP="001235F9">
      <w:pPr>
        <w:spacing w:line="240" w:lineRule="auto"/>
        <w:rPr>
          <w:rFonts w:ascii="Times New Roman" w:eastAsia="Times New Roman" w:hAnsi="Times New Roman" w:cs="Times New Roman"/>
          <w:sz w:val="24"/>
          <w:szCs w:val="24"/>
          <w:lang w:val="en-US"/>
        </w:rPr>
      </w:pPr>
      <w:r>
        <w:rPr>
          <w:noProof/>
        </w:rPr>
        <w:lastRenderedPageBreak/>
        <w:drawing>
          <wp:inline distT="0" distB="0" distL="0" distR="0" wp14:anchorId="05FDE6B4" wp14:editId="5F133CEC">
            <wp:extent cx="5859780" cy="7329902"/>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28" t="14587" r="38590" b="4729"/>
                    <a:stretch/>
                  </pic:blipFill>
                  <pic:spPr bwMode="auto">
                    <a:xfrm>
                      <a:off x="0" y="0"/>
                      <a:ext cx="5887512" cy="736459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color w:val="000000"/>
          <w:lang w:val="en-US"/>
        </w:rPr>
        <w:t xml:space="preserve"> </w:t>
      </w:r>
      <w:r w:rsidR="00C63EF0">
        <w:rPr>
          <w:rFonts w:eastAsia="Times New Roman"/>
          <w:b/>
          <w:bCs/>
          <w:color w:val="000000"/>
          <w:lang w:val="en-US"/>
        </w:rPr>
        <w:t xml:space="preserve">Supplementary </w:t>
      </w:r>
      <w:r w:rsidR="00E5061B" w:rsidRPr="00E5061B">
        <w:rPr>
          <w:rFonts w:eastAsia="Times New Roman"/>
          <w:b/>
          <w:bCs/>
          <w:color w:val="000000"/>
          <w:lang w:val="en-US"/>
        </w:rPr>
        <w:t>Figure S</w:t>
      </w:r>
      <w:r>
        <w:rPr>
          <w:rFonts w:eastAsia="Times New Roman"/>
          <w:b/>
          <w:bCs/>
          <w:color w:val="000000"/>
          <w:lang w:val="en-US"/>
        </w:rPr>
        <w:t>6</w:t>
      </w:r>
      <w:r w:rsidR="00E5061B" w:rsidRPr="00E5061B">
        <w:rPr>
          <w:rFonts w:eastAsia="Times New Roman"/>
          <w:b/>
          <w:bCs/>
          <w:color w:val="000000"/>
          <w:lang w:val="en-US"/>
        </w:rPr>
        <w:t xml:space="preserve">. Validation of </w:t>
      </w:r>
      <w:r w:rsidR="00E5061B" w:rsidRPr="00E5061B">
        <w:rPr>
          <w:rFonts w:eastAsia="Times New Roman"/>
          <w:b/>
          <w:bCs/>
          <w:i/>
          <w:color w:val="000000"/>
          <w:lang w:val="en-US"/>
        </w:rPr>
        <w:t>Bcan-Ntrk1</w:t>
      </w:r>
      <w:r w:rsidR="00E5061B" w:rsidRPr="00E5061B">
        <w:rPr>
          <w:rFonts w:eastAsia="Times New Roman"/>
          <w:b/>
          <w:bCs/>
          <w:color w:val="000000"/>
          <w:lang w:val="en-US"/>
        </w:rPr>
        <w:t xml:space="preserve"> </w:t>
      </w:r>
      <w:r w:rsidR="001B4071">
        <w:rPr>
          <w:rFonts w:eastAsia="Times New Roman"/>
          <w:b/>
          <w:bCs/>
          <w:color w:val="000000"/>
          <w:lang w:val="en-US"/>
        </w:rPr>
        <w:t>I</w:t>
      </w:r>
      <w:r w:rsidR="00E5061B" w:rsidRPr="00E5061B">
        <w:rPr>
          <w:rFonts w:eastAsia="Times New Roman"/>
          <w:b/>
          <w:bCs/>
          <w:color w:val="000000"/>
          <w:lang w:val="en-US"/>
        </w:rPr>
        <w:t xml:space="preserve">sogenic </w:t>
      </w:r>
      <w:r w:rsidR="001B4071">
        <w:rPr>
          <w:rFonts w:eastAsia="Times New Roman"/>
          <w:b/>
          <w:bCs/>
          <w:color w:val="000000"/>
          <w:lang w:val="en-US"/>
        </w:rPr>
        <w:t>M</w:t>
      </w:r>
      <w:r w:rsidR="00E5061B" w:rsidRPr="00E5061B">
        <w:rPr>
          <w:rFonts w:eastAsia="Times New Roman"/>
          <w:b/>
          <w:bCs/>
          <w:color w:val="000000"/>
          <w:lang w:val="en-US"/>
        </w:rPr>
        <w:t xml:space="preserve">ouse </w:t>
      </w:r>
      <w:r w:rsidR="001B4071">
        <w:rPr>
          <w:rFonts w:eastAsia="Times New Roman"/>
          <w:b/>
          <w:bCs/>
          <w:color w:val="000000"/>
          <w:lang w:val="en-US"/>
        </w:rPr>
        <w:t>G</w:t>
      </w:r>
      <w:r w:rsidR="00E5061B" w:rsidRPr="00E5061B">
        <w:rPr>
          <w:rFonts w:eastAsia="Times New Roman"/>
          <w:b/>
          <w:bCs/>
          <w:color w:val="000000"/>
          <w:lang w:val="en-US"/>
        </w:rPr>
        <w:t xml:space="preserve">lioma </w:t>
      </w:r>
      <w:r w:rsidR="001B4071">
        <w:rPr>
          <w:rFonts w:eastAsia="Times New Roman"/>
          <w:b/>
          <w:bCs/>
          <w:color w:val="000000"/>
          <w:lang w:val="en-US"/>
        </w:rPr>
        <w:t>C</w:t>
      </w:r>
      <w:r w:rsidR="00E5061B" w:rsidRPr="00E5061B">
        <w:rPr>
          <w:rFonts w:eastAsia="Times New Roman"/>
          <w:b/>
          <w:bCs/>
          <w:color w:val="000000"/>
          <w:lang w:val="en-US"/>
        </w:rPr>
        <w:t xml:space="preserve">ells </w:t>
      </w:r>
      <w:r w:rsidR="001B4071">
        <w:rPr>
          <w:rFonts w:eastAsia="Times New Roman"/>
          <w:b/>
          <w:bCs/>
          <w:color w:val="000000"/>
          <w:lang w:val="en-US"/>
        </w:rPr>
        <w:t>H</w:t>
      </w:r>
      <w:r w:rsidR="00E5061B" w:rsidRPr="00E5061B">
        <w:rPr>
          <w:rFonts w:eastAsia="Times New Roman"/>
          <w:b/>
          <w:bCs/>
          <w:color w:val="000000"/>
          <w:lang w:val="en-US"/>
        </w:rPr>
        <w:t xml:space="preserve">arboring </w:t>
      </w:r>
      <w:r w:rsidR="001B4071">
        <w:rPr>
          <w:rFonts w:eastAsia="Times New Roman"/>
          <w:b/>
          <w:bCs/>
          <w:color w:val="000000"/>
          <w:lang w:val="en-US"/>
        </w:rPr>
        <w:t>D</w:t>
      </w:r>
      <w:r w:rsidR="00E5061B" w:rsidRPr="00E5061B">
        <w:rPr>
          <w:rFonts w:eastAsia="Times New Roman"/>
          <w:b/>
          <w:bCs/>
          <w:color w:val="000000"/>
          <w:lang w:val="en-US"/>
        </w:rPr>
        <w:t xml:space="preserve">ifferent TRKA </w:t>
      </w:r>
      <w:r w:rsidR="001B4071">
        <w:rPr>
          <w:rFonts w:eastAsia="Times New Roman"/>
          <w:b/>
          <w:bCs/>
          <w:color w:val="000000"/>
          <w:lang w:val="en-US"/>
        </w:rPr>
        <w:t>S</w:t>
      </w:r>
      <w:r w:rsidR="00E5061B" w:rsidRPr="00E5061B">
        <w:rPr>
          <w:rFonts w:eastAsia="Times New Roman"/>
          <w:b/>
          <w:bCs/>
          <w:color w:val="000000"/>
          <w:lang w:val="en-US"/>
        </w:rPr>
        <w:t xml:space="preserve">ingle and </w:t>
      </w:r>
      <w:r w:rsidR="001B4071">
        <w:rPr>
          <w:rFonts w:eastAsia="Times New Roman"/>
          <w:b/>
          <w:bCs/>
          <w:color w:val="000000"/>
          <w:lang w:val="en-US"/>
        </w:rPr>
        <w:t>D</w:t>
      </w:r>
      <w:r w:rsidR="00E5061B" w:rsidRPr="00E5061B">
        <w:rPr>
          <w:rFonts w:eastAsia="Times New Roman"/>
          <w:b/>
          <w:bCs/>
          <w:color w:val="000000"/>
          <w:lang w:val="en-US"/>
        </w:rPr>
        <w:t xml:space="preserve">ouble </w:t>
      </w:r>
      <w:r w:rsidR="001B4071">
        <w:rPr>
          <w:rFonts w:eastAsia="Times New Roman"/>
          <w:b/>
          <w:bCs/>
          <w:color w:val="000000"/>
          <w:lang w:val="en-US"/>
        </w:rPr>
        <w:t>M</w:t>
      </w:r>
      <w:r w:rsidR="00E5061B" w:rsidRPr="00E5061B">
        <w:rPr>
          <w:rFonts w:eastAsia="Times New Roman"/>
          <w:b/>
          <w:bCs/>
          <w:color w:val="000000"/>
          <w:lang w:val="en-US"/>
        </w:rPr>
        <w:t xml:space="preserve">utations </w:t>
      </w:r>
      <w:r w:rsidR="00E5061B" w:rsidRPr="00E5061B">
        <w:rPr>
          <w:rFonts w:eastAsia="Times New Roman"/>
          <w:color w:val="000000"/>
          <w:lang w:val="en-US"/>
        </w:rPr>
        <w:t> </w:t>
      </w:r>
    </w:p>
    <w:p w14:paraId="64A08B37" w14:textId="151A3012" w:rsidR="00E5061B" w:rsidRPr="00E5061B" w:rsidRDefault="00C63EF0" w:rsidP="001235F9">
      <w:pPr>
        <w:spacing w:line="240" w:lineRule="auto"/>
        <w:rPr>
          <w:rFonts w:ascii="Times New Roman" w:eastAsia="Times New Roman" w:hAnsi="Times New Roman" w:cs="Times New Roman"/>
          <w:sz w:val="24"/>
          <w:szCs w:val="24"/>
          <w:lang w:val="en-US"/>
        </w:rPr>
      </w:pPr>
      <w:r w:rsidRPr="00E5061B">
        <w:rPr>
          <w:rFonts w:eastAsia="Times New Roman"/>
          <w:color w:val="000000"/>
          <w:lang w:val="en-US"/>
        </w:rPr>
        <w:t>(A</w:t>
      </w:r>
      <w:r>
        <w:rPr>
          <w:rFonts w:eastAsia="Times New Roman"/>
          <w:color w:val="000000"/>
          <w:lang w:val="en-US"/>
        </w:rPr>
        <w:t>-B</w:t>
      </w:r>
      <w:r w:rsidRPr="00E5061B">
        <w:rPr>
          <w:rFonts w:eastAsia="Times New Roman"/>
          <w:color w:val="000000"/>
          <w:lang w:val="en-US"/>
        </w:rPr>
        <w:t>)</w:t>
      </w:r>
      <w:r>
        <w:rPr>
          <w:rFonts w:eastAsia="Times New Roman"/>
          <w:color w:val="000000"/>
          <w:lang w:val="en-US"/>
        </w:rPr>
        <w:t xml:space="preserve"> </w:t>
      </w:r>
      <w:r w:rsidR="00E5061B" w:rsidRPr="00E5061B">
        <w:rPr>
          <w:rFonts w:eastAsia="Times New Roman"/>
          <w:color w:val="000000"/>
          <w:lang w:val="en-US"/>
        </w:rPr>
        <w:t xml:space="preserve">Strategy for the generation of knock-in isogenic </w:t>
      </w:r>
      <w:r w:rsidR="00E5061B" w:rsidRPr="00E5061B">
        <w:rPr>
          <w:rFonts w:eastAsia="Times New Roman"/>
          <w:i/>
          <w:color w:val="000000"/>
          <w:lang w:val="en-US"/>
        </w:rPr>
        <w:t>Bcan-Ntrk1</w:t>
      </w:r>
      <w:r w:rsidR="00E5061B" w:rsidRPr="00E5061B">
        <w:rPr>
          <w:rFonts w:eastAsia="Times New Roman"/>
          <w:color w:val="000000"/>
          <w:lang w:val="en-US"/>
        </w:rPr>
        <w:t xml:space="preserve"> glioma cells harboring the TRKA G598R </w:t>
      </w:r>
      <w:r w:rsidRPr="00E5061B">
        <w:rPr>
          <w:rFonts w:eastAsia="Times New Roman"/>
          <w:color w:val="000000"/>
          <w:lang w:val="en-US"/>
        </w:rPr>
        <w:t xml:space="preserve"> </w:t>
      </w:r>
      <w:r w:rsidR="00E5061B" w:rsidRPr="00E5061B">
        <w:rPr>
          <w:rFonts w:eastAsia="Times New Roman"/>
          <w:color w:val="000000"/>
          <w:lang w:val="en-US"/>
        </w:rPr>
        <w:t xml:space="preserve">mutation is described. </w:t>
      </w:r>
      <w:r>
        <w:rPr>
          <w:rFonts w:eastAsia="Times New Roman"/>
          <w:color w:val="000000"/>
          <w:lang w:val="en-US"/>
        </w:rPr>
        <w:t xml:space="preserve">Characterization of </w:t>
      </w:r>
      <w:r w:rsidRPr="00C63EF0">
        <w:rPr>
          <w:rFonts w:eastAsia="Times New Roman"/>
          <w:i/>
          <w:iCs/>
          <w:color w:val="000000"/>
          <w:lang w:val="en-US"/>
        </w:rPr>
        <w:t>Bcan-Ntrk1</w:t>
      </w:r>
      <w:r>
        <w:rPr>
          <w:rFonts w:eastAsia="Times New Roman"/>
          <w:color w:val="000000"/>
          <w:lang w:val="en-US"/>
        </w:rPr>
        <w:t xml:space="preserve"> single </w:t>
      </w:r>
      <w:r w:rsidR="003F4521">
        <w:rPr>
          <w:rFonts w:eastAsia="Times New Roman"/>
          <w:color w:val="000000"/>
          <w:lang w:val="en-US"/>
        </w:rPr>
        <w:t xml:space="preserve">(C-F) </w:t>
      </w:r>
      <w:r>
        <w:rPr>
          <w:rFonts w:eastAsia="Times New Roman"/>
          <w:color w:val="000000"/>
          <w:lang w:val="en-US"/>
        </w:rPr>
        <w:t>and double</w:t>
      </w:r>
      <w:r w:rsidR="003F4521">
        <w:rPr>
          <w:rFonts w:eastAsia="Times New Roman"/>
          <w:color w:val="000000"/>
          <w:lang w:val="en-US"/>
        </w:rPr>
        <w:t xml:space="preserve"> (G-J)</w:t>
      </w:r>
      <w:r>
        <w:rPr>
          <w:rFonts w:eastAsia="Times New Roman"/>
          <w:color w:val="000000"/>
          <w:lang w:val="en-US"/>
        </w:rPr>
        <w:t xml:space="preserve"> Trka xDFG mutant glioma cells.</w:t>
      </w:r>
    </w:p>
    <w:p w14:paraId="7E09A9FF" w14:textId="603AB582" w:rsidR="00E5061B" w:rsidRPr="00E5061B" w:rsidRDefault="00E5061B" w:rsidP="00E5061B">
      <w:pPr>
        <w:spacing w:after="240" w:line="240" w:lineRule="auto"/>
        <w:rPr>
          <w:rFonts w:ascii="Times New Roman" w:eastAsia="Times New Roman" w:hAnsi="Times New Roman" w:cs="Times New Roman"/>
          <w:sz w:val="24"/>
          <w:szCs w:val="24"/>
          <w:lang w:val="en-US"/>
        </w:rPr>
      </w:pPr>
    </w:p>
    <w:p w14:paraId="6CB3E6B3" w14:textId="2FC11C80" w:rsidR="00A728FD" w:rsidRDefault="007C16A0" w:rsidP="007B2659">
      <w:pPr>
        <w:spacing w:line="360" w:lineRule="auto"/>
        <w:rPr>
          <w:rFonts w:eastAsia="Times New Roman"/>
          <w:b/>
          <w:bCs/>
          <w:color w:val="000000"/>
          <w:lang w:val="en-US"/>
        </w:rPr>
      </w:pPr>
      <w:r>
        <w:rPr>
          <w:rFonts w:eastAsia="Times New Roman"/>
          <w:b/>
          <w:bCs/>
          <w:noProof/>
          <w:color w:val="000000"/>
          <w:lang w:val="en-US"/>
        </w:rPr>
        <w:lastRenderedPageBreak/>
        <w:drawing>
          <wp:inline distT="0" distB="0" distL="0" distR="0" wp14:anchorId="1E6F2C06" wp14:editId="78B9A7E2">
            <wp:extent cx="4686300" cy="6537025"/>
            <wp:effectExtent l="0" t="0" r="0" b="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S7 last review.tif"/>
                    <pic:cNvPicPr/>
                  </pic:nvPicPr>
                  <pic:blipFill rotWithShape="1">
                    <a:blip r:embed="rId12" cstate="print">
                      <a:extLst>
                        <a:ext uri="{28A0092B-C50C-407E-A947-70E740481C1C}">
                          <a14:useLocalDpi xmlns:a14="http://schemas.microsoft.com/office/drawing/2010/main" val="0"/>
                        </a:ext>
                      </a:extLst>
                    </a:blip>
                    <a:srcRect l="8734" t="5255" r="13864" b="20495"/>
                    <a:stretch/>
                  </pic:blipFill>
                  <pic:spPr bwMode="auto">
                    <a:xfrm>
                      <a:off x="0" y="0"/>
                      <a:ext cx="4686843" cy="6537782"/>
                    </a:xfrm>
                    <a:prstGeom prst="rect">
                      <a:avLst/>
                    </a:prstGeom>
                    <a:ln>
                      <a:noFill/>
                    </a:ln>
                    <a:extLst>
                      <a:ext uri="{53640926-AAD7-44D8-BBD7-CCE9431645EC}">
                        <a14:shadowObscured xmlns:a14="http://schemas.microsoft.com/office/drawing/2010/main"/>
                      </a:ext>
                    </a:extLst>
                  </pic:spPr>
                </pic:pic>
              </a:graphicData>
            </a:graphic>
          </wp:inline>
        </w:drawing>
      </w:r>
      <w:r w:rsidR="00A728FD">
        <w:rPr>
          <w:rFonts w:eastAsia="Times New Roman"/>
          <w:b/>
          <w:bCs/>
          <w:color w:val="000000"/>
          <w:lang w:val="en-US"/>
        </w:rPr>
        <w:t xml:space="preserve"> </w:t>
      </w:r>
    </w:p>
    <w:p w14:paraId="53CBA6DA" w14:textId="78243F46" w:rsidR="00E5061B" w:rsidRPr="00E5061B" w:rsidRDefault="001B4071" w:rsidP="001235F9">
      <w:pPr>
        <w:spacing w:line="240" w:lineRule="auto"/>
        <w:rPr>
          <w:rFonts w:ascii="Times New Roman" w:eastAsia="Times New Roman" w:hAnsi="Times New Roman" w:cs="Times New Roman"/>
          <w:sz w:val="24"/>
          <w:szCs w:val="24"/>
          <w:lang w:val="en-US"/>
        </w:rPr>
      </w:pPr>
      <w:r>
        <w:rPr>
          <w:rFonts w:eastAsia="Times New Roman"/>
          <w:b/>
          <w:bCs/>
          <w:color w:val="000000"/>
          <w:lang w:val="en-US"/>
        </w:rPr>
        <w:t xml:space="preserve">Supplementary </w:t>
      </w:r>
      <w:r w:rsidR="00E5061B" w:rsidRPr="00E5061B">
        <w:rPr>
          <w:rFonts w:eastAsia="Times New Roman"/>
          <w:b/>
          <w:bCs/>
          <w:color w:val="000000"/>
          <w:lang w:val="en-US"/>
        </w:rPr>
        <w:t>Figure S</w:t>
      </w:r>
      <w:r w:rsidR="00A728FD">
        <w:rPr>
          <w:rFonts w:eastAsia="Times New Roman"/>
          <w:b/>
          <w:bCs/>
          <w:color w:val="000000"/>
          <w:lang w:val="en-US"/>
        </w:rPr>
        <w:t>7</w:t>
      </w:r>
      <w:r w:rsidR="00E5061B" w:rsidRPr="00E5061B">
        <w:rPr>
          <w:rFonts w:eastAsia="Times New Roman"/>
          <w:b/>
          <w:bCs/>
          <w:color w:val="000000"/>
          <w:lang w:val="en-US"/>
        </w:rPr>
        <w:t xml:space="preserve">. Trka xDFG mutated </w:t>
      </w:r>
      <w:r w:rsidR="00E5061B" w:rsidRPr="00E5061B">
        <w:rPr>
          <w:rFonts w:eastAsia="Times New Roman"/>
          <w:b/>
          <w:bCs/>
          <w:i/>
          <w:color w:val="000000"/>
          <w:lang w:val="en-US"/>
        </w:rPr>
        <w:t>Bcan-Ntrk1</w:t>
      </w:r>
      <w:r w:rsidR="00E5061B" w:rsidRPr="00E5061B">
        <w:rPr>
          <w:rFonts w:eastAsia="Times New Roman"/>
          <w:b/>
          <w:bCs/>
          <w:color w:val="000000"/>
          <w:lang w:val="en-US"/>
        </w:rPr>
        <w:t xml:space="preserve"> Mouse Glioma Cells Respond to Type II TRK Inhibitors </w:t>
      </w:r>
    </w:p>
    <w:p w14:paraId="3E2CDD4C" w14:textId="7F07E665" w:rsidR="0044425D" w:rsidRPr="00C23F1E" w:rsidRDefault="00E5061B" w:rsidP="001235F9">
      <w:pPr>
        <w:pStyle w:val="NoSpacing"/>
        <w:rPr>
          <w:rFonts w:eastAsia="Times New Roman"/>
          <w:color w:val="000000"/>
        </w:rPr>
      </w:pPr>
      <w:r w:rsidRPr="00E5061B">
        <w:rPr>
          <w:rFonts w:eastAsia="Times New Roman"/>
          <w:color w:val="000000"/>
        </w:rPr>
        <w:t>Cell-</w:t>
      </w:r>
      <w:r w:rsidR="00064492">
        <w:rPr>
          <w:rFonts w:eastAsia="Times New Roman"/>
          <w:color w:val="000000"/>
        </w:rPr>
        <w:t>T</w:t>
      </w:r>
      <w:r w:rsidRPr="00E5061B">
        <w:rPr>
          <w:rFonts w:eastAsia="Times New Roman"/>
          <w:color w:val="000000"/>
        </w:rPr>
        <w:t>iter-</w:t>
      </w:r>
      <w:r w:rsidR="00064492">
        <w:rPr>
          <w:rFonts w:eastAsia="Times New Roman"/>
          <w:color w:val="000000"/>
        </w:rPr>
        <w:t>G</w:t>
      </w:r>
      <w:r w:rsidRPr="00E5061B">
        <w:rPr>
          <w:rFonts w:eastAsia="Times New Roman"/>
          <w:color w:val="000000"/>
        </w:rPr>
        <w:t xml:space="preserve">lo-based assays (A) and Western </w:t>
      </w:r>
      <w:r w:rsidR="00064492">
        <w:rPr>
          <w:rFonts w:eastAsia="Times New Roman"/>
          <w:color w:val="000000"/>
        </w:rPr>
        <w:t>blot</w:t>
      </w:r>
      <w:r w:rsidRPr="00E5061B">
        <w:rPr>
          <w:rFonts w:eastAsia="Times New Roman"/>
          <w:color w:val="000000"/>
        </w:rPr>
        <w:t xml:space="preserve"> analyses (B) performed on the </w:t>
      </w:r>
      <w:r w:rsidRPr="00E5061B">
        <w:rPr>
          <w:rFonts w:eastAsia="Times New Roman"/>
          <w:i/>
          <w:color w:val="000000"/>
        </w:rPr>
        <w:t>Bcan-Ntrk1</w:t>
      </w:r>
      <w:r w:rsidRPr="00E5061B">
        <w:rPr>
          <w:rFonts w:eastAsia="Times New Roman"/>
          <w:color w:val="000000"/>
        </w:rPr>
        <w:t xml:space="preserve"> wild type and mutant second set of clones showing the effect of type I and type II TRK inhibitors on cell proliferation and TrkA-mediated downstream signaling. </w:t>
      </w:r>
      <w:r w:rsidR="001B4071">
        <w:rPr>
          <w:rFonts w:eastAsia="Times New Roman"/>
          <w:color w:val="000000"/>
        </w:rPr>
        <w:t>(C) Western blot showing changes in the phosphorylation status of TRKA</w:t>
      </w:r>
      <w:r w:rsidR="00B80F99">
        <w:rPr>
          <w:rFonts w:eastAsia="Times New Roman"/>
          <w:color w:val="000000"/>
        </w:rPr>
        <w:t xml:space="preserve"> in</w:t>
      </w:r>
      <w:r w:rsidR="001B4071">
        <w:rPr>
          <w:rFonts w:eastAsia="Times New Roman"/>
          <w:color w:val="000000"/>
        </w:rPr>
        <w:t xml:space="preserve"> </w:t>
      </w:r>
      <w:r w:rsidR="001B4071" w:rsidRPr="00B80F99">
        <w:rPr>
          <w:rFonts w:eastAsia="Times New Roman"/>
          <w:i/>
          <w:iCs/>
          <w:color w:val="000000"/>
        </w:rPr>
        <w:t>Bcan-Ntrk1</w:t>
      </w:r>
      <w:r w:rsidR="001B4071">
        <w:rPr>
          <w:rFonts w:eastAsia="Times New Roman"/>
          <w:color w:val="000000"/>
        </w:rPr>
        <w:t>, Trka G598R/G670A double mutant glioma cell</w:t>
      </w:r>
      <w:r w:rsidR="00B80F99">
        <w:rPr>
          <w:rFonts w:eastAsia="Times New Roman"/>
          <w:color w:val="000000"/>
        </w:rPr>
        <w:t xml:space="preserve">s treated with increasing concentrations of selitrectinib or cabozantinib for 30 minutes and 24 hours. (D) </w:t>
      </w:r>
      <w:r w:rsidR="00A728FD">
        <w:rPr>
          <w:rFonts w:eastAsia="Times New Roman"/>
          <w:color w:val="000000"/>
        </w:rPr>
        <w:t xml:space="preserve">Proliferation and colony formation (E) assays </w:t>
      </w:r>
      <w:r w:rsidR="001B6BE2">
        <w:rPr>
          <w:rFonts w:eastAsia="Times New Roman"/>
          <w:color w:val="000000"/>
        </w:rPr>
        <w:t xml:space="preserve">on the </w:t>
      </w:r>
      <w:r w:rsidR="001B6BE2" w:rsidRPr="001B6BE2">
        <w:rPr>
          <w:rFonts w:eastAsia="Times New Roman"/>
          <w:i/>
          <w:iCs/>
          <w:color w:val="000000"/>
        </w:rPr>
        <w:t>Bcan-Ntrk1</w:t>
      </w:r>
      <w:r w:rsidR="001B6BE2">
        <w:rPr>
          <w:rFonts w:eastAsia="Times New Roman"/>
          <w:color w:val="000000"/>
        </w:rPr>
        <w:t xml:space="preserve"> Trka wild type and mutant glioma cells.</w:t>
      </w:r>
    </w:p>
    <w:p w14:paraId="1A2CD5CD" w14:textId="2D86B056" w:rsidR="000E33E7" w:rsidRPr="00B80F99" w:rsidRDefault="0044425D" w:rsidP="001235F9">
      <w:pPr>
        <w:pStyle w:val="NoSpacing"/>
        <w:rPr>
          <w:rFonts w:eastAsia="Times New Roman"/>
          <w:b/>
          <w:bCs/>
          <w:color w:val="000000"/>
        </w:rPr>
      </w:pPr>
      <w:r>
        <w:rPr>
          <w:noProof/>
        </w:rPr>
        <w:lastRenderedPageBreak/>
        <w:drawing>
          <wp:inline distT="0" distB="0" distL="0" distR="0" wp14:anchorId="44A60175" wp14:editId="7B1E39A3">
            <wp:extent cx="5753100" cy="4733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16" t="15955" r="32564" b="6781"/>
                    <a:stretch/>
                  </pic:blipFill>
                  <pic:spPr bwMode="auto">
                    <a:xfrm>
                      <a:off x="0" y="0"/>
                      <a:ext cx="5778657" cy="4754769"/>
                    </a:xfrm>
                    <a:prstGeom prst="rect">
                      <a:avLst/>
                    </a:prstGeom>
                    <a:ln>
                      <a:noFill/>
                    </a:ln>
                    <a:extLst>
                      <a:ext uri="{53640926-AAD7-44D8-BBD7-CCE9431645EC}">
                        <a14:shadowObscured xmlns:a14="http://schemas.microsoft.com/office/drawing/2010/main"/>
                      </a:ext>
                    </a:extLst>
                  </pic:spPr>
                </pic:pic>
              </a:graphicData>
            </a:graphic>
          </wp:inline>
        </w:drawing>
      </w:r>
      <w:r w:rsidRPr="00B80F99">
        <w:rPr>
          <w:rFonts w:eastAsia="Times New Roman"/>
          <w:b/>
          <w:bCs/>
          <w:color w:val="000000"/>
        </w:rPr>
        <w:t xml:space="preserve"> </w:t>
      </w:r>
      <w:r w:rsidR="00B80F99" w:rsidRPr="00B80F99">
        <w:rPr>
          <w:rFonts w:eastAsia="Times New Roman"/>
          <w:b/>
          <w:bCs/>
          <w:color w:val="000000"/>
        </w:rPr>
        <w:t xml:space="preserve">Supplementary </w:t>
      </w:r>
      <w:r w:rsidR="000E33E7" w:rsidRPr="00B80F99">
        <w:rPr>
          <w:rFonts w:eastAsia="Times New Roman"/>
          <w:b/>
          <w:bCs/>
          <w:color w:val="000000"/>
        </w:rPr>
        <w:t>Figure S</w:t>
      </w:r>
      <w:r w:rsidR="001B6BE2">
        <w:rPr>
          <w:rFonts w:eastAsia="Times New Roman"/>
          <w:b/>
          <w:bCs/>
          <w:color w:val="000000"/>
        </w:rPr>
        <w:t>8</w:t>
      </w:r>
      <w:r w:rsidR="000E33E7" w:rsidRPr="00B80F99">
        <w:rPr>
          <w:rFonts w:eastAsia="Times New Roman"/>
          <w:b/>
          <w:bCs/>
          <w:color w:val="000000"/>
        </w:rPr>
        <w:t>. Type II multikinase inhibitors specifically inhibit TRKA xDFG mutant kinase</w:t>
      </w:r>
      <w:r w:rsidR="00B80F99" w:rsidRPr="00B80F99">
        <w:rPr>
          <w:rFonts w:eastAsia="Times New Roman"/>
          <w:b/>
          <w:bCs/>
          <w:color w:val="000000"/>
        </w:rPr>
        <w:t>s</w:t>
      </w:r>
    </w:p>
    <w:p w14:paraId="6072AF1B" w14:textId="1804E070" w:rsidR="0044425D" w:rsidRDefault="000E33E7" w:rsidP="001235F9">
      <w:pPr>
        <w:pStyle w:val="NoSpacing"/>
      </w:pPr>
      <w:r w:rsidRPr="00B80F99">
        <w:t xml:space="preserve">Cell-Titer-Glo-based assays (A) and Western blot analyses </w:t>
      </w:r>
      <w:r w:rsidR="00B80F99" w:rsidRPr="00B80F99">
        <w:t>(</w:t>
      </w:r>
      <w:r w:rsidRPr="00B80F99">
        <w:t xml:space="preserve">B) performed on the </w:t>
      </w:r>
      <w:r w:rsidRPr="00B80F99">
        <w:rPr>
          <w:i/>
        </w:rPr>
        <w:t>LMNA-NTRK1</w:t>
      </w:r>
      <w:r w:rsidRPr="00B80F99">
        <w:t xml:space="preserve">, TRKA G595R and the </w:t>
      </w:r>
      <w:r w:rsidRPr="00B80F99">
        <w:rPr>
          <w:i/>
        </w:rPr>
        <w:t>LMNA-NTRK1</w:t>
      </w:r>
      <w:r w:rsidRPr="00B80F99">
        <w:t>, TRKA G595R/G667C double mutant primary colorectal cancer (CRC) cell lines showing the effect of type I (i.e., larotrectinib, selitrectinib and repotrectinib), type II (i.e., cabozantinib, foretinib and ponatinib) TRK inhibitors as well as the MET inhibitor crizotinib and the VEGFR inhibitor axatinib on cell proliferation and TrkA-mediated downstream signaling</w:t>
      </w:r>
      <w:r w:rsidR="0044425D">
        <w:t>.</w:t>
      </w:r>
    </w:p>
    <w:sectPr w:rsidR="0044425D" w:rsidSect="00C23F1E">
      <w:footerReference w:type="default" r:id="rId14"/>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8CC30" w14:textId="77777777" w:rsidR="000F1ED0" w:rsidRDefault="000F1ED0" w:rsidP="007B2659">
      <w:pPr>
        <w:spacing w:line="240" w:lineRule="auto"/>
      </w:pPr>
      <w:r>
        <w:separator/>
      </w:r>
    </w:p>
  </w:endnote>
  <w:endnote w:type="continuationSeparator" w:id="0">
    <w:p w14:paraId="0D0CE5E6" w14:textId="77777777" w:rsidR="000F1ED0" w:rsidRDefault="000F1ED0" w:rsidP="007B2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765381"/>
      <w:docPartObj>
        <w:docPartGallery w:val="Page Numbers (Bottom of Page)"/>
        <w:docPartUnique/>
      </w:docPartObj>
    </w:sdtPr>
    <w:sdtEndPr>
      <w:rPr>
        <w:noProof/>
      </w:rPr>
    </w:sdtEndPr>
    <w:sdtContent>
      <w:p w14:paraId="20BE8E57" w14:textId="1CCB5437" w:rsidR="002E4F8B" w:rsidRDefault="002E4F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7CF9E5" w14:textId="77777777" w:rsidR="002E4F8B" w:rsidRDefault="002E4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FFF1A" w14:textId="77777777" w:rsidR="000F1ED0" w:rsidRDefault="000F1ED0" w:rsidP="007B2659">
      <w:pPr>
        <w:spacing w:line="240" w:lineRule="auto"/>
      </w:pPr>
      <w:r>
        <w:separator/>
      </w:r>
    </w:p>
  </w:footnote>
  <w:footnote w:type="continuationSeparator" w:id="0">
    <w:p w14:paraId="18211E01" w14:textId="77777777" w:rsidR="000F1ED0" w:rsidRDefault="000F1ED0" w:rsidP="007B26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0dstxa62fsxkeedss5e5vf5vww5epv0ptv&quot;&gt;Mauri&lt;record-ids&gt;&lt;item&gt;13408&lt;/item&gt;&lt;item&gt;13412&lt;/item&gt;&lt;item&gt;13414&lt;/item&gt;&lt;item&gt;13533&lt;/item&gt;&lt;item&gt;13536&lt;/item&gt;&lt;item&gt;13537&lt;/item&gt;&lt;item&gt;13538&lt;/item&gt;&lt;item&gt;13539&lt;/item&gt;&lt;item&gt;13540&lt;/item&gt;&lt;item&gt;13543&lt;/item&gt;&lt;/record-ids&gt;&lt;/item&gt;&lt;/Libraries&gt;"/>
  </w:docVars>
  <w:rsids>
    <w:rsidRoot w:val="00E83DAC"/>
    <w:rsid w:val="000061A5"/>
    <w:rsid w:val="00011EF4"/>
    <w:rsid w:val="00064492"/>
    <w:rsid w:val="000B322C"/>
    <w:rsid w:val="000E05D8"/>
    <w:rsid w:val="000E33E7"/>
    <w:rsid w:val="000F1ED0"/>
    <w:rsid w:val="001235F9"/>
    <w:rsid w:val="001346F5"/>
    <w:rsid w:val="00152980"/>
    <w:rsid w:val="001B4071"/>
    <w:rsid w:val="001B6BE2"/>
    <w:rsid w:val="001E3BDB"/>
    <w:rsid w:val="001F403D"/>
    <w:rsid w:val="002E4F8B"/>
    <w:rsid w:val="00312775"/>
    <w:rsid w:val="00333AEA"/>
    <w:rsid w:val="00356376"/>
    <w:rsid w:val="00373D90"/>
    <w:rsid w:val="003D2595"/>
    <w:rsid w:val="003F4521"/>
    <w:rsid w:val="0044425D"/>
    <w:rsid w:val="004538E0"/>
    <w:rsid w:val="00457E53"/>
    <w:rsid w:val="00473CCD"/>
    <w:rsid w:val="0048280B"/>
    <w:rsid w:val="0056042C"/>
    <w:rsid w:val="005A5C20"/>
    <w:rsid w:val="005B777B"/>
    <w:rsid w:val="00642470"/>
    <w:rsid w:val="00673241"/>
    <w:rsid w:val="00683045"/>
    <w:rsid w:val="006F4AEC"/>
    <w:rsid w:val="00707562"/>
    <w:rsid w:val="0071134E"/>
    <w:rsid w:val="00724070"/>
    <w:rsid w:val="007B2659"/>
    <w:rsid w:val="007C16A0"/>
    <w:rsid w:val="0082196F"/>
    <w:rsid w:val="008471B0"/>
    <w:rsid w:val="0087427F"/>
    <w:rsid w:val="008B1C6E"/>
    <w:rsid w:val="0098535A"/>
    <w:rsid w:val="009B3C66"/>
    <w:rsid w:val="009D5312"/>
    <w:rsid w:val="00A1456B"/>
    <w:rsid w:val="00A63837"/>
    <w:rsid w:val="00A728FD"/>
    <w:rsid w:val="00AB21CB"/>
    <w:rsid w:val="00AE2BE5"/>
    <w:rsid w:val="00B0241F"/>
    <w:rsid w:val="00B541A2"/>
    <w:rsid w:val="00B80F99"/>
    <w:rsid w:val="00B9441A"/>
    <w:rsid w:val="00B9618A"/>
    <w:rsid w:val="00BB0E5D"/>
    <w:rsid w:val="00BB3116"/>
    <w:rsid w:val="00C23F1E"/>
    <w:rsid w:val="00C63EF0"/>
    <w:rsid w:val="00C8666E"/>
    <w:rsid w:val="00CC4792"/>
    <w:rsid w:val="00CF5296"/>
    <w:rsid w:val="00D017D6"/>
    <w:rsid w:val="00D21111"/>
    <w:rsid w:val="00D568A3"/>
    <w:rsid w:val="00DB180D"/>
    <w:rsid w:val="00DB215B"/>
    <w:rsid w:val="00DD1B32"/>
    <w:rsid w:val="00DF7C2F"/>
    <w:rsid w:val="00E05ECA"/>
    <w:rsid w:val="00E5061B"/>
    <w:rsid w:val="00E83DAC"/>
    <w:rsid w:val="00EA4EEA"/>
    <w:rsid w:val="00EB2153"/>
    <w:rsid w:val="00F32D44"/>
    <w:rsid w:val="00F5103C"/>
    <w:rsid w:val="00F80A42"/>
    <w:rsid w:val="00FE1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9555"/>
  <w15:chartTrackingRefBased/>
  <w15:docId w15:val="{CEAE408B-3177-434D-9E4C-CE6BB2C9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3DAC"/>
    <w:pPr>
      <w:spacing w:line="276" w:lineRule="auto"/>
    </w:pPr>
    <w:rPr>
      <w:rFonts w:eastAsia="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3DAC"/>
  </w:style>
  <w:style w:type="paragraph" w:styleId="NormalWeb">
    <w:name w:val="Normal (Web)"/>
    <w:basedOn w:val="Normal"/>
    <w:uiPriority w:val="99"/>
    <w:semiHidden/>
    <w:unhideWhenUsed/>
    <w:rsid w:val="00E5061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7B2659"/>
    <w:pPr>
      <w:tabs>
        <w:tab w:val="center" w:pos="4680"/>
        <w:tab w:val="right" w:pos="9360"/>
      </w:tabs>
      <w:spacing w:line="240" w:lineRule="auto"/>
    </w:pPr>
  </w:style>
  <w:style w:type="character" w:customStyle="1" w:styleId="HeaderChar">
    <w:name w:val="Header Char"/>
    <w:basedOn w:val="DefaultParagraphFont"/>
    <w:link w:val="Header"/>
    <w:uiPriority w:val="99"/>
    <w:rsid w:val="007B2659"/>
    <w:rPr>
      <w:rFonts w:eastAsia="Arial"/>
      <w:lang w:val="en"/>
    </w:rPr>
  </w:style>
  <w:style w:type="paragraph" w:styleId="Footer">
    <w:name w:val="footer"/>
    <w:basedOn w:val="Normal"/>
    <w:link w:val="FooterChar"/>
    <w:uiPriority w:val="99"/>
    <w:unhideWhenUsed/>
    <w:rsid w:val="007B2659"/>
    <w:pPr>
      <w:tabs>
        <w:tab w:val="center" w:pos="4680"/>
        <w:tab w:val="right" w:pos="9360"/>
      </w:tabs>
      <w:spacing w:line="240" w:lineRule="auto"/>
    </w:pPr>
  </w:style>
  <w:style w:type="character" w:customStyle="1" w:styleId="FooterChar">
    <w:name w:val="Footer Char"/>
    <w:basedOn w:val="DefaultParagraphFont"/>
    <w:link w:val="Footer"/>
    <w:uiPriority w:val="99"/>
    <w:rsid w:val="007B2659"/>
    <w:rPr>
      <w:rFonts w:eastAsia="Arial"/>
      <w:lang w:val="en"/>
    </w:rPr>
  </w:style>
  <w:style w:type="paragraph" w:styleId="BalloonText">
    <w:name w:val="Balloon Text"/>
    <w:basedOn w:val="Normal"/>
    <w:link w:val="BalloonTextChar"/>
    <w:uiPriority w:val="99"/>
    <w:semiHidden/>
    <w:unhideWhenUsed/>
    <w:rsid w:val="00CF52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96"/>
    <w:rPr>
      <w:rFonts w:ascii="Segoe UI" w:eastAsia="Arial" w:hAnsi="Segoe UI" w:cs="Segoe UI"/>
      <w:sz w:val="18"/>
      <w:szCs w:val="18"/>
      <w:lang w:val="en"/>
    </w:rPr>
  </w:style>
  <w:style w:type="table" w:styleId="TableGrid">
    <w:name w:val="Table Grid"/>
    <w:basedOn w:val="TableNormal"/>
    <w:uiPriority w:val="39"/>
    <w:rsid w:val="00847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12775"/>
    <w:pPr>
      <w:jc w:val="center"/>
    </w:pPr>
    <w:rPr>
      <w:noProof/>
      <w:lang w:val="en-US"/>
    </w:rPr>
  </w:style>
  <w:style w:type="character" w:customStyle="1" w:styleId="EndNoteBibliographyTitleChar">
    <w:name w:val="EndNote Bibliography Title Char"/>
    <w:basedOn w:val="DefaultParagraphFont"/>
    <w:link w:val="EndNoteBibliographyTitle"/>
    <w:rsid w:val="00312775"/>
    <w:rPr>
      <w:rFonts w:eastAsia="Arial"/>
      <w:noProof/>
    </w:rPr>
  </w:style>
  <w:style w:type="paragraph" w:customStyle="1" w:styleId="EndNoteBibliography">
    <w:name w:val="EndNote Bibliography"/>
    <w:basedOn w:val="Normal"/>
    <w:link w:val="EndNoteBibliographyChar"/>
    <w:rsid w:val="00312775"/>
    <w:pPr>
      <w:spacing w:line="240" w:lineRule="auto"/>
    </w:pPr>
    <w:rPr>
      <w:noProof/>
      <w:lang w:val="en-US"/>
    </w:rPr>
  </w:style>
  <w:style w:type="character" w:customStyle="1" w:styleId="EndNoteBibliographyChar">
    <w:name w:val="EndNote Bibliography Char"/>
    <w:basedOn w:val="DefaultParagraphFont"/>
    <w:link w:val="EndNoteBibliography"/>
    <w:rsid w:val="00312775"/>
    <w:rPr>
      <w:rFonts w:eastAsia="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797102">
      <w:bodyDiv w:val="1"/>
      <w:marLeft w:val="0"/>
      <w:marRight w:val="0"/>
      <w:marTop w:val="0"/>
      <w:marBottom w:val="0"/>
      <w:divBdr>
        <w:top w:val="none" w:sz="0" w:space="0" w:color="auto"/>
        <w:left w:val="none" w:sz="0" w:space="0" w:color="auto"/>
        <w:bottom w:val="none" w:sz="0" w:space="0" w:color="auto"/>
        <w:right w:val="none" w:sz="0" w:space="0" w:color="auto"/>
      </w:divBdr>
    </w:div>
    <w:div w:id="822239086">
      <w:bodyDiv w:val="1"/>
      <w:marLeft w:val="0"/>
      <w:marRight w:val="0"/>
      <w:marTop w:val="0"/>
      <w:marBottom w:val="0"/>
      <w:divBdr>
        <w:top w:val="none" w:sz="0" w:space="0" w:color="auto"/>
        <w:left w:val="none" w:sz="0" w:space="0" w:color="auto"/>
        <w:bottom w:val="none" w:sz="0" w:space="0" w:color="auto"/>
        <w:right w:val="none" w:sz="0" w:space="0" w:color="auto"/>
      </w:divBdr>
    </w:div>
    <w:div w:id="988556584">
      <w:bodyDiv w:val="1"/>
      <w:marLeft w:val="0"/>
      <w:marRight w:val="0"/>
      <w:marTop w:val="0"/>
      <w:marBottom w:val="0"/>
      <w:divBdr>
        <w:top w:val="none" w:sz="0" w:space="0" w:color="auto"/>
        <w:left w:val="none" w:sz="0" w:space="0" w:color="auto"/>
        <w:bottom w:val="none" w:sz="0" w:space="0" w:color="auto"/>
        <w:right w:val="none" w:sz="0" w:space="0" w:color="auto"/>
      </w:divBdr>
    </w:div>
    <w:div w:id="1369180942">
      <w:bodyDiv w:val="1"/>
      <w:marLeft w:val="0"/>
      <w:marRight w:val="0"/>
      <w:marTop w:val="0"/>
      <w:marBottom w:val="0"/>
      <w:divBdr>
        <w:top w:val="none" w:sz="0" w:space="0" w:color="auto"/>
        <w:left w:val="none" w:sz="0" w:space="0" w:color="auto"/>
        <w:bottom w:val="none" w:sz="0" w:space="0" w:color="auto"/>
        <w:right w:val="none" w:sz="0" w:space="0" w:color="auto"/>
      </w:divBdr>
    </w:div>
    <w:div w:id="1531868925">
      <w:bodyDiv w:val="1"/>
      <w:marLeft w:val="0"/>
      <w:marRight w:val="0"/>
      <w:marTop w:val="0"/>
      <w:marBottom w:val="0"/>
      <w:divBdr>
        <w:top w:val="none" w:sz="0" w:space="0" w:color="auto"/>
        <w:left w:val="none" w:sz="0" w:space="0" w:color="auto"/>
        <w:bottom w:val="none" w:sz="0" w:space="0" w:color="auto"/>
        <w:right w:val="none" w:sz="0" w:space="0" w:color="auto"/>
      </w:divBdr>
    </w:div>
    <w:div w:id="1629898531">
      <w:bodyDiv w:val="1"/>
      <w:marLeft w:val="0"/>
      <w:marRight w:val="0"/>
      <w:marTop w:val="0"/>
      <w:marBottom w:val="0"/>
      <w:divBdr>
        <w:top w:val="none" w:sz="0" w:space="0" w:color="auto"/>
        <w:left w:val="none" w:sz="0" w:space="0" w:color="auto"/>
        <w:bottom w:val="none" w:sz="0" w:space="0" w:color="auto"/>
        <w:right w:val="none" w:sz="0" w:space="0" w:color="auto"/>
      </w:divBdr>
    </w:div>
    <w:div w:id="1869564486">
      <w:bodyDiv w:val="1"/>
      <w:marLeft w:val="0"/>
      <w:marRight w:val="0"/>
      <w:marTop w:val="0"/>
      <w:marBottom w:val="0"/>
      <w:divBdr>
        <w:top w:val="none" w:sz="0" w:space="0" w:color="auto"/>
        <w:left w:val="none" w:sz="0" w:space="0" w:color="auto"/>
        <w:bottom w:val="none" w:sz="0" w:space="0" w:color="auto"/>
        <w:right w:val="none" w:sz="0" w:space="0" w:color="auto"/>
      </w:divBdr>
    </w:div>
    <w:div w:id="1967155285">
      <w:bodyDiv w:val="1"/>
      <w:marLeft w:val="0"/>
      <w:marRight w:val="0"/>
      <w:marTop w:val="0"/>
      <w:marBottom w:val="0"/>
      <w:divBdr>
        <w:top w:val="none" w:sz="0" w:space="0" w:color="auto"/>
        <w:left w:val="none" w:sz="0" w:space="0" w:color="auto"/>
        <w:bottom w:val="none" w:sz="0" w:space="0" w:color="auto"/>
        <w:right w:val="none" w:sz="0" w:space="0" w:color="auto"/>
      </w:divBdr>
    </w:div>
    <w:div w:id="1976526999">
      <w:bodyDiv w:val="1"/>
      <w:marLeft w:val="0"/>
      <w:marRight w:val="0"/>
      <w:marTop w:val="0"/>
      <w:marBottom w:val="0"/>
      <w:divBdr>
        <w:top w:val="none" w:sz="0" w:space="0" w:color="auto"/>
        <w:left w:val="none" w:sz="0" w:space="0" w:color="auto"/>
        <w:bottom w:val="none" w:sz="0" w:space="0" w:color="auto"/>
        <w:right w:val="none" w:sz="0" w:space="0" w:color="auto"/>
      </w:divBdr>
    </w:div>
    <w:div w:id="197987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Scaltriti, Maurizio/Pathology</dc:creator>
  <cp:keywords/>
  <dc:description/>
  <cp:lastModifiedBy>Cocco, Emiliano/Sloan Kettering Institute</cp:lastModifiedBy>
  <cp:revision>5</cp:revision>
  <dcterms:created xsi:type="dcterms:W3CDTF">2020-09-24T15:25:00Z</dcterms:created>
  <dcterms:modified xsi:type="dcterms:W3CDTF">2020-09-24T17:58:00Z</dcterms:modified>
</cp:coreProperties>
</file>