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09CAC1" w14:textId="77777777" w:rsidR="00B50976" w:rsidRPr="00390777" w:rsidRDefault="00B50976" w:rsidP="00A061DA">
      <w:pPr>
        <w:pStyle w:val="3"/>
        <w:shd w:val="clear" w:color="auto" w:fill="FFFFFF"/>
        <w:spacing w:before="0" w:beforeAutospacing="0" w:after="0" w:afterAutospacing="0" w:line="480" w:lineRule="auto"/>
        <w:rPr>
          <w:rFonts w:ascii="Times New Roman" w:hAnsi="Times New Roman" w:cs="Times New Roman"/>
          <w:bCs w:val="0"/>
          <w:color w:val="222222"/>
          <w:sz w:val="24"/>
          <w:szCs w:val="24"/>
        </w:rPr>
      </w:pPr>
      <w:r w:rsidRPr="00390777">
        <w:rPr>
          <w:rFonts w:ascii="Times New Roman" w:hAnsi="Times New Roman" w:cs="Times New Roman"/>
          <w:bCs w:val="0"/>
          <w:color w:val="222222"/>
          <w:sz w:val="24"/>
          <w:szCs w:val="24"/>
        </w:rPr>
        <w:t xml:space="preserve">Supplementary Data </w:t>
      </w:r>
    </w:p>
    <w:p w14:paraId="399294C3" w14:textId="77777777" w:rsidR="00B50976" w:rsidRPr="00390777" w:rsidRDefault="00B50976" w:rsidP="00A061DA">
      <w:pPr>
        <w:pStyle w:val="Acknowledgement"/>
        <w:spacing w:line="480" w:lineRule="auto"/>
        <w:ind w:left="0" w:firstLine="0"/>
        <w:rPr>
          <w:rFonts w:eastAsiaTheme="minorEastAsia"/>
          <w:b/>
          <w:color w:val="000000" w:themeColor="text1"/>
          <w:lang w:eastAsia="ja-JP"/>
        </w:rPr>
      </w:pPr>
      <w:r w:rsidRPr="00390777">
        <w:rPr>
          <w:rFonts w:eastAsiaTheme="minorEastAsia" w:hint="eastAsia"/>
          <w:b/>
          <w:color w:val="000000" w:themeColor="text1"/>
          <w:lang w:eastAsia="ja-JP"/>
        </w:rPr>
        <w:t xml:space="preserve">Supplementary </w:t>
      </w:r>
      <w:r w:rsidRPr="00390777">
        <w:rPr>
          <w:rFonts w:eastAsiaTheme="minorEastAsia"/>
          <w:b/>
          <w:color w:val="000000" w:themeColor="text1"/>
          <w:lang w:eastAsia="ja-JP"/>
        </w:rPr>
        <w:t>Figures and Tables.</w:t>
      </w:r>
    </w:p>
    <w:p w14:paraId="4761D04F" w14:textId="2D82EF8B" w:rsidR="00B50976" w:rsidRPr="00390777" w:rsidRDefault="00B16ABD" w:rsidP="00A061DA">
      <w:pPr>
        <w:pStyle w:val="Acknowledgement"/>
        <w:spacing w:line="480" w:lineRule="auto"/>
        <w:ind w:left="0" w:firstLine="0"/>
        <w:rPr>
          <w:rFonts w:eastAsiaTheme="minorEastAsia"/>
          <w:b/>
          <w:color w:val="000000" w:themeColor="text1"/>
          <w:lang w:eastAsia="ja-JP"/>
        </w:rPr>
      </w:pPr>
      <w:r w:rsidRPr="00390777">
        <w:rPr>
          <w:rFonts w:eastAsiaTheme="minorEastAsia"/>
          <w:b/>
          <w:color w:val="000000" w:themeColor="text1"/>
          <w:lang w:eastAsia="ja-JP"/>
        </w:rPr>
        <w:t xml:space="preserve">Fig. </w:t>
      </w:r>
      <w:r w:rsidR="00B50976" w:rsidRPr="00390777">
        <w:rPr>
          <w:rFonts w:eastAsiaTheme="minorEastAsia"/>
          <w:b/>
          <w:color w:val="000000" w:themeColor="text1"/>
          <w:lang w:eastAsia="ja-JP"/>
        </w:rPr>
        <w:t xml:space="preserve">S1. </w:t>
      </w:r>
    </w:p>
    <w:p w14:paraId="0E814DE1" w14:textId="6D32E5F9" w:rsidR="00B50976" w:rsidRPr="00390777" w:rsidRDefault="00521F80" w:rsidP="00A061DA">
      <w:pPr>
        <w:pStyle w:val="Acknowledgement"/>
        <w:spacing w:line="480" w:lineRule="auto"/>
        <w:ind w:left="0" w:firstLine="0"/>
        <w:rPr>
          <w:rFonts w:eastAsiaTheme="minorEastAsia"/>
          <w:b/>
          <w:color w:val="000000" w:themeColor="text1"/>
          <w:lang w:eastAsia="ja-JP"/>
        </w:rPr>
      </w:pPr>
      <w:r w:rsidRPr="00390777">
        <w:rPr>
          <w:noProof/>
          <w:lang w:eastAsia="ja-JP"/>
        </w:rPr>
        <w:drawing>
          <wp:inline distT="0" distB="0" distL="0" distR="0" wp14:anchorId="54AD790B" wp14:editId="7885694F">
            <wp:extent cx="5400040" cy="3234055"/>
            <wp:effectExtent l="0" t="0" r="0" b="4445"/>
            <wp:docPr id="985" name="図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a:ext>
                      </a:extLst>
                    </a:blip>
                    <a:stretch>
                      <a:fillRect/>
                    </a:stretch>
                  </pic:blipFill>
                  <pic:spPr>
                    <a:xfrm>
                      <a:off x="0" y="0"/>
                      <a:ext cx="5400040" cy="3234055"/>
                    </a:xfrm>
                    <a:prstGeom prst="rect">
                      <a:avLst/>
                    </a:prstGeom>
                  </pic:spPr>
                </pic:pic>
              </a:graphicData>
            </a:graphic>
          </wp:inline>
        </w:drawing>
      </w:r>
    </w:p>
    <w:p w14:paraId="2BE1BBC4" w14:textId="77777777" w:rsidR="00B50976" w:rsidRPr="00390777" w:rsidRDefault="00B50976" w:rsidP="00A061DA">
      <w:pPr>
        <w:pStyle w:val="Acknowledgement"/>
        <w:spacing w:line="480" w:lineRule="auto"/>
        <w:ind w:left="0" w:firstLine="0"/>
        <w:rPr>
          <w:rFonts w:eastAsiaTheme="minorEastAsia"/>
          <w:b/>
          <w:color w:val="000000" w:themeColor="text1"/>
          <w:lang w:eastAsia="ja-JP"/>
        </w:rPr>
      </w:pPr>
      <w:r w:rsidRPr="00390777">
        <w:rPr>
          <w:b/>
          <w:color w:val="000000" w:themeColor="text1"/>
        </w:rPr>
        <w:t xml:space="preserve">Generation of an ATP-dependent anti-CD137 switch antibody. (A) </w:t>
      </w:r>
      <w:r w:rsidRPr="00390777">
        <w:rPr>
          <w:color w:val="000000" w:themeColor="text1"/>
        </w:rPr>
        <w:t>Concept of ATP-dependent switch antibody is described.</w:t>
      </w:r>
      <w:r w:rsidRPr="00390777">
        <w:rPr>
          <w:b/>
          <w:color w:val="000000" w:themeColor="text1"/>
        </w:rPr>
        <w:t xml:space="preserve"> (B) </w:t>
      </w:r>
      <w:r w:rsidRPr="00390777">
        <w:rPr>
          <w:color w:val="000000" w:themeColor="text1"/>
        </w:rPr>
        <w:t>The lead switch antibody was selected from exATP switch Fab phage display library (D12 library) by panning using biotinylated antigen with ATP. After optimization, STA551, a novel ATP-dependent anti-CD137 agonist antibody was generated.</w:t>
      </w:r>
    </w:p>
    <w:p w14:paraId="0DED1264" w14:textId="77777777" w:rsidR="00B50976" w:rsidRPr="00390777" w:rsidRDefault="00B50976" w:rsidP="00A061DA">
      <w:pPr>
        <w:spacing w:line="480" w:lineRule="auto"/>
        <w:rPr>
          <w:color w:val="000000" w:themeColor="text1"/>
          <w:sz w:val="24"/>
          <w:szCs w:val="24"/>
        </w:rPr>
      </w:pPr>
    </w:p>
    <w:p w14:paraId="69A70808" w14:textId="77777777" w:rsidR="00A95538" w:rsidRPr="00390777" w:rsidRDefault="00A95538">
      <w:pPr>
        <w:rPr>
          <w:rFonts w:eastAsia="Times New Roman"/>
          <w:b/>
          <w:color w:val="000000" w:themeColor="text1"/>
          <w:sz w:val="24"/>
          <w:szCs w:val="24"/>
        </w:rPr>
      </w:pPr>
      <w:r w:rsidRPr="00390777">
        <w:rPr>
          <w:b/>
          <w:color w:val="000000" w:themeColor="text1"/>
        </w:rPr>
        <w:br w:type="page"/>
      </w:r>
    </w:p>
    <w:p w14:paraId="7550921B" w14:textId="15474176" w:rsidR="00B50976" w:rsidRPr="00390777" w:rsidRDefault="00B50976" w:rsidP="00A061DA">
      <w:pPr>
        <w:pStyle w:val="Paragraph"/>
        <w:spacing w:line="480" w:lineRule="auto"/>
        <w:ind w:firstLine="0"/>
        <w:rPr>
          <w:b/>
          <w:color w:val="000000" w:themeColor="text1"/>
        </w:rPr>
      </w:pPr>
      <w:r w:rsidRPr="00390777">
        <w:rPr>
          <w:b/>
          <w:color w:val="000000" w:themeColor="text1"/>
        </w:rPr>
        <w:lastRenderedPageBreak/>
        <w:t xml:space="preserve">Fig. S2. </w:t>
      </w:r>
    </w:p>
    <w:p w14:paraId="2F021138" w14:textId="5736C745" w:rsidR="00B50976" w:rsidRPr="00390777" w:rsidRDefault="002A5F86" w:rsidP="00A061DA">
      <w:pPr>
        <w:spacing w:line="480" w:lineRule="auto"/>
        <w:rPr>
          <w:color w:val="000000" w:themeColor="text1"/>
          <w:sz w:val="24"/>
          <w:szCs w:val="24"/>
          <w:lang w:eastAsia="ja-JP"/>
        </w:rPr>
      </w:pPr>
      <w:r w:rsidRPr="00390777">
        <w:rPr>
          <w:noProof/>
          <w:lang w:eastAsia="ja-JP"/>
        </w:rPr>
        <w:drawing>
          <wp:inline distT="0" distB="0" distL="0" distR="0" wp14:anchorId="6B877B3B" wp14:editId="5069A6AC">
            <wp:extent cx="5400040" cy="4076700"/>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a:ext>
                      </a:extLst>
                    </a:blip>
                    <a:stretch>
                      <a:fillRect/>
                    </a:stretch>
                  </pic:blipFill>
                  <pic:spPr>
                    <a:xfrm>
                      <a:off x="0" y="0"/>
                      <a:ext cx="5400040" cy="4076700"/>
                    </a:xfrm>
                    <a:prstGeom prst="rect">
                      <a:avLst/>
                    </a:prstGeom>
                  </pic:spPr>
                </pic:pic>
              </a:graphicData>
            </a:graphic>
          </wp:inline>
        </w:drawing>
      </w:r>
    </w:p>
    <w:p w14:paraId="015C2371" w14:textId="2C9FF37F" w:rsidR="00D23307" w:rsidRPr="00390777" w:rsidRDefault="002A5F86" w:rsidP="00D23307">
      <w:pPr>
        <w:pStyle w:val="Paragraph"/>
        <w:spacing w:line="480" w:lineRule="auto"/>
        <w:ind w:firstLine="0"/>
        <w:rPr>
          <w:color w:val="000000" w:themeColor="text1"/>
        </w:rPr>
      </w:pPr>
      <w:r w:rsidRPr="00390777">
        <w:rPr>
          <w:noProof/>
          <w:lang w:eastAsia="ja-JP"/>
        </w:rPr>
        <w:drawing>
          <wp:inline distT="0" distB="0" distL="0" distR="0" wp14:anchorId="2EFA2EBD" wp14:editId="7DB8A0EE">
            <wp:extent cx="5400040" cy="1825625"/>
            <wp:effectExtent l="0" t="0" r="0" b="317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a:ext>
                      </a:extLst>
                    </a:blip>
                    <a:stretch>
                      <a:fillRect/>
                    </a:stretch>
                  </pic:blipFill>
                  <pic:spPr>
                    <a:xfrm>
                      <a:off x="0" y="0"/>
                      <a:ext cx="5400040" cy="1825625"/>
                    </a:xfrm>
                    <a:prstGeom prst="rect">
                      <a:avLst/>
                    </a:prstGeom>
                  </pic:spPr>
                </pic:pic>
              </a:graphicData>
            </a:graphic>
          </wp:inline>
        </w:drawing>
      </w:r>
      <w:r w:rsidR="00B50976" w:rsidRPr="00390777">
        <w:rPr>
          <w:b/>
          <w:color w:val="000000" w:themeColor="text1"/>
        </w:rPr>
        <w:t xml:space="preserve">Binding activity of STA551 to CD137. </w:t>
      </w:r>
      <w:r w:rsidR="00880725" w:rsidRPr="00390777">
        <w:rPr>
          <w:b/>
          <w:color w:val="000000" w:themeColor="text1"/>
        </w:rPr>
        <w:t xml:space="preserve">(A) </w:t>
      </w:r>
      <w:r w:rsidR="00880725" w:rsidRPr="00390777">
        <w:rPr>
          <w:color w:val="000000" w:themeColor="text1"/>
        </w:rPr>
        <w:t>Biacore sensorgram showing binding of STA551 to human CD137 and</w:t>
      </w:r>
      <w:r w:rsidR="00880725" w:rsidRPr="00390777">
        <w:rPr>
          <w:b/>
          <w:color w:val="000000" w:themeColor="text1"/>
        </w:rPr>
        <w:t xml:space="preserve"> (B)</w:t>
      </w:r>
      <w:r w:rsidR="00880725" w:rsidRPr="00390777">
        <w:rPr>
          <w:color w:val="000000" w:themeColor="text1"/>
        </w:rPr>
        <w:t xml:space="preserve"> cynomolgus monkey CD137 in the presence of ADP. </w:t>
      </w:r>
      <w:r w:rsidR="00880725" w:rsidRPr="00390777">
        <w:rPr>
          <w:b/>
          <w:color w:val="000000" w:themeColor="text1"/>
        </w:rPr>
        <w:t xml:space="preserve">(C) </w:t>
      </w:r>
      <w:r w:rsidR="00880725" w:rsidRPr="00390777">
        <w:rPr>
          <w:color w:val="000000" w:themeColor="text1"/>
        </w:rPr>
        <w:t xml:space="preserve">Binding to human CD137 and </w:t>
      </w:r>
      <w:r w:rsidR="00880725" w:rsidRPr="00390777">
        <w:rPr>
          <w:b/>
          <w:color w:val="000000" w:themeColor="text1"/>
        </w:rPr>
        <w:t xml:space="preserve">(D) </w:t>
      </w:r>
      <w:r w:rsidR="00880725" w:rsidRPr="00390777">
        <w:rPr>
          <w:color w:val="000000" w:themeColor="text1"/>
        </w:rPr>
        <w:t>cynomolgus monkey CD137 in the presence of AMP.</w:t>
      </w:r>
      <w:r w:rsidR="00880725" w:rsidRPr="00390777">
        <w:rPr>
          <w:b/>
          <w:color w:val="000000" w:themeColor="text1"/>
        </w:rPr>
        <w:t xml:space="preserve"> (E)</w:t>
      </w:r>
      <w:r w:rsidR="00880725" w:rsidRPr="00390777">
        <w:rPr>
          <w:color w:val="000000" w:themeColor="text1"/>
        </w:rPr>
        <w:t xml:space="preserve"> Binding to human CD137 and </w:t>
      </w:r>
      <w:r w:rsidR="00880725" w:rsidRPr="00390777">
        <w:rPr>
          <w:b/>
          <w:color w:val="000000" w:themeColor="text1"/>
        </w:rPr>
        <w:t>(F)</w:t>
      </w:r>
      <w:r w:rsidR="00880725" w:rsidRPr="00390777">
        <w:rPr>
          <w:color w:val="000000" w:themeColor="text1"/>
        </w:rPr>
        <w:t xml:space="preserve"> cynomolgus monkey CD137 in the </w:t>
      </w:r>
      <w:r w:rsidR="00880725" w:rsidRPr="00390777">
        <w:rPr>
          <w:color w:val="000000" w:themeColor="text1"/>
        </w:rPr>
        <w:lastRenderedPageBreak/>
        <w:t xml:space="preserve">presence of ADO. Small molecules were at 1000 </w:t>
      </w:r>
      <w:r w:rsidR="00AD10A0" w:rsidRPr="00390777">
        <w:rPr>
          <w:bCs/>
          <w:color w:val="000000" w:themeColor="text1"/>
        </w:rPr>
        <w:t>μ</w:t>
      </w:r>
      <w:r w:rsidR="00880725" w:rsidRPr="00390777">
        <w:rPr>
          <w:color w:val="000000" w:themeColor="text1"/>
        </w:rPr>
        <w:t xml:space="preserve">mol/L (shown in red), 100 </w:t>
      </w:r>
      <w:r w:rsidR="00AD10A0" w:rsidRPr="00390777">
        <w:rPr>
          <w:bCs/>
          <w:color w:val="000000" w:themeColor="text1"/>
        </w:rPr>
        <w:t>μ</w:t>
      </w:r>
      <w:r w:rsidR="00880725" w:rsidRPr="00390777">
        <w:rPr>
          <w:color w:val="000000" w:themeColor="text1"/>
        </w:rPr>
        <w:t xml:space="preserve">mol/L (yellow), 10 </w:t>
      </w:r>
      <w:r w:rsidR="00AD10A0" w:rsidRPr="00390777">
        <w:rPr>
          <w:bCs/>
          <w:color w:val="000000" w:themeColor="text1"/>
        </w:rPr>
        <w:t>μ</w:t>
      </w:r>
      <w:r w:rsidR="00880725" w:rsidRPr="00390777">
        <w:rPr>
          <w:color w:val="000000" w:themeColor="text1"/>
        </w:rPr>
        <w:t xml:space="preserve">mol/L (blue), 1 </w:t>
      </w:r>
      <w:r w:rsidR="00AD10A0" w:rsidRPr="00390777">
        <w:rPr>
          <w:bCs/>
          <w:color w:val="000000" w:themeColor="text1"/>
        </w:rPr>
        <w:t>μ</w:t>
      </w:r>
      <w:r w:rsidR="00880725" w:rsidRPr="00390777">
        <w:rPr>
          <w:color w:val="000000" w:themeColor="text1"/>
        </w:rPr>
        <w:t xml:space="preserve">mol/L (green), 0 </w:t>
      </w:r>
      <w:r w:rsidR="00AD10A0" w:rsidRPr="00390777">
        <w:rPr>
          <w:bCs/>
          <w:color w:val="000000" w:themeColor="text1"/>
        </w:rPr>
        <w:t>μ</w:t>
      </w:r>
      <w:r w:rsidR="00880725" w:rsidRPr="00390777">
        <w:rPr>
          <w:color w:val="000000" w:themeColor="text1"/>
        </w:rPr>
        <w:t xml:space="preserve">mol/L (black). </w:t>
      </w:r>
      <w:r w:rsidR="00880725" w:rsidRPr="00390777">
        <w:rPr>
          <w:bCs/>
          <w:color w:val="000000" w:themeColor="text1"/>
        </w:rPr>
        <w:t xml:space="preserve">ATP: adenosine triphosphate, ADP: </w:t>
      </w:r>
      <w:r w:rsidR="00880725" w:rsidRPr="00390777">
        <w:rPr>
          <w:color w:val="000000" w:themeColor="text1"/>
        </w:rPr>
        <w:t>adenosine diphosphate, AMP: adenosine monophosphate, ADO: adenosine.</w:t>
      </w:r>
    </w:p>
    <w:p w14:paraId="70DAC4E6" w14:textId="77777777" w:rsidR="00D23307" w:rsidRPr="00390777" w:rsidRDefault="00D23307">
      <w:pPr>
        <w:rPr>
          <w:rFonts w:eastAsia="Times New Roman"/>
          <w:b/>
          <w:color w:val="000000" w:themeColor="text1"/>
          <w:sz w:val="24"/>
          <w:szCs w:val="24"/>
        </w:rPr>
      </w:pPr>
      <w:r w:rsidRPr="00390777">
        <w:rPr>
          <w:b/>
          <w:color w:val="000000" w:themeColor="text1"/>
        </w:rPr>
        <w:br w:type="page"/>
      </w:r>
    </w:p>
    <w:p w14:paraId="6D1B7AEB" w14:textId="6940AA86" w:rsidR="00B50976" w:rsidRPr="00390777" w:rsidRDefault="00B50976" w:rsidP="00A061DA">
      <w:pPr>
        <w:pStyle w:val="Paragraph"/>
        <w:spacing w:line="480" w:lineRule="auto"/>
        <w:ind w:firstLine="0"/>
        <w:rPr>
          <w:b/>
          <w:color w:val="000000" w:themeColor="text1"/>
        </w:rPr>
      </w:pPr>
      <w:r w:rsidRPr="00390777">
        <w:rPr>
          <w:b/>
          <w:color w:val="000000" w:themeColor="text1"/>
        </w:rPr>
        <w:lastRenderedPageBreak/>
        <w:t xml:space="preserve">Fig. S3. </w:t>
      </w:r>
    </w:p>
    <w:p w14:paraId="524777F7" w14:textId="0F7A7AE1" w:rsidR="00B50976" w:rsidRPr="00390777" w:rsidRDefault="002A5F86" w:rsidP="00A061DA">
      <w:pPr>
        <w:spacing w:line="480" w:lineRule="auto"/>
        <w:rPr>
          <w:color w:val="000000" w:themeColor="text1"/>
          <w:sz w:val="24"/>
          <w:szCs w:val="24"/>
          <w:lang w:eastAsia="ja-JP"/>
        </w:rPr>
      </w:pPr>
      <w:r w:rsidRPr="00390777">
        <w:rPr>
          <w:noProof/>
          <w:lang w:eastAsia="ja-JP"/>
        </w:rPr>
        <w:drawing>
          <wp:inline distT="0" distB="0" distL="0" distR="0" wp14:anchorId="68C8B678" wp14:editId="062F1244">
            <wp:extent cx="5400040" cy="4057650"/>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a:ext>
                      </a:extLst>
                    </a:blip>
                    <a:stretch>
                      <a:fillRect/>
                    </a:stretch>
                  </pic:blipFill>
                  <pic:spPr>
                    <a:xfrm>
                      <a:off x="0" y="0"/>
                      <a:ext cx="5400040" cy="4057650"/>
                    </a:xfrm>
                    <a:prstGeom prst="rect">
                      <a:avLst/>
                    </a:prstGeom>
                  </pic:spPr>
                </pic:pic>
              </a:graphicData>
            </a:graphic>
          </wp:inline>
        </w:drawing>
      </w:r>
    </w:p>
    <w:p w14:paraId="6203C929" w14:textId="055545D8" w:rsidR="00D23307" w:rsidRPr="00390777" w:rsidRDefault="00B50976" w:rsidP="00D23307">
      <w:pPr>
        <w:pStyle w:val="Acknowledgement"/>
        <w:spacing w:line="480" w:lineRule="auto"/>
        <w:ind w:left="0" w:firstLine="0"/>
        <w:rPr>
          <w:bCs/>
          <w:color w:val="000000" w:themeColor="text1"/>
        </w:rPr>
      </w:pPr>
      <w:r w:rsidRPr="00390777">
        <w:rPr>
          <w:b/>
          <w:color w:val="000000" w:themeColor="text1"/>
        </w:rPr>
        <w:t>Binding activity of STA551 to Fc</w:t>
      </w:r>
      <w:r w:rsidR="00FD4718" w:rsidRPr="00390777">
        <w:rPr>
          <w:rFonts w:eastAsiaTheme="minorEastAsia"/>
          <w:b/>
          <w:color w:val="000000" w:themeColor="text1"/>
          <w:lang w:eastAsia="ja-JP"/>
        </w:rPr>
        <w:t>γ</w:t>
      </w:r>
      <w:r w:rsidRPr="00390777">
        <w:rPr>
          <w:b/>
          <w:color w:val="000000" w:themeColor="text1"/>
        </w:rPr>
        <w:t xml:space="preserve"> receptors.</w:t>
      </w:r>
      <w:r w:rsidRPr="00390777">
        <w:rPr>
          <w:color w:val="000000" w:themeColor="text1"/>
        </w:rPr>
        <w:t xml:space="preserve"> </w:t>
      </w:r>
      <w:r w:rsidRPr="00390777">
        <w:rPr>
          <w:b/>
          <w:color w:val="000000" w:themeColor="text1"/>
        </w:rPr>
        <w:t>(A)</w:t>
      </w:r>
      <w:r w:rsidRPr="00390777">
        <w:rPr>
          <w:color w:val="000000" w:themeColor="text1"/>
        </w:rPr>
        <w:t xml:space="preserve"> </w:t>
      </w:r>
      <w:r w:rsidRPr="00390777">
        <w:rPr>
          <w:bCs/>
          <w:color w:val="000000" w:themeColor="text1"/>
        </w:rPr>
        <w:t xml:space="preserve">Binding of STA551 to human FcγRs and </w:t>
      </w:r>
      <w:r w:rsidRPr="00390777">
        <w:rPr>
          <w:b/>
          <w:bCs/>
          <w:color w:val="000000" w:themeColor="text1"/>
        </w:rPr>
        <w:t xml:space="preserve">(B) </w:t>
      </w:r>
      <w:r w:rsidRPr="00390777">
        <w:rPr>
          <w:bCs/>
          <w:color w:val="000000" w:themeColor="text1"/>
        </w:rPr>
        <w:t xml:space="preserve">cynomolgus monkey FcγRs. The black bars indicate binding activity of STA551. The gray bars indicate the binding of </w:t>
      </w:r>
      <w:r w:rsidRPr="00390777">
        <w:rPr>
          <w:color w:val="000000" w:themeColor="text1"/>
        </w:rPr>
        <w:t>guselkumab</w:t>
      </w:r>
      <w:r w:rsidRPr="00390777">
        <w:rPr>
          <w:bCs/>
          <w:color w:val="000000" w:themeColor="text1"/>
        </w:rPr>
        <w:t xml:space="preserve"> as an isotype control antibody. ATP: adenosine triphosphate, FcγR: Fc gamma receptor.</w:t>
      </w:r>
    </w:p>
    <w:p w14:paraId="7DAA8C3A" w14:textId="77777777" w:rsidR="00D23307" w:rsidRPr="00390777" w:rsidRDefault="00D23307">
      <w:pPr>
        <w:rPr>
          <w:rFonts w:eastAsia="Times New Roman"/>
          <w:bCs/>
          <w:color w:val="000000" w:themeColor="text1"/>
          <w:sz w:val="24"/>
          <w:szCs w:val="24"/>
        </w:rPr>
      </w:pPr>
      <w:r w:rsidRPr="00390777">
        <w:rPr>
          <w:bCs/>
          <w:color w:val="000000" w:themeColor="text1"/>
        </w:rPr>
        <w:br w:type="page"/>
      </w:r>
    </w:p>
    <w:p w14:paraId="71A8DB14" w14:textId="46491B56" w:rsidR="00B50976" w:rsidRPr="00390777" w:rsidRDefault="00B50976" w:rsidP="00D23307">
      <w:pPr>
        <w:pStyle w:val="Acknowledgement"/>
        <w:spacing w:line="480" w:lineRule="auto"/>
        <w:ind w:left="0" w:firstLine="0"/>
        <w:rPr>
          <w:bCs/>
          <w:color w:val="000000" w:themeColor="text1"/>
        </w:rPr>
      </w:pPr>
      <w:r w:rsidRPr="00390777">
        <w:rPr>
          <w:b/>
          <w:color w:val="000000" w:themeColor="text1"/>
        </w:rPr>
        <w:lastRenderedPageBreak/>
        <w:t xml:space="preserve">Fig. S4. </w:t>
      </w:r>
    </w:p>
    <w:p w14:paraId="5B929936" w14:textId="09C274D4" w:rsidR="00D23307" w:rsidRPr="00390777" w:rsidRDefault="002A5F86" w:rsidP="00D23307">
      <w:pPr>
        <w:pStyle w:val="Paragraph"/>
        <w:spacing w:line="480" w:lineRule="auto"/>
        <w:ind w:firstLine="0"/>
        <w:rPr>
          <w:color w:val="000000" w:themeColor="text1"/>
        </w:rPr>
      </w:pPr>
      <w:r w:rsidRPr="00390777">
        <w:rPr>
          <w:noProof/>
          <w:lang w:eastAsia="ja-JP"/>
        </w:rPr>
        <w:drawing>
          <wp:inline distT="0" distB="0" distL="0" distR="0" wp14:anchorId="7C70F15F" wp14:editId="00533835">
            <wp:extent cx="5400040" cy="4598670"/>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a:ext>
                      </a:extLst>
                    </a:blip>
                    <a:stretch>
                      <a:fillRect/>
                    </a:stretch>
                  </pic:blipFill>
                  <pic:spPr>
                    <a:xfrm>
                      <a:off x="0" y="0"/>
                      <a:ext cx="5400040" cy="4598670"/>
                    </a:xfrm>
                    <a:prstGeom prst="rect">
                      <a:avLst/>
                    </a:prstGeom>
                  </pic:spPr>
                </pic:pic>
              </a:graphicData>
            </a:graphic>
          </wp:inline>
        </w:drawing>
      </w:r>
      <w:r w:rsidR="00B50976" w:rsidRPr="00390777">
        <w:rPr>
          <w:b/>
          <w:color w:val="000000" w:themeColor="text1"/>
        </w:rPr>
        <w:t xml:space="preserve">Binding activity of STA551 to C1q. </w:t>
      </w:r>
      <w:r w:rsidR="00B50976" w:rsidRPr="00390777">
        <w:rPr>
          <w:color w:val="000000" w:themeColor="text1"/>
        </w:rPr>
        <w:t>C1q binding to STA551, recombinant human IgG4 (control IgG4), or guselkumab (control IgG1) was measured by ELISA. Microplates coated with various concentrations of these antibodies were incubated with C1q protein. Antibody binding to C1q was revealed with HRP anti-C1q antibody. The symbol (</w:t>
      </w:r>
      <w:r w:rsidR="00B50976" w:rsidRPr="00390777">
        <w:rPr>
          <w:rFonts w:asciiTheme="minorEastAsia" w:eastAsiaTheme="minorEastAsia" w:hAnsiTheme="minorEastAsia" w:hint="eastAsia"/>
          <w:color w:val="000000" w:themeColor="text1"/>
          <w:lang w:eastAsia="ja-JP"/>
        </w:rPr>
        <w:t>●</w:t>
      </w:r>
      <w:r w:rsidR="00B50976" w:rsidRPr="00390777">
        <w:rPr>
          <w:color w:val="000000" w:themeColor="text1"/>
        </w:rPr>
        <w:t>) indicates STA551, (</w:t>
      </w:r>
      <w:r w:rsidR="00413D99" w:rsidRPr="00390777">
        <w:rPr>
          <w:rFonts w:asciiTheme="minorEastAsia" w:eastAsiaTheme="minorEastAsia" w:hAnsiTheme="minorEastAsia" w:hint="eastAsia"/>
          <w:color w:val="000000" w:themeColor="text1"/>
          <w:lang w:eastAsia="ja-JP"/>
        </w:rPr>
        <w:t>□</w:t>
      </w:r>
      <w:r w:rsidR="00B50976" w:rsidRPr="00390777">
        <w:rPr>
          <w:color w:val="000000" w:themeColor="text1"/>
        </w:rPr>
        <w:t>) control IgG4, and (</w:t>
      </w:r>
      <w:r w:rsidR="00413D99" w:rsidRPr="00390777">
        <w:rPr>
          <w:rFonts w:asciiTheme="minorEastAsia" w:eastAsiaTheme="minorEastAsia" w:hAnsiTheme="minorEastAsia" w:hint="eastAsia"/>
          <w:color w:val="000000" w:themeColor="text1"/>
          <w:lang w:eastAsia="ja-JP"/>
        </w:rPr>
        <w:t>▲</w:t>
      </w:r>
      <w:r w:rsidR="00B50976" w:rsidRPr="00390777">
        <w:rPr>
          <w:color w:val="000000" w:themeColor="text1"/>
        </w:rPr>
        <w:t xml:space="preserve">) guselkumab. Each point </w:t>
      </w:r>
      <w:r w:rsidR="00B50976" w:rsidRPr="00390777">
        <w:rPr>
          <w:color w:val="000000" w:themeColor="text1"/>
        </w:rPr>
        <w:lastRenderedPageBreak/>
        <w:t>represents mean ± SD (n=4). The bars depicting SD are shorter than the height of the symbols.</w:t>
      </w:r>
    </w:p>
    <w:p w14:paraId="59FB9538" w14:textId="77777777" w:rsidR="00D23307" w:rsidRPr="00390777" w:rsidRDefault="00D23307">
      <w:pPr>
        <w:rPr>
          <w:rFonts w:eastAsia="Times New Roman"/>
          <w:color w:val="000000" w:themeColor="text1"/>
          <w:sz w:val="24"/>
          <w:szCs w:val="24"/>
        </w:rPr>
      </w:pPr>
      <w:r w:rsidRPr="00390777">
        <w:rPr>
          <w:color w:val="000000" w:themeColor="text1"/>
        </w:rPr>
        <w:br w:type="page"/>
      </w:r>
    </w:p>
    <w:p w14:paraId="45CE07FB" w14:textId="220CA3FB" w:rsidR="00B50976" w:rsidRPr="00390777" w:rsidRDefault="00B50976" w:rsidP="00D23307">
      <w:pPr>
        <w:pStyle w:val="Paragraph"/>
        <w:spacing w:line="480" w:lineRule="auto"/>
        <w:ind w:firstLine="0"/>
        <w:rPr>
          <w:color w:val="000000" w:themeColor="text1"/>
        </w:rPr>
      </w:pPr>
      <w:r w:rsidRPr="00390777">
        <w:rPr>
          <w:b/>
          <w:color w:val="000000" w:themeColor="text1"/>
        </w:rPr>
        <w:lastRenderedPageBreak/>
        <w:t xml:space="preserve">Fig. S5. </w:t>
      </w:r>
    </w:p>
    <w:p w14:paraId="0C14F823" w14:textId="4025EF55" w:rsidR="00B50976" w:rsidRPr="00390777" w:rsidRDefault="0059175B" w:rsidP="00A061DA">
      <w:pPr>
        <w:spacing w:line="480" w:lineRule="auto"/>
        <w:rPr>
          <w:b/>
          <w:bCs/>
          <w:color w:val="000000" w:themeColor="text1"/>
          <w:sz w:val="24"/>
          <w:szCs w:val="24"/>
        </w:rPr>
      </w:pPr>
      <w:r w:rsidRPr="00390777">
        <w:rPr>
          <w:noProof/>
          <w:lang w:eastAsia="ja-JP"/>
        </w:rPr>
        <w:drawing>
          <wp:inline distT="0" distB="0" distL="0" distR="0" wp14:anchorId="0A5B62D4" wp14:editId="4DB41FD7">
            <wp:extent cx="5400040" cy="2056765"/>
            <wp:effectExtent l="0" t="0" r="0" b="635"/>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a:ext>
                      </a:extLst>
                    </a:blip>
                    <a:stretch>
                      <a:fillRect/>
                    </a:stretch>
                  </pic:blipFill>
                  <pic:spPr>
                    <a:xfrm>
                      <a:off x="0" y="0"/>
                      <a:ext cx="5400040" cy="2056765"/>
                    </a:xfrm>
                    <a:prstGeom prst="rect">
                      <a:avLst/>
                    </a:prstGeom>
                  </pic:spPr>
                </pic:pic>
              </a:graphicData>
            </a:graphic>
          </wp:inline>
        </w:drawing>
      </w:r>
    </w:p>
    <w:p w14:paraId="27DD13AD" w14:textId="05D8D854" w:rsidR="00D23307" w:rsidRPr="00390777" w:rsidRDefault="00B50976" w:rsidP="00D23307">
      <w:pPr>
        <w:spacing w:line="480" w:lineRule="auto"/>
        <w:rPr>
          <w:bCs/>
          <w:color w:val="000000" w:themeColor="text1"/>
          <w:sz w:val="24"/>
          <w:szCs w:val="24"/>
        </w:rPr>
      </w:pPr>
      <w:r w:rsidRPr="00390777">
        <w:rPr>
          <w:b/>
          <w:bCs/>
          <w:color w:val="000000" w:themeColor="text1"/>
          <w:sz w:val="24"/>
          <w:szCs w:val="24"/>
        </w:rPr>
        <w:t>Comparison of STA551-, Ure-hIgG4- and Uto-hIgG2-co-stimulated IFN-γ releases from human CD8</w:t>
      </w:r>
      <w:r w:rsidRPr="00390777">
        <w:rPr>
          <w:b/>
          <w:bCs/>
          <w:color w:val="000000" w:themeColor="text1"/>
          <w:sz w:val="24"/>
          <w:szCs w:val="24"/>
          <w:vertAlign w:val="superscript"/>
        </w:rPr>
        <w:t>+</w:t>
      </w:r>
      <w:r w:rsidRPr="00390777">
        <w:rPr>
          <w:b/>
          <w:bCs/>
          <w:color w:val="000000" w:themeColor="text1"/>
          <w:sz w:val="24"/>
          <w:szCs w:val="24"/>
        </w:rPr>
        <w:t xml:space="preserve"> T cells.</w:t>
      </w:r>
      <w:r w:rsidRPr="00390777">
        <w:rPr>
          <w:bCs/>
          <w:color w:val="000000" w:themeColor="text1"/>
          <w:sz w:val="24"/>
          <w:szCs w:val="24"/>
        </w:rPr>
        <w:t xml:space="preserve"> Human CD8</w:t>
      </w:r>
      <w:r w:rsidRPr="00390777">
        <w:rPr>
          <w:bCs/>
          <w:color w:val="000000" w:themeColor="text1"/>
          <w:sz w:val="24"/>
          <w:szCs w:val="24"/>
          <w:vertAlign w:val="superscript"/>
        </w:rPr>
        <w:t>+</w:t>
      </w:r>
      <w:r w:rsidRPr="00390777">
        <w:rPr>
          <w:bCs/>
          <w:color w:val="000000" w:themeColor="text1"/>
          <w:sz w:val="24"/>
          <w:szCs w:val="24"/>
        </w:rPr>
        <w:t xml:space="preserve"> T cells from three different donors were co-cultured with each antibody, human FcγRIIa-expressing CHO cells, and human FcγRIIb-expressing CHO cells in the presence of 100 μmol/L ATP. The IFN-γ concentrations in the medium were measured by ELISA. The blue circle indicates STA551, the pink triangle Ure-hIgG4, the green square Uto-hIgG2.</w:t>
      </w:r>
      <w:r w:rsidRPr="00390777">
        <w:rPr>
          <w:bCs/>
          <w:color w:val="000000" w:themeColor="text1"/>
          <w:sz w:val="24"/>
          <w:szCs w:val="24"/>
          <w:lang w:val="en-GB"/>
        </w:rPr>
        <w:t xml:space="preserve"> Each point represents mean ± SD (n=3).</w:t>
      </w:r>
      <w:r w:rsidRPr="00390777">
        <w:rPr>
          <w:bCs/>
          <w:color w:val="000000" w:themeColor="text1"/>
          <w:sz w:val="24"/>
          <w:szCs w:val="24"/>
        </w:rPr>
        <w:t xml:space="preserve"> </w:t>
      </w:r>
      <w:r w:rsidRPr="00390777">
        <w:rPr>
          <w:color w:val="000000" w:themeColor="text1"/>
          <w:sz w:val="24"/>
          <w:szCs w:val="24"/>
          <w:lang w:val="en-GB"/>
        </w:rPr>
        <w:t>*, **, ***: Statistical differences in IFN-</w:t>
      </w:r>
      <w:r w:rsidR="003A6740" w:rsidRPr="00390777">
        <w:rPr>
          <w:rFonts w:eastAsiaTheme="minorEastAsia"/>
          <w:color w:val="000000" w:themeColor="text1"/>
          <w:sz w:val="24"/>
          <w:szCs w:val="24"/>
          <w:lang w:eastAsia="ja-JP"/>
        </w:rPr>
        <w:t>γ</w:t>
      </w:r>
      <w:r w:rsidRPr="00390777">
        <w:rPr>
          <w:color w:val="000000" w:themeColor="text1"/>
          <w:sz w:val="24"/>
          <w:szCs w:val="24"/>
          <w:lang w:val="en-GB"/>
        </w:rPr>
        <w:t xml:space="preserve"> levels between STA551 and Uto-hIgG2 at 1 μg/mL (*P &lt; 0.05, **P &lt; 0.01, ***P &lt; 0.001 by </w:t>
      </w:r>
      <w:r w:rsidR="00470CA5" w:rsidRPr="00390777">
        <w:rPr>
          <w:color w:val="000000" w:themeColor="text1"/>
          <w:sz w:val="24"/>
          <w:szCs w:val="24"/>
          <w:lang w:val="en-GB"/>
        </w:rPr>
        <w:t>t-</w:t>
      </w:r>
      <w:r w:rsidRPr="00390777">
        <w:rPr>
          <w:color w:val="000000" w:themeColor="text1"/>
          <w:sz w:val="24"/>
          <w:szCs w:val="24"/>
          <w:lang w:val="en-GB"/>
        </w:rPr>
        <w:t>test).</w:t>
      </w:r>
      <w:r w:rsidRPr="00390777">
        <w:rPr>
          <w:bCs/>
          <w:color w:val="000000" w:themeColor="text1"/>
          <w:sz w:val="24"/>
          <w:szCs w:val="24"/>
        </w:rPr>
        <w:t xml:space="preserve"> </w:t>
      </w:r>
      <w:r w:rsidRPr="00390777">
        <w:rPr>
          <w:bCs/>
          <w:color w:val="000000"/>
          <w:sz w:val="24"/>
          <w:szCs w:val="24"/>
        </w:rPr>
        <w:t>IFN-γ: Interferon gamma</w:t>
      </w:r>
      <w:r w:rsidRPr="00390777">
        <w:rPr>
          <w:bCs/>
          <w:color w:val="000000" w:themeColor="text1"/>
          <w:sz w:val="24"/>
          <w:szCs w:val="24"/>
        </w:rPr>
        <w:t>, FcγR: Fc gamma receptor.</w:t>
      </w:r>
    </w:p>
    <w:p w14:paraId="6625B9AF" w14:textId="77777777" w:rsidR="00D23307" w:rsidRPr="00390777" w:rsidRDefault="00D23307">
      <w:pPr>
        <w:rPr>
          <w:bCs/>
          <w:color w:val="000000" w:themeColor="text1"/>
          <w:sz w:val="24"/>
          <w:szCs w:val="24"/>
        </w:rPr>
      </w:pPr>
      <w:r w:rsidRPr="00390777">
        <w:rPr>
          <w:bCs/>
          <w:color w:val="000000" w:themeColor="text1"/>
          <w:sz w:val="24"/>
          <w:szCs w:val="24"/>
        </w:rPr>
        <w:br w:type="page"/>
      </w:r>
    </w:p>
    <w:p w14:paraId="0BA4BCEA" w14:textId="67489269" w:rsidR="00B50976" w:rsidRPr="00390777" w:rsidRDefault="00B50976" w:rsidP="00D23307">
      <w:pPr>
        <w:spacing w:line="480" w:lineRule="auto"/>
        <w:rPr>
          <w:bCs/>
          <w:color w:val="000000" w:themeColor="text1"/>
          <w:sz w:val="24"/>
          <w:szCs w:val="24"/>
        </w:rPr>
      </w:pPr>
      <w:r w:rsidRPr="00390777">
        <w:rPr>
          <w:b/>
          <w:color w:val="000000" w:themeColor="text1"/>
          <w:sz w:val="24"/>
          <w:szCs w:val="24"/>
        </w:rPr>
        <w:lastRenderedPageBreak/>
        <w:t xml:space="preserve">Fig. S6. </w:t>
      </w:r>
    </w:p>
    <w:p w14:paraId="1834080D" w14:textId="50C4CE94" w:rsidR="00B50976" w:rsidRPr="00390777" w:rsidRDefault="0059175B" w:rsidP="0059175B">
      <w:pPr>
        <w:pStyle w:val="Paragraph"/>
        <w:spacing w:line="480" w:lineRule="auto"/>
        <w:ind w:firstLine="0"/>
        <w:rPr>
          <w:bCs/>
          <w:color w:val="000000" w:themeColor="text1"/>
        </w:rPr>
      </w:pPr>
      <w:r w:rsidRPr="00390777">
        <w:rPr>
          <w:noProof/>
          <w:lang w:eastAsia="ja-JP"/>
        </w:rPr>
        <w:drawing>
          <wp:inline distT="0" distB="0" distL="0" distR="0" wp14:anchorId="20CAE6A5" wp14:editId="24F11F88">
            <wp:extent cx="5400040" cy="5393055"/>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a:ext>
                      </a:extLst>
                    </a:blip>
                    <a:stretch>
                      <a:fillRect/>
                    </a:stretch>
                  </pic:blipFill>
                  <pic:spPr>
                    <a:xfrm>
                      <a:off x="0" y="0"/>
                      <a:ext cx="5400040" cy="5393055"/>
                    </a:xfrm>
                    <a:prstGeom prst="rect">
                      <a:avLst/>
                    </a:prstGeom>
                  </pic:spPr>
                </pic:pic>
              </a:graphicData>
            </a:graphic>
          </wp:inline>
        </w:drawing>
      </w:r>
      <w:r w:rsidR="00B50976" w:rsidRPr="00390777">
        <w:rPr>
          <w:rFonts w:hint="eastAsia"/>
          <w:color w:val="000000" w:themeColor="text1"/>
          <w:lang w:eastAsia="ja-JP"/>
        </w:rPr>
        <w:t xml:space="preserve">  </w:t>
      </w:r>
    </w:p>
    <w:p w14:paraId="0942EC7E" w14:textId="4A036CF0" w:rsidR="00B50976" w:rsidRPr="00390777" w:rsidRDefault="00B50976" w:rsidP="00D23307">
      <w:pPr>
        <w:spacing w:before="120" w:line="480" w:lineRule="auto"/>
        <w:rPr>
          <w:bCs/>
          <w:color w:val="000000" w:themeColor="text1"/>
          <w:sz w:val="24"/>
          <w:szCs w:val="24"/>
        </w:rPr>
      </w:pPr>
      <w:r w:rsidRPr="00390777">
        <w:rPr>
          <w:b/>
          <w:bCs/>
          <w:color w:val="000000" w:themeColor="text1"/>
          <w:sz w:val="24"/>
          <w:szCs w:val="24"/>
        </w:rPr>
        <w:t>ANCOVA statistical analysis of IFN-γ release induced by STA551 or Ure-hIgG4</w:t>
      </w:r>
      <w:r w:rsidRPr="00390777">
        <w:rPr>
          <w:b/>
          <w:color w:val="000000" w:themeColor="text1"/>
          <w:sz w:val="24"/>
          <w:szCs w:val="24"/>
        </w:rPr>
        <w:t>.</w:t>
      </w:r>
      <w:r w:rsidRPr="00390777">
        <w:rPr>
          <w:bCs/>
          <w:color w:val="000000" w:themeColor="text1"/>
          <w:sz w:val="24"/>
          <w:szCs w:val="24"/>
        </w:rPr>
        <w:t xml:space="preserve"> </w:t>
      </w:r>
      <w:r w:rsidRPr="00390777">
        <w:rPr>
          <w:color w:val="000000" w:themeColor="text1"/>
          <w:sz w:val="24"/>
          <w:szCs w:val="24"/>
        </w:rPr>
        <w:t>Human PBMCs from the fresh blood of 20 healthy donors were incubated with STA551 or Ure-hIgG4 in the presence of 250 μmol/L ATP.</w:t>
      </w:r>
      <w:r w:rsidRPr="00390777">
        <w:rPr>
          <w:rFonts w:eastAsia="Times New Roman"/>
          <w:bCs/>
          <w:color w:val="000000" w:themeColor="text1"/>
          <w:sz w:val="24"/>
          <w:szCs w:val="24"/>
          <w:lang w:val="en-GB"/>
        </w:rPr>
        <w:t xml:space="preserve"> The IFN-γ concentrations in the medium were measured by ELISA.</w:t>
      </w:r>
      <w:r w:rsidRPr="00390777">
        <w:rPr>
          <w:rFonts w:eastAsia="Times New Roman"/>
          <w:bCs/>
          <w:color w:val="000000" w:themeColor="text1"/>
          <w:sz w:val="24"/>
          <w:szCs w:val="24"/>
        </w:rPr>
        <w:t xml:space="preserve"> </w:t>
      </w:r>
      <w:r w:rsidRPr="00390777">
        <w:rPr>
          <w:color w:val="000000" w:themeColor="text1"/>
          <w:sz w:val="24"/>
          <w:szCs w:val="24"/>
        </w:rPr>
        <w:t>The blue circles</w:t>
      </w:r>
      <w:r w:rsidRPr="00390777">
        <w:rPr>
          <w:rFonts w:eastAsia="Times New Roman"/>
          <w:bCs/>
          <w:color w:val="000000" w:themeColor="text1"/>
          <w:sz w:val="24"/>
          <w:szCs w:val="24"/>
        </w:rPr>
        <w:t xml:space="preserve"> indicate STA551, and the pink triangles Ure-hIgG4. X-axis shows IFN-γ release in anti-KLH-hIgG4 treatment group. </w:t>
      </w:r>
      <w:r w:rsidRPr="00390777">
        <w:rPr>
          <w:rFonts w:eastAsia="Times New Roman"/>
          <w:bCs/>
          <w:color w:val="000000" w:themeColor="text1"/>
          <w:sz w:val="24"/>
          <w:szCs w:val="24"/>
        </w:rPr>
        <w:lastRenderedPageBreak/>
        <w:t xml:space="preserve">X-axis values in blue and pink are from the same donors. Y-axis shows IFN-γ release in STA551 (blue) or Ure-hIgG4 (pink) treatment group. Anti-KLH-hIgG4, which does not bind to human CD137, was used as a negative control. Dotted line shows linear approximation of these groups. </w:t>
      </w:r>
      <w:r w:rsidRPr="00390777">
        <w:rPr>
          <w:color w:val="000000" w:themeColor="text1"/>
          <w:sz w:val="24"/>
          <w:szCs w:val="24"/>
        </w:rPr>
        <w:t xml:space="preserve">*: Statistical differences of IFN-γ levels between STA551 and Ure-hIgG4 (*P &lt; 0.001 by ANCOVA). </w:t>
      </w:r>
      <w:r w:rsidRPr="00390777">
        <w:rPr>
          <w:rFonts w:eastAsia="Times New Roman"/>
          <w:bCs/>
          <w:color w:val="000000" w:themeColor="text1"/>
          <w:sz w:val="24"/>
          <w:szCs w:val="24"/>
        </w:rPr>
        <w:t xml:space="preserve">IFN-γ: Interferon gamma, PBMCs: </w:t>
      </w:r>
      <w:r w:rsidRPr="00390777">
        <w:rPr>
          <w:color w:val="000000" w:themeColor="text1"/>
          <w:sz w:val="24"/>
          <w:szCs w:val="24"/>
        </w:rPr>
        <w:t xml:space="preserve">peripheral blood mononuclear cells, </w:t>
      </w:r>
      <w:r w:rsidRPr="00390777">
        <w:rPr>
          <w:bCs/>
          <w:color w:val="000000" w:themeColor="text1"/>
          <w:sz w:val="24"/>
          <w:szCs w:val="24"/>
        </w:rPr>
        <w:t>ATP: adenosine triphosphate</w:t>
      </w:r>
      <w:r w:rsidRPr="00390777">
        <w:rPr>
          <w:bCs/>
          <w:color w:val="000000"/>
          <w:sz w:val="24"/>
          <w:szCs w:val="24"/>
        </w:rPr>
        <w:t>, ELISA: enzyme-linked immunosorbent assay</w:t>
      </w:r>
      <w:r w:rsidRPr="00390777">
        <w:rPr>
          <w:bCs/>
          <w:color w:val="000000" w:themeColor="text1"/>
          <w:sz w:val="24"/>
          <w:szCs w:val="24"/>
        </w:rPr>
        <w:t>.</w:t>
      </w:r>
    </w:p>
    <w:p w14:paraId="466D258D" w14:textId="77777777" w:rsidR="00A95538" w:rsidRPr="00390777" w:rsidRDefault="00A95538">
      <w:pPr>
        <w:rPr>
          <w:rFonts w:eastAsiaTheme="minorEastAsia"/>
          <w:b/>
          <w:color w:val="000000" w:themeColor="text1"/>
          <w:sz w:val="24"/>
          <w:szCs w:val="24"/>
          <w:lang w:eastAsia="ja-JP"/>
        </w:rPr>
      </w:pPr>
      <w:r w:rsidRPr="00390777">
        <w:rPr>
          <w:rFonts w:eastAsiaTheme="minorEastAsia"/>
          <w:b/>
          <w:color w:val="000000" w:themeColor="text1"/>
          <w:sz w:val="24"/>
          <w:szCs w:val="24"/>
          <w:lang w:eastAsia="ja-JP"/>
        </w:rPr>
        <w:br w:type="page"/>
      </w:r>
    </w:p>
    <w:p w14:paraId="67774256" w14:textId="4546C129" w:rsidR="00B50976" w:rsidRPr="00390777" w:rsidRDefault="00B50976" w:rsidP="00A061DA">
      <w:pPr>
        <w:spacing w:line="480" w:lineRule="auto"/>
        <w:rPr>
          <w:rFonts w:eastAsiaTheme="minorEastAsia"/>
          <w:b/>
          <w:color w:val="000000" w:themeColor="text1"/>
          <w:sz w:val="24"/>
          <w:szCs w:val="24"/>
          <w:lang w:eastAsia="ja-JP"/>
        </w:rPr>
      </w:pPr>
      <w:r w:rsidRPr="00390777">
        <w:rPr>
          <w:rFonts w:eastAsiaTheme="minorEastAsia"/>
          <w:b/>
          <w:color w:val="000000" w:themeColor="text1"/>
          <w:sz w:val="24"/>
          <w:szCs w:val="24"/>
          <w:lang w:eastAsia="ja-JP"/>
        </w:rPr>
        <w:lastRenderedPageBreak/>
        <w:t>Fig. S7.</w:t>
      </w:r>
      <w:r w:rsidRPr="00390777">
        <w:rPr>
          <w:b/>
          <w:color w:val="000000" w:themeColor="text1"/>
          <w:sz w:val="24"/>
          <w:szCs w:val="24"/>
        </w:rPr>
        <w:t xml:space="preserve"> </w:t>
      </w:r>
    </w:p>
    <w:p w14:paraId="6538DB28" w14:textId="5919A5DA" w:rsidR="00B50976" w:rsidRPr="00390777" w:rsidRDefault="0059175B" w:rsidP="00A061DA">
      <w:pPr>
        <w:spacing w:line="480" w:lineRule="auto"/>
        <w:rPr>
          <w:rFonts w:eastAsiaTheme="minorEastAsia"/>
          <w:b/>
          <w:color w:val="000000" w:themeColor="text1"/>
          <w:sz w:val="24"/>
          <w:szCs w:val="24"/>
          <w:lang w:eastAsia="ja-JP"/>
        </w:rPr>
      </w:pPr>
      <w:r w:rsidRPr="00390777">
        <w:rPr>
          <w:noProof/>
          <w:lang w:eastAsia="ja-JP"/>
        </w:rPr>
        <w:drawing>
          <wp:inline distT="0" distB="0" distL="0" distR="0" wp14:anchorId="47FC7A28" wp14:editId="031C9058">
            <wp:extent cx="5400040" cy="4064635"/>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a:ext>
                      </a:extLst>
                    </a:blip>
                    <a:stretch>
                      <a:fillRect/>
                    </a:stretch>
                  </pic:blipFill>
                  <pic:spPr>
                    <a:xfrm>
                      <a:off x="0" y="0"/>
                      <a:ext cx="5400040" cy="4064635"/>
                    </a:xfrm>
                    <a:prstGeom prst="rect">
                      <a:avLst/>
                    </a:prstGeom>
                  </pic:spPr>
                </pic:pic>
              </a:graphicData>
            </a:graphic>
          </wp:inline>
        </w:drawing>
      </w:r>
    </w:p>
    <w:p w14:paraId="3396761E" w14:textId="23F63878" w:rsidR="00B50976" w:rsidRPr="00390777" w:rsidRDefault="00B50976" w:rsidP="00A061DA">
      <w:pPr>
        <w:pStyle w:val="Paragraph"/>
        <w:spacing w:line="480" w:lineRule="auto"/>
        <w:ind w:firstLine="0"/>
        <w:rPr>
          <w:b/>
          <w:color w:val="000000" w:themeColor="text1"/>
        </w:rPr>
      </w:pPr>
      <w:r w:rsidRPr="00390777">
        <w:rPr>
          <w:b/>
          <w:color w:val="000000" w:themeColor="text1"/>
        </w:rPr>
        <w:t>Establishment of human CD137 knock-in mice. (A)</w:t>
      </w:r>
      <w:r w:rsidRPr="00390777">
        <w:rPr>
          <w:color w:val="000000" w:themeColor="text1"/>
        </w:rPr>
        <w:t xml:space="preserve"> A vector construction and recombination strategy</w:t>
      </w:r>
      <w:r w:rsidRPr="00390777">
        <w:rPr>
          <w:rFonts w:eastAsiaTheme="minorEastAsia"/>
          <w:color w:val="000000" w:themeColor="text1"/>
          <w:lang w:eastAsia="ja-JP"/>
        </w:rPr>
        <w:t xml:space="preserve"> are shown. </w:t>
      </w:r>
      <w:r w:rsidRPr="00390777">
        <w:rPr>
          <w:color w:val="000000" w:themeColor="text1"/>
        </w:rPr>
        <w:t>A human CD137 knock-in vector contains human</w:t>
      </w:r>
      <w:r w:rsidRPr="00390777">
        <w:rPr>
          <w:i/>
          <w:color w:val="000000" w:themeColor="text1"/>
        </w:rPr>
        <w:t xml:space="preserve"> CD137 </w:t>
      </w:r>
      <w:r w:rsidRPr="00390777">
        <w:rPr>
          <w:color w:val="000000" w:themeColor="text1"/>
        </w:rPr>
        <w:t>genomic DNA encompassing the initial codon (ATG) to terminal codon (TGA) with NeoR cassette inserted into the 2</w:t>
      </w:r>
      <w:r w:rsidRPr="00390777">
        <w:rPr>
          <w:color w:val="000000" w:themeColor="text1"/>
          <w:vertAlign w:val="superscript"/>
        </w:rPr>
        <w:t>nd</w:t>
      </w:r>
      <w:r w:rsidRPr="00390777">
        <w:rPr>
          <w:color w:val="000000" w:themeColor="text1"/>
        </w:rPr>
        <w:t xml:space="preserve"> intron, flanked by mouse homology arms. Arrows, PCR primers for genotyping. </w:t>
      </w:r>
      <w:r w:rsidRPr="00390777">
        <w:rPr>
          <w:color w:val="000000"/>
        </w:rPr>
        <w:t>IC: initial codon, TC: terminal codon, HR: homology region, NeoR: neomycin resistance</w:t>
      </w:r>
      <w:r w:rsidRPr="00390777">
        <w:rPr>
          <w:rFonts w:eastAsiaTheme="minorEastAsia"/>
          <w:b/>
          <w:color w:val="000000" w:themeColor="text1"/>
          <w:lang w:eastAsia="ja-JP"/>
        </w:rPr>
        <w:t xml:space="preserve"> </w:t>
      </w:r>
      <w:r w:rsidRPr="00390777">
        <w:rPr>
          <w:b/>
          <w:color w:val="000000" w:themeColor="text1"/>
        </w:rPr>
        <w:t xml:space="preserve">(B) </w:t>
      </w:r>
      <w:r w:rsidRPr="00390777">
        <w:rPr>
          <w:color w:val="000000" w:themeColor="text1"/>
        </w:rPr>
        <w:t>Result of genotyping to confirm replacement of endogenous </w:t>
      </w:r>
      <w:r w:rsidRPr="00390777">
        <w:rPr>
          <w:i/>
          <w:iCs/>
          <w:color w:val="000000" w:themeColor="text1"/>
        </w:rPr>
        <w:t>Cd137</w:t>
      </w:r>
      <w:r w:rsidRPr="00390777">
        <w:rPr>
          <w:color w:val="000000" w:themeColor="text1"/>
        </w:rPr>
        <w:t xml:space="preserve"> with the human </w:t>
      </w:r>
      <w:r w:rsidRPr="00390777">
        <w:rPr>
          <w:i/>
          <w:iCs/>
          <w:color w:val="000000" w:themeColor="text1"/>
        </w:rPr>
        <w:t>CD137</w:t>
      </w:r>
      <w:r w:rsidRPr="00390777">
        <w:rPr>
          <w:color w:val="000000" w:themeColor="text1"/>
        </w:rPr>
        <w:t> genomic DNA. Wild allele-specific product was detected as a signal of about 950 bp, whereas human </w:t>
      </w:r>
      <w:r w:rsidRPr="00390777">
        <w:rPr>
          <w:i/>
          <w:iCs/>
          <w:color w:val="000000" w:themeColor="text1"/>
        </w:rPr>
        <w:t xml:space="preserve">CD137 </w:t>
      </w:r>
      <w:r w:rsidRPr="00390777">
        <w:rPr>
          <w:color w:val="000000" w:themeColor="text1"/>
        </w:rPr>
        <w:lastRenderedPageBreak/>
        <w:t>knock-in allele-specific</w:t>
      </w:r>
      <w:r w:rsidRPr="00390777">
        <w:rPr>
          <w:i/>
          <w:iCs/>
          <w:color w:val="000000" w:themeColor="text1"/>
        </w:rPr>
        <w:t xml:space="preserve"> </w:t>
      </w:r>
      <w:r w:rsidRPr="00390777">
        <w:rPr>
          <w:color w:val="000000" w:themeColor="text1"/>
        </w:rPr>
        <w:t>product was detected as a signal of about 600 bp. Wt: wild, He: hetero, Ho: homo</w:t>
      </w:r>
      <w:r w:rsidRPr="00390777">
        <w:rPr>
          <w:rFonts w:eastAsiaTheme="minorEastAsia"/>
          <w:b/>
          <w:color w:val="000000" w:themeColor="text1"/>
          <w:lang w:eastAsia="ja-JP"/>
        </w:rPr>
        <w:t xml:space="preserve"> </w:t>
      </w:r>
      <w:r w:rsidRPr="00390777">
        <w:rPr>
          <w:b/>
          <w:color w:val="000000" w:themeColor="text1"/>
        </w:rPr>
        <w:t xml:space="preserve">(C) </w:t>
      </w:r>
      <w:r w:rsidRPr="00390777">
        <w:rPr>
          <w:color w:val="000000" w:themeColor="text1"/>
        </w:rPr>
        <w:t>Result of RT-PCR analysis for mouse </w:t>
      </w:r>
      <w:r w:rsidRPr="00390777">
        <w:rPr>
          <w:i/>
          <w:iCs/>
          <w:color w:val="000000" w:themeColor="text1"/>
        </w:rPr>
        <w:t>Cd137</w:t>
      </w:r>
      <w:r w:rsidRPr="00390777">
        <w:rPr>
          <w:color w:val="000000" w:themeColor="text1"/>
        </w:rPr>
        <w:t> or human </w:t>
      </w:r>
      <w:r w:rsidRPr="00390777">
        <w:rPr>
          <w:i/>
          <w:iCs/>
          <w:color w:val="000000" w:themeColor="text1"/>
        </w:rPr>
        <w:t>CD137</w:t>
      </w:r>
      <w:r w:rsidRPr="00390777">
        <w:rPr>
          <w:color w:val="000000" w:themeColor="text1"/>
        </w:rPr>
        <w:t xml:space="preserve"> expression in the stimulated spleen cells. Human </w:t>
      </w:r>
      <w:r w:rsidRPr="00390777">
        <w:rPr>
          <w:i/>
          <w:color w:val="000000" w:themeColor="text1"/>
        </w:rPr>
        <w:t>CD137</w:t>
      </w:r>
      <w:r w:rsidRPr="00390777">
        <w:rPr>
          <w:color w:val="000000" w:themeColor="text1"/>
        </w:rPr>
        <w:t xml:space="preserve"> and mouse </w:t>
      </w:r>
      <w:r w:rsidRPr="00390777">
        <w:rPr>
          <w:i/>
          <w:color w:val="000000" w:themeColor="text1"/>
        </w:rPr>
        <w:t>Cd137</w:t>
      </w:r>
      <w:r w:rsidRPr="00390777">
        <w:rPr>
          <w:color w:val="000000" w:themeColor="text1"/>
        </w:rPr>
        <w:t xml:space="preserve"> gene-specific products were detected as a signal of 500 bp and 493 bp</w:t>
      </w:r>
      <w:r w:rsidR="00431F12" w:rsidRPr="00390777">
        <w:rPr>
          <w:color w:val="000000" w:themeColor="text1"/>
        </w:rPr>
        <w:t>,</w:t>
      </w:r>
      <w:r w:rsidRPr="00390777">
        <w:rPr>
          <w:color w:val="000000" w:themeColor="text1"/>
        </w:rPr>
        <w:t xml:space="preserve"> respectively. Human CD137 knock-in mice expressed only human CD137, whereas endogenous mouse Cd137 was not detected.</w:t>
      </w:r>
      <w:r w:rsidRPr="00390777">
        <w:rPr>
          <w:rFonts w:eastAsiaTheme="minorEastAsia"/>
          <w:b/>
          <w:color w:val="000000" w:themeColor="text1"/>
          <w:lang w:eastAsia="ja-JP"/>
        </w:rPr>
        <w:t xml:space="preserve"> (D) </w:t>
      </w:r>
      <w:r w:rsidRPr="00390777">
        <w:rPr>
          <w:color w:val="000000" w:themeColor="text1"/>
        </w:rPr>
        <w:t xml:space="preserve">Each antibody (1D8-mIgG1 and Ure-mIgG1)-binding profile on </w:t>
      </w:r>
      <w:r w:rsidRPr="00390777">
        <w:rPr>
          <w:rFonts w:hint="eastAsia"/>
          <w:color w:val="000000" w:themeColor="text1"/>
        </w:rPr>
        <w:t>CD3</w:t>
      </w:r>
      <w:r w:rsidR="00521F80" w:rsidRPr="00390777">
        <w:rPr>
          <w:color w:val="000000" w:themeColor="text1"/>
        </w:rPr>
        <w:t>ε</w:t>
      </w:r>
      <w:r w:rsidRPr="00390777">
        <w:rPr>
          <w:rFonts w:hint="eastAsia"/>
          <w:color w:val="000000" w:themeColor="text1"/>
          <w:vertAlign w:val="superscript"/>
        </w:rPr>
        <w:t>+</w:t>
      </w:r>
      <w:r w:rsidRPr="00390777">
        <w:rPr>
          <w:color w:val="000000" w:themeColor="text1"/>
        </w:rPr>
        <w:t xml:space="preserve"> </w:t>
      </w:r>
      <w:r w:rsidRPr="00390777">
        <w:rPr>
          <w:rFonts w:hint="eastAsia"/>
          <w:color w:val="000000" w:themeColor="text1"/>
        </w:rPr>
        <w:t>CD8</w:t>
      </w:r>
      <w:r w:rsidRPr="00390777">
        <w:rPr>
          <w:rFonts w:hint="eastAsia"/>
          <w:color w:val="000000" w:themeColor="text1"/>
          <w:vertAlign w:val="superscript"/>
        </w:rPr>
        <w:t>+</w:t>
      </w:r>
      <w:r w:rsidRPr="00390777">
        <w:rPr>
          <w:color w:val="000000" w:themeColor="text1"/>
        </w:rPr>
        <w:t xml:space="preserve"> </w:t>
      </w:r>
      <w:r w:rsidRPr="00390777">
        <w:rPr>
          <w:rFonts w:hint="eastAsia"/>
          <w:color w:val="000000" w:themeColor="text1"/>
        </w:rPr>
        <w:t>CD4</w:t>
      </w:r>
      <w:r w:rsidRPr="00390777">
        <w:rPr>
          <w:rFonts w:hint="eastAsia"/>
          <w:color w:val="000000" w:themeColor="text1"/>
          <w:vertAlign w:val="superscript"/>
        </w:rPr>
        <w:t>-</w:t>
      </w:r>
      <w:r w:rsidRPr="00390777">
        <w:rPr>
          <w:color w:val="000000" w:themeColor="text1"/>
        </w:rPr>
        <w:t xml:space="preserve"> </w:t>
      </w:r>
      <w:r w:rsidRPr="00390777">
        <w:rPr>
          <w:rFonts w:hint="eastAsia"/>
          <w:color w:val="000000" w:themeColor="text1"/>
        </w:rPr>
        <w:t>CD19</w:t>
      </w:r>
      <w:r w:rsidRPr="00390777">
        <w:rPr>
          <w:rFonts w:hint="eastAsia"/>
          <w:color w:val="000000" w:themeColor="text1"/>
          <w:vertAlign w:val="superscript"/>
        </w:rPr>
        <w:t>-</w:t>
      </w:r>
      <w:r w:rsidRPr="00390777">
        <w:rPr>
          <w:color w:val="000000" w:themeColor="text1"/>
        </w:rPr>
        <w:t xml:space="preserve"> T cells was analyzed by flow cytometry. The dotted line indicates staining with control (no antibody), and the solid line staining with each antibody. Staining by flow cytometry was examined for CD3/CD28 dynabeads-stimulated mouse spleen cells derived from human CD137 knock-in mice and wild type C57BL/6N mice.</w:t>
      </w:r>
      <w:r w:rsidRPr="00390777">
        <w:rPr>
          <w:rFonts w:asciiTheme="minorEastAsia" w:eastAsiaTheme="minorEastAsia" w:hAnsiTheme="minorEastAsia"/>
          <w:color w:val="000000" w:themeColor="text1"/>
          <w:lang w:eastAsia="ja-JP"/>
        </w:rPr>
        <w:t xml:space="preserve"> </w:t>
      </w:r>
    </w:p>
    <w:p w14:paraId="7A454F28" w14:textId="77777777" w:rsidR="00A95538" w:rsidRPr="00390777" w:rsidRDefault="00A95538">
      <w:pPr>
        <w:rPr>
          <w:b/>
          <w:color w:val="000000" w:themeColor="text1"/>
          <w:sz w:val="24"/>
          <w:szCs w:val="24"/>
        </w:rPr>
      </w:pPr>
      <w:r w:rsidRPr="00390777">
        <w:rPr>
          <w:b/>
          <w:color w:val="000000" w:themeColor="text1"/>
          <w:sz w:val="24"/>
          <w:szCs w:val="24"/>
        </w:rPr>
        <w:br w:type="page"/>
      </w:r>
    </w:p>
    <w:p w14:paraId="2E3E2295" w14:textId="64465C06" w:rsidR="00B50976" w:rsidRPr="00390777" w:rsidRDefault="00B50976" w:rsidP="00A061DA">
      <w:pPr>
        <w:spacing w:line="480" w:lineRule="auto"/>
        <w:rPr>
          <w:b/>
          <w:color w:val="000000" w:themeColor="text1"/>
          <w:sz w:val="24"/>
          <w:szCs w:val="24"/>
        </w:rPr>
      </w:pPr>
      <w:r w:rsidRPr="00390777">
        <w:rPr>
          <w:b/>
          <w:color w:val="000000" w:themeColor="text1"/>
          <w:sz w:val="24"/>
          <w:szCs w:val="24"/>
        </w:rPr>
        <w:lastRenderedPageBreak/>
        <w:t xml:space="preserve">Fig. S8. </w:t>
      </w:r>
    </w:p>
    <w:p w14:paraId="20C1851F" w14:textId="1A1FD35A" w:rsidR="00B50976" w:rsidRPr="00390777" w:rsidRDefault="0059175B" w:rsidP="00A061DA">
      <w:pPr>
        <w:spacing w:line="480" w:lineRule="auto"/>
        <w:rPr>
          <w:b/>
          <w:color w:val="000000" w:themeColor="text1"/>
          <w:sz w:val="24"/>
          <w:szCs w:val="24"/>
        </w:rPr>
      </w:pPr>
      <w:r w:rsidRPr="00390777">
        <w:rPr>
          <w:noProof/>
          <w:lang w:eastAsia="ja-JP"/>
        </w:rPr>
        <w:drawing>
          <wp:inline distT="0" distB="0" distL="0" distR="0" wp14:anchorId="51FBD8BE" wp14:editId="0933585F">
            <wp:extent cx="5400040" cy="4834255"/>
            <wp:effectExtent l="0" t="0" r="0" b="4445"/>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a:ext>
                      </a:extLst>
                    </a:blip>
                    <a:stretch>
                      <a:fillRect/>
                    </a:stretch>
                  </pic:blipFill>
                  <pic:spPr>
                    <a:xfrm>
                      <a:off x="0" y="0"/>
                      <a:ext cx="5400040" cy="4834255"/>
                    </a:xfrm>
                    <a:prstGeom prst="rect">
                      <a:avLst/>
                    </a:prstGeom>
                  </pic:spPr>
                </pic:pic>
              </a:graphicData>
            </a:graphic>
          </wp:inline>
        </w:drawing>
      </w:r>
    </w:p>
    <w:p w14:paraId="7B292024" w14:textId="74EA9FA2" w:rsidR="00B50976" w:rsidRPr="00390777" w:rsidRDefault="00B50976" w:rsidP="00D23307">
      <w:pPr>
        <w:pStyle w:val="Paragraph"/>
        <w:spacing w:line="480" w:lineRule="auto"/>
        <w:ind w:firstLine="0"/>
        <w:rPr>
          <w:bCs/>
          <w:color w:val="000000" w:themeColor="text1"/>
        </w:rPr>
      </w:pPr>
      <w:r w:rsidRPr="00390777">
        <w:rPr>
          <w:b/>
          <w:color w:val="000000" w:themeColor="text1"/>
        </w:rPr>
        <w:t xml:space="preserve">Confirmation of human CD137 function in knock-in mice. (A) </w:t>
      </w:r>
      <w:r w:rsidRPr="00390777">
        <w:rPr>
          <w:color w:val="000000" w:themeColor="text1"/>
        </w:rPr>
        <w:t xml:space="preserve">Sta-mIgG1-binding profiles on </w:t>
      </w:r>
      <w:r w:rsidR="00521F80" w:rsidRPr="00390777">
        <w:rPr>
          <w:rFonts w:hint="eastAsia"/>
          <w:color w:val="000000" w:themeColor="text1"/>
        </w:rPr>
        <w:t>CD3</w:t>
      </w:r>
      <w:r w:rsidR="00521F80" w:rsidRPr="00390777">
        <w:rPr>
          <w:color w:val="000000" w:themeColor="text1"/>
        </w:rPr>
        <w:t>ε</w:t>
      </w:r>
      <w:r w:rsidR="00521F80" w:rsidRPr="00390777">
        <w:rPr>
          <w:rFonts w:hint="eastAsia"/>
          <w:color w:val="000000" w:themeColor="text1"/>
          <w:vertAlign w:val="superscript"/>
        </w:rPr>
        <w:t>+</w:t>
      </w:r>
      <w:r w:rsidR="00521F80" w:rsidRPr="00390777">
        <w:rPr>
          <w:color w:val="000000" w:themeColor="text1"/>
        </w:rPr>
        <w:t xml:space="preserve"> </w:t>
      </w:r>
      <w:r w:rsidR="00521F80" w:rsidRPr="00390777">
        <w:rPr>
          <w:rFonts w:hint="eastAsia"/>
          <w:color w:val="000000" w:themeColor="text1"/>
        </w:rPr>
        <w:t>CD8</w:t>
      </w:r>
      <w:r w:rsidR="00521F80" w:rsidRPr="00390777">
        <w:rPr>
          <w:rFonts w:hint="eastAsia"/>
          <w:color w:val="000000" w:themeColor="text1"/>
          <w:vertAlign w:val="superscript"/>
        </w:rPr>
        <w:t>+</w:t>
      </w:r>
      <w:r w:rsidR="00521F80" w:rsidRPr="00390777">
        <w:rPr>
          <w:color w:val="000000" w:themeColor="text1"/>
        </w:rPr>
        <w:t xml:space="preserve"> </w:t>
      </w:r>
      <w:r w:rsidR="00521F80" w:rsidRPr="00390777">
        <w:rPr>
          <w:rFonts w:hint="eastAsia"/>
          <w:color w:val="000000" w:themeColor="text1"/>
        </w:rPr>
        <w:t>CD4</w:t>
      </w:r>
      <w:r w:rsidR="00521F80" w:rsidRPr="00390777">
        <w:rPr>
          <w:rFonts w:hint="eastAsia"/>
          <w:color w:val="000000" w:themeColor="text1"/>
          <w:vertAlign w:val="superscript"/>
        </w:rPr>
        <w:t>-</w:t>
      </w:r>
      <w:r w:rsidR="00521F80" w:rsidRPr="00390777">
        <w:rPr>
          <w:color w:val="000000" w:themeColor="text1"/>
        </w:rPr>
        <w:t xml:space="preserve"> </w:t>
      </w:r>
      <w:r w:rsidR="00521F80" w:rsidRPr="00390777">
        <w:rPr>
          <w:rFonts w:hint="eastAsia"/>
          <w:color w:val="000000" w:themeColor="text1"/>
        </w:rPr>
        <w:t>CD19</w:t>
      </w:r>
      <w:r w:rsidR="00521F80" w:rsidRPr="00390777">
        <w:rPr>
          <w:rFonts w:hint="eastAsia"/>
          <w:color w:val="000000" w:themeColor="text1"/>
          <w:vertAlign w:val="superscript"/>
        </w:rPr>
        <w:t>-</w:t>
      </w:r>
      <w:r w:rsidR="00521F80" w:rsidRPr="00390777">
        <w:rPr>
          <w:color w:val="000000" w:themeColor="text1"/>
          <w:vertAlign w:val="superscript"/>
        </w:rPr>
        <w:t xml:space="preserve"> </w:t>
      </w:r>
      <w:r w:rsidR="00521F80" w:rsidRPr="00390777">
        <w:rPr>
          <w:color w:val="000000" w:themeColor="text1"/>
        </w:rPr>
        <w:t xml:space="preserve">T </w:t>
      </w:r>
      <w:r w:rsidRPr="00390777">
        <w:rPr>
          <w:color w:val="000000" w:themeColor="text1"/>
        </w:rPr>
        <w:t>cells were analyzed by flow cytometry. The dotted line indicates staining with control (no antibody), and the solid line staining with each antibody. Staining by flow cytometry was examined for CD3/CD28 dynabeads-stimulated mouse spleen cells derived from human CD137 knock-in mice and wild type C57BL/6N mice.</w:t>
      </w:r>
      <w:r w:rsidRPr="00390777">
        <w:rPr>
          <w:b/>
          <w:color w:val="000000" w:themeColor="text1"/>
        </w:rPr>
        <w:t xml:space="preserve"> (B)</w:t>
      </w:r>
      <w:r w:rsidRPr="00390777">
        <w:rPr>
          <w:color w:val="000000" w:themeColor="text1"/>
        </w:rPr>
        <w:t xml:space="preserve"> IFN-γ cytokine concentration from spleen cells derived from wild </w:t>
      </w:r>
      <w:r w:rsidRPr="00390777">
        <w:rPr>
          <w:color w:val="000000" w:themeColor="text1"/>
        </w:rPr>
        <w:lastRenderedPageBreak/>
        <w:t xml:space="preserve">type C57BL/6N mice and </w:t>
      </w:r>
      <w:r w:rsidRPr="00390777">
        <w:rPr>
          <w:b/>
          <w:color w:val="000000" w:themeColor="text1"/>
        </w:rPr>
        <w:t xml:space="preserve">(C) </w:t>
      </w:r>
      <w:r w:rsidRPr="00390777">
        <w:rPr>
          <w:color w:val="000000" w:themeColor="text1"/>
        </w:rPr>
        <w:t xml:space="preserve">human CD137 knock-in mice induced by each antibody (Sta-MB (blue), 1D8-MB (green) and Ure-MB (pink)) in the absence or presence of 250 μmol/L ATP were measured by AlphaLISA Mouse IFN-γ immunoassay. Each point represents individual replication (n=3). </w:t>
      </w:r>
      <w:r w:rsidRPr="00390777">
        <w:rPr>
          <w:bCs/>
          <w:color w:val="000000" w:themeColor="text1"/>
        </w:rPr>
        <w:t>IFN-γ: Interferon gamma</w:t>
      </w:r>
      <w:r w:rsidRPr="00390777">
        <w:rPr>
          <w:bCs/>
          <w:color w:val="000000"/>
        </w:rPr>
        <w:t>, ATP: adenosine triphosphate</w:t>
      </w:r>
      <w:r w:rsidRPr="00390777">
        <w:rPr>
          <w:bCs/>
          <w:color w:val="000000" w:themeColor="text1"/>
        </w:rPr>
        <w:t>.</w:t>
      </w:r>
    </w:p>
    <w:p w14:paraId="5F5ECC98" w14:textId="77777777" w:rsidR="00A95538" w:rsidRPr="00390777" w:rsidRDefault="00A95538">
      <w:pPr>
        <w:rPr>
          <w:b/>
          <w:color w:val="000000" w:themeColor="text1"/>
          <w:sz w:val="24"/>
          <w:szCs w:val="24"/>
        </w:rPr>
      </w:pPr>
      <w:r w:rsidRPr="00390777">
        <w:rPr>
          <w:b/>
          <w:color w:val="000000" w:themeColor="text1"/>
          <w:sz w:val="24"/>
          <w:szCs w:val="24"/>
        </w:rPr>
        <w:br w:type="page"/>
      </w:r>
    </w:p>
    <w:p w14:paraId="73C30727" w14:textId="4FFAB0D5" w:rsidR="00B50976" w:rsidRPr="00390777" w:rsidRDefault="00B50976" w:rsidP="00A061DA">
      <w:pPr>
        <w:spacing w:line="480" w:lineRule="auto"/>
        <w:rPr>
          <w:b/>
          <w:color w:val="000000" w:themeColor="text1"/>
          <w:sz w:val="24"/>
          <w:szCs w:val="24"/>
        </w:rPr>
      </w:pPr>
      <w:r w:rsidRPr="00390777">
        <w:rPr>
          <w:b/>
          <w:color w:val="000000" w:themeColor="text1"/>
          <w:sz w:val="24"/>
          <w:szCs w:val="24"/>
        </w:rPr>
        <w:lastRenderedPageBreak/>
        <w:t>Fig. S</w:t>
      </w:r>
      <w:r w:rsidRPr="00390777">
        <w:rPr>
          <w:rFonts w:hint="eastAsia"/>
          <w:b/>
          <w:color w:val="000000" w:themeColor="text1"/>
          <w:sz w:val="24"/>
          <w:szCs w:val="24"/>
          <w:lang w:eastAsia="ja-JP"/>
        </w:rPr>
        <w:t>9</w:t>
      </w:r>
      <w:r w:rsidRPr="00390777">
        <w:rPr>
          <w:b/>
          <w:color w:val="000000" w:themeColor="text1"/>
          <w:sz w:val="24"/>
          <w:szCs w:val="24"/>
        </w:rPr>
        <w:t xml:space="preserve">. </w:t>
      </w:r>
    </w:p>
    <w:p w14:paraId="1BF64999" w14:textId="7AD318F8" w:rsidR="00B50976" w:rsidRPr="00390777" w:rsidRDefault="00521F80" w:rsidP="00A061DA">
      <w:pPr>
        <w:spacing w:line="480" w:lineRule="auto"/>
        <w:rPr>
          <w:b/>
          <w:color w:val="000000" w:themeColor="text1"/>
          <w:sz w:val="24"/>
          <w:szCs w:val="24"/>
        </w:rPr>
      </w:pPr>
      <w:r w:rsidRPr="00390777">
        <w:rPr>
          <w:noProof/>
          <w:lang w:eastAsia="ja-JP"/>
        </w:rPr>
        <w:drawing>
          <wp:inline distT="0" distB="0" distL="0" distR="0" wp14:anchorId="0F71CAC6" wp14:editId="7FDEC914">
            <wp:extent cx="5400040" cy="2282190"/>
            <wp:effectExtent l="0" t="0" r="0" b="381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00040" cy="2282190"/>
                    </a:xfrm>
                    <a:prstGeom prst="rect">
                      <a:avLst/>
                    </a:prstGeom>
                  </pic:spPr>
                </pic:pic>
              </a:graphicData>
            </a:graphic>
          </wp:inline>
        </w:drawing>
      </w:r>
    </w:p>
    <w:p w14:paraId="35019187" w14:textId="45238266" w:rsidR="00B50976" w:rsidRPr="00390777" w:rsidRDefault="00B50976" w:rsidP="00D23307">
      <w:pPr>
        <w:pStyle w:val="Paragraph"/>
        <w:spacing w:line="480" w:lineRule="auto"/>
        <w:ind w:firstLine="0"/>
        <w:rPr>
          <w:bCs/>
          <w:color w:val="000000" w:themeColor="text1"/>
        </w:rPr>
      </w:pPr>
      <w:r w:rsidRPr="00390777">
        <w:rPr>
          <w:b/>
          <w:color w:val="000000" w:themeColor="text1"/>
        </w:rPr>
        <w:t>Binding activity of Sta-MB to mouse Fcγ receptors.</w:t>
      </w:r>
      <w:r w:rsidRPr="00390777">
        <w:rPr>
          <w:color w:val="000000" w:themeColor="text1"/>
        </w:rPr>
        <w:t xml:space="preserve"> </w:t>
      </w:r>
      <w:r w:rsidRPr="00390777">
        <w:rPr>
          <w:noProof/>
          <w:color w:val="000000" w:themeColor="text1"/>
        </w:rPr>
        <w:t>A</w:t>
      </w:r>
      <w:r w:rsidRPr="00390777">
        <w:rPr>
          <w:color w:val="000000" w:themeColor="text1"/>
        </w:rPr>
        <w:t>ntibodies were captured onto the Biacore SA sensor surface immobilized with CaptureSelect</w:t>
      </w:r>
      <w:r w:rsidRPr="00390777">
        <w:rPr>
          <w:color w:val="000000" w:themeColor="text1"/>
          <w:vertAlign w:val="superscript"/>
        </w:rPr>
        <w:t>TM</w:t>
      </w:r>
      <w:r w:rsidRPr="00390777">
        <w:rPr>
          <w:color w:val="000000" w:themeColor="text1"/>
        </w:rPr>
        <w:t xml:space="preserve"> Human Fab-lambda Kinetics Biotin Conjugate. Mouse Fcγ receptors were injected over sensor surface immobilized antibodies, then the binding amount of each Fcγ receptor was normalized by the amount of immobilized antibody. </w:t>
      </w:r>
    </w:p>
    <w:p w14:paraId="55943BBA" w14:textId="77777777" w:rsidR="00A95538" w:rsidRPr="00390777" w:rsidRDefault="00A95538">
      <w:pPr>
        <w:rPr>
          <w:b/>
          <w:color w:val="000000" w:themeColor="text1"/>
          <w:sz w:val="24"/>
          <w:szCs w:val="24"/>
        </w:rPr>
      </w:pPr>
      <w:r w:rsidRPr="00390777">
        <w:rPr>
          <w:b/>
          <w:color w:val="000000" w:themeColor="text1"/>
          <w:sz w:val="24"/>
          <w:szCs w:val="24"/>
        </w:rPr>
        <w:br w:type="page"/>
      </w:r>
    </w:p>
    <w:p w14:paraId="1838BE83" w14:textId="52DBCEAA" w:rsidR="00B50976" w:rsidRPr="00390777" w:rsidRDefault="00B50976" w:rsidP="00A061DA">
      <w:pPr>
        <w:spacing w:line="480" w:lineRule="auto"/>
        <w:rPr>
          <w:b/>
          <w:color w:val="000000" w:themeColor="text1"/>
          <w:sz w:val="24"/>
          <w:szCs w:val="24"/>
        </w:rPr>
      </w:pPr>
      <w:r w:rsidRPr="00390777">
        <w:rPr>
          <w:b/>
          <w:color w:val="000000" w:themeColor="text1"/>
          <w:sz w:val="24"/>
          <w:szCs w:val="24"/>
        </w:rPr>
        <w:lastRenderedPageBreak/>
        <w:t xml:space="preserve">Fig. S10. </w:t>
      </w:r>
    </w:p>
    <w:p w14:paraId="53F17298" w14:textId="2F3D7C50" w:rsidR="00B50976" w:rsidRPr="00390777" w:rsidRDefault="0059175B" w:rsidP="00A061DA">
      <w:pPr>
        <w:spacing w:line="480" w:lineRule="auto"/>
        <w:rPr>
          <w:b/>
          <w:color w:val="000000" w:themeColor="text1"/>
          <w:sz w:val="24"/>
          <w:szCs w:val="24"/>
        </w:rPr>
      </w:pPr>
      <w:r w:rsidRPr="00390777">
        <w:rPr>
          <w:noProof/>
          <w:lang w:eastAsia="ja-JP"/>
        </w:rPr>
        <w:drawing>
          <wp:inline distT="0" distB="0" distL="0" distR="0" wp14:anchorId="64D6C321" wp14:editId="6709C9D5">
            <wp:extent cx="5400040" cy="2629535"/>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a:ext>
                      </a:extLst>
                    </a:blip>
                    <a:stretch>
                      <a:fillRect/>
                    </a:stretch>
                  </pic:blipFill>
                  <pic:spPr>
                    <a:xfrm>
                      <a:off x="0" y="0"/>
                      <a:ext cx="5400040" cy="2629535"/>
                    </a:xfrm>
                    <a:prstGeom prst="rect">
                      <a:avLst/>
                    </a:prstGeom>
                  </pic:spPr>
                </pic:pic>
              </a:graphicData>
            </a:graphic>
          </wp:inline>
        </w:drawing>
      </w:r>
    </w:p>
    <w:p w14:paraId="67EE8863" w14:textId="5447EAF9" w:rsidR="00B50976" w:rsidRPr="00390777" w:rsidRDefault="00B50976" w:rsidP="00A061DA">
      <w:pPr>
        <w:spacing w:line="480" w:lineRule="auto"/>
        <w:rPr>
          <w:color w:val="000000" w:themeColor="text1"/>
          <w:sz w:val="24"/>
          <w:szCs w:val="24"/>
        </w:rPr>
      </w:pPr>
      <w:r w:rsidRPr="00390777">
        <w:rPr>
          <w:b/>
          <w:color w:val="000000" w:themeColor="text1"/>
          <w:sz w:val="24"/>
          <w:szCs w:val="24"/>
        </w:rPr>
        <w:t>Long-term anti-tumor efficacy of Sta-MB in Colon38.</w:t>
      </w:r>
      <w:r w:rsidRPr="00390777">
        <w:rPr>
          <w:color w:val="000000" w:themeColor="text1"/>
          <w:sz w:val="24"/>
          <w:szCs w:val="24"/>
        </w:rPr>
        <w:t xml:space="preserve"> Human CD137 knock-in mice bearing Colon38 were administered vehicle (black) or </w:t>
      </w:r>
      <w:r w:rsidRPr="00390777">
        <w:rPr>
          <w:rFonts w:hint="eastAsia"/>
          <w:color w:val="000000" w:themeColor="text1"/>
          <w:sz w:val="24"/>
          <w:szCs w:val="24"/>
          <w:lang w:eastAsia="ja-JP"/>
        </w:rPr>
        <w:t>2.5</w:t>
      </w:r>
      <w:r w:rsidRPr="00390777">
        <w:rPr>
          <w:color w:val="000000" w:themeColor="text1"/>
          <w:sz w:val="24"/>
          <w:szCs w:val="24"/>
          <w:lang w:eastAsia="ja-JP"/>
        </w:rPr>
        <w:t xml:space="preserve"> mg/kg of </w:t>
      </w:r>
      <w:r w:rsidRPr="00390777">
        <w:rPr>
          <w:color w:val="000000" w:themeColor="text1"/>
          <w:sz w:val="24"/>
          <w:szCs w:val="24"/>
        </w:rPr>
        <w:t xml:space="preserve">Sta-MB (blue) on day 13 and 21 (n=6). </w:t>
      </w:r>
    </w:p>
    <w:p w14:paraId="2E96448B" w14:textId="77777777" w:rsidR="00A95538" w:rsidRPr="00390777" w:rsidRDefault="00A95538">
      <w:pPr>
        <w:rPr>
          <w:b/>
          <w:color w:val="000000" w:themeColor="text1"/>
          <w:sz w:val="24"/>
          <w:szCs w:val="24"/>
          <w:lang w:eastAsia="ja-JP"/>
        </w:rPr>
      </w:pPr>
      <w:r w:rsidRPr="00390777">
        <w:rPr>
          <w:b/>
          <w:color w:val="000000" w:themeColor="text1"/>
          <w:sz w:val="24"/>
          <w:szCs w:val="24"/>
          <w:lang w:eastAsia="ja-JP"/>
        </w:rPr>
        <w:br w:type="page"/>
      </w:r>
    </w:p>
    <w:p w14:paraId="44F31A34" w14:textId="32C444F5" w:rsidR="00B50976" w:rsidRPr="00390777" w:rsidRDefault="00B50976" w:rsidP="00A061DA">
      <w:pPr>
        <w:spacing w:line="480" w:lineRule="auto"/>
        <w:rPr>
          <w:b/>
          <w:color w:val="000000" w:themeColor="text1"/>
          <w:sz w:val="24"/>
          <w:szCs w:val="24"/>
          <w:lang w:eastAsia="ja-JP"/>
        </w:rPr>
      </w:pPr>
      <w:r w:rsidRPr="00390777">
        <w:rPr>
          <w:b/>
          <w:color w:val="000000" w:themeColor="text1"/>
          <w:sz w:val="24"/>
          <w:szCs w:val="24"/>
          <w:lang w:eastAsia="ja-JP"/>
        </w:rPr>
        <w:lastRenderedPageBreak/>
        <w:t xml:space="preserve">Fig. S11. </w:t>
      </w:r>
    </w:p>
    <w:p w14:paraId="3D41075F" w14:textId="138B564F" w:rsidR="00B50976" w:rsidRPr="00390777" w:rsidRDefault="0059175B" w:rsidP="00A061DA">
      <w:pPr>
        <w:spacing w:line="480" w:lineRule="auto"/>
        <w:rPr>
          <w:b/>
          <w:color w:val="000000" w:themeColor="text1"/>
          <w:sz w:val="24"/>
          <w:szCs w:val="24"/>
          <w:lang w:eastAsia="ja-JP"/>
        </w:rPr>
      </w:pPr>
      <w:r w:rsidRPr="00390777">
        <w:rPr>
          <w:noProof/>
          <w:lang w:eastAsia="ja-JP"/>
        </w:rPr>
        <w:drawing>
          <wp:inline distT="0" distB="0" distL="0" distR="0" wp14:anchorId="637AD8F5" wp14:editId="5EFB28F6">
            <wp:extent cx="5400040" cy="4289425"/>
            <wp:effectExtent l="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a:ext>
                      </a:extLst>
                    </a:blip>
                    <a:stretch>
                      <a:fillRect/>
                    </a:stretch>
                  </pic:blipFill>
                  <pic:spPr>
                    <a:xfrm>
                      <a:off x="0" y="0"/>
                      <a:ext cx="5400040" cy="4289425"/>
                    </a:xfrm>
                    <a:prstGeom prst="rect">
                      <a:avLst/>
                    </a:prstGeom>
                  </pic:spPr>
                </pic:pic>
              </a:graphicData>
            </a:graphic>
          </wp:inline>
        </w:drawing>
      </w:r>
    </w:p>
    <w:p w14:paraId="49D9A91D" w14:textId="77777777" w:rsidR="00B50976" w:rsidRPr="00390777" w:rsidRDefault="00B50976" w:rsidP="00A061DA">
      <w:pPr>
        <w:spacing w:line="480" w:lineRule="auto"/>
        <w:rPr>
          <w:b/>
          <w:color w:val="000000" w:themeColor="text1"/>
          <w:sz w:val="24"/>
          <w:szCs w:val="24"/>
          <w:lang w:eastAsia="ja-JP"/>
        </w:rPr>
      </w:pPr>
      <w:r w:rsidRPr="00390777">
        <w:rPr>
          <w:b/>
          <w:color w:val="000000" w:themeColor="text1"/>
          <w:sz w:val="24"/>
          <w:szCs w:val="24"/>
        </w:rPr>
        <w:t xml:space="preserve">Expression of exATP related genes in tumors and normal tissues. </w:t>
      </w:r>
      <w:r w:rsidRPr="00390777">
        <w:rPr>
          <w:color w:val="000000" w:themeColor="text1"/>
          <w:sz w:val="24"/>
          <w:szCs w:val="24"/>
        </w:rPr>
        <w:t>Hepa1-6/hGPC3, LLC1/OVA</w:t>
      </w:r>
      <w:r w:rsidRPr="00390777">
        <w:rPr>
          <w:rFonts w:hint="eastAsia"/>
          <w:color w:val="000000" w:themeColor="text1"/>
          <w:sz w:val="24"/>
          <w:szCs w:val="24"/>
          <w:lang w:eastAsia="ja-JP"/>
        </w:rPr>
        <w:t xml:space="preserve">, </w:t>
      </w:r>
      <w:r w:rsidRPr="00390777">
        <w:rPr>
          <w:color w:val="000000" w:themeColor="text1"/>
          <w:sz w:val="24"/>
          <w:szCs w:val="24"/>
        </w:rPr>
        <w:t xml:space="preserve">LLC1/OVA/hGPC3, and Colon38 tumors and normal tissues were used for RNA sequencing. Each group was tested in triplicate (n=3) </w:t>
      </w:r>
      <w:r w:rsidRPr="00390777">
        <w:rPr>
          <w:rFonts w:hint="eastAsia"/>
          <w:color w:val="000000" w:themeColor="text1"/>
          <w:sz w:val="24"/>
          <w:szCs w:val="24"/>
          <w:lang w:eastAsia="ja-JP"/>
        </w:rPr>
        <w:t>except normal heart tissue (n</w:t>
      </w:r>
      <w:r w:rsidRPr="00390777">
        <w:rPr>
          <w:color w:val="000000" w:themeColor="text1"/>
          <w:sz w:val="24"/>
          <w:szCs w:val="24"/>
          <w:lang w:eastAsia="ja-JP"/>
        </w:rPr>
        <w:t>=2)</w:t>
      </w:r>
      <w:r w:rsidRPr="00390777">
        <w:rPr>
          <w:color w:val="000000" w:themeColor="text1"/>
          <w:sz w:val="24"/>
          <w:szCs w:val="24"/>
        </w:rPr>
        <w:t xml:space="preserve">. Among ATP-related genes, </w:t>
      </w:r>
      <w:r w:rsidRPr="00390777">
        <w:rPr>
          <w:color w:val="000000" w:themeColor="text1"/>
          <w:sz w:val="24"/>
          <w:szCs w:val="24"/>
          <w:lang w:eastAsia="ja-JP"/>
        </w:rPr>
        <w:t xml:space="preserve">those </w:t>
      </w:r>
      <w:r w:rsidRPr="00390777">
        <w:rPr>
          <w:color w:val="000000" w:themeColor="text1"/>
          <w:sz w:val="24"/>
          <w:szCs w:val="24"/>
        </w:rPr>
        <w:t>statistically significantly up-regulated in tumor compared to normal tissues are shown. Z scores were calculated using log</w:t>
      </w:r>
      <w:r w:rsidRPr="00390777">
        <w:rPr>
          <w:color w:val="000000" w:themeColor="text1"/>
          <w:sz w:val="24"/>
          <w:szCs w:val="24"/>
          <w:vertAlign w:val="subscript"/>
        </w:rPr>
        <w:t>2</w:t>
      </w:r>
      <w:r w:rsidRPr="00390777">
        <w:rPr>
          <w:color w:val="000000" w:themeColor="text1"/>
          <w:sz w:val="24"/>
          <w:szCs w:val="24"/>
        </w:rPr>
        <w:t>-transformed fragments per kilobase per million mapped reads (FPKM) normalized for all samples.</w:t>
      </w:r>
    </w:p>
    <w:p w14:paraId="40B0BABA" w14:textId="77777777" w:rsidR="00B50976" w:rsidRPr="00390777" w:rsidRDefault="00B50976" w:rsidP="00A061DA">
      <w:pPr>
        <w:spacing w:line="480" w:lineRule="auto"/>
        <w:rPr>
          <w:b/>
          <w:color w:val="000000" w:themeColor="text1"/>
          <w:sz w:val="24"/>
          <w:szCs w:val="24"/>
          <w:lang w:eastAsia="ja-JP"/>
        </w:rPr>
      </w:pPr>
    </w:p>
    <w:p w14:paraId="56F8389A" w14:textId="55D064A8" w:rsidR="00B50976" w:rsidRPr="00390777" w:rsidRDefault="00B50976" w:rsidP="00A061DA">
      <w:pPr>
        <w:spacing w:line="480" w:lineRule="auto"/>
        <w:rPr>
          <w:b/>
          <w:color w:val="000000" w:themeColor="text1"/>
          <w:sz w:val="24"/>
          <w:szCs w:val="24"/>
          <w:lang w:eastAsia="ja-JP"/>
        </w:rPr>
      </w:pPr>
      <w:r w:rsidRPr="00390777">
        <w:rPr>
          <w:b/>
          <w:color w:val="000000" w:themeColor="text1"/>
          <w:sz w:val="24"/>
          <w:szCs w:val="24"/>
          <w:lang w:eastAsia="ja-JP"/>
        </w:rPr>
        <w:lastRenderedPageBreak/>
        <w:t xml:space="preserve">Fig. S12. </w:t>
      </w:r>
    </w:p>
    <w:p w14:paraId="0BA04D48" w14:textId="4BA4B53A" w:rsidR="00B50976" w:rsidRPr="00390777" w:rsidRDefault="0059175B" w:rsidP="00A061DA">
      <w:pPr>
        <w:spacing w:line="480" w:lineRule="auto"/>
        <w:rPr>
          <w:b/>
          <w:color w:val="000000" w:themeColor="text1"/>
          <w:sz w:val="24"/>
          <w:szCs w:val="24"/>
          <w:lang w:eastAsia="ja-JP"/>
        </w:rPr>
      </w:pPr>
      <w:r w:rsidRPr="00390777">
        <w:rPr>
          <w:noProof/>
          <w:lang w:eastAsia="ja-JP"/>
        </w:rPr>
        <w:drawing>
          <wp:inline distT="0" distB="0" distL="0" distR="0" wp14:anchorId="08C9585A" wp14:editId="6021AE2C">
            <wp:extent cx="5400040" cy="3627755"/>
            <wp:effectExtent l="0" t="0" r="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a:ext>
                      </a:extLst>
                    </a:blip>
                    <a:stretch>
                      <a:fillRect/>
                    </a:stretch>
                  </pic:blipFill>
                  <pic:spPr>
                    <a:xfrm>
                      <a:off x="0" y="0"/>
                      <a:ext cx="5400040" cy="3627755"/>
                    </a:xfrm>
                    <a:prstGeom prst="rect">
                      <a:avLst/>
                    </a:prstGeom>
                  </pic:spPr>
                </pic:pic>
              </a:graphicData>
            </a:graphic>
          </wp:inline>
        </w:drawing>
      </w:r>
    </w:p>
    <w:p w14:paraId="26B547B2" w14:textId="38E97426" w:rsidR="00B50976" w:rsidRPr="00390777" w:rsidRDefault="0059175B" w:rsidP="00A061DA">
      <w:pPr>
        <w:spacing w:line="480" w:lineRule="auto"/>
        <w:rPr>
          <w:color w:val="FFFFFF" w:themeColor="background1"/>
          <w:sz w:val="24"/>
          <w:szCs w:val="24"/>
        </w:rPr>
      </w:pPr>
      <w:r w:rsidRPr="00390777">
        <w:rPr>
          <w:noProof/>
          <w:lang w:eastAsia="ja-JP"/>
        </w:rPr>
        <w:drawing>
          <wp:inline distT="0" distB="0" distL="0" distR="0" wp14:anchorId="704275F8" wp14:editId="42F98BD4">
            <wp:extent cx="5400040" cy="1794510"/>
            <wp:effectExtent l="0" t="0" r="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a:ext>
                      </a:extLst>
                    </a:blip>
                    <a:stretch>
                      <a:fillRect/>
                    </a:stretch>
                  </pic:blipFill>
                  <pic:spPr>
                    <a:xfrm>
                      <a:off x="0" y="0"/>
                      <a:ext cx="5400040" cy="1794510"/>
                    </a:xfrm>
                    <a:prstGeom prst="rect">
                      <a:avLst/>
                    </a:prstGeom>
                  </pic:spPr>
                </pic:pic>
              </a:graphicData>
            </a:graphic>
          </wp:inline>
        </w:drawing>
      </w:r>
      <w:r w:rsidR="00B50976" w:rsidRPr="00390777">
        <w:rPr>
          <w:b/>
          <w:color w:val="000000" w:themeColor="text1"/>
          <w:sz w:val="24"/>
          <w:szCs w:val="24"/>
        </w:rPr>
        <w:t>Expression of CD39 and CD73</w:t>
      </w:r>
      <w:r w:rsidR="00B50976" w:rsidRPr="00390777">
        <w:rPr>
          <w:b/>
          <w:sz w:val="24"/>
          <w:szCs w:val="24"/>
        </w:rPr>
        <w:t xml:space="preserve"> </w:t>
      </w:r>
      <w:r w:rsidR="00B50976" w:rsidRPr="00390777">
        <w:rPr>
          <w:rFonts w:hint="eastAsia"/>
          <w:b/>
          <w:sz w:val="24"/>
          <w:szCs w:val="24"/>
          <w:lang w:eastAsia="ja-JP"/>
        </w:rPr>
        <w:t>on</w:t>
      </w:r>
      <w:r w:rsidR="00B50976" w:rsidRPr="00390777">
        <w:rPr>
          <w:b/>
          <w:sz w:val="24"/>
          <w:szCs w:val="24"/>
        </w:rPr>
        <w:t xml:space="preserve"> tumor cells and tumor-infiltrating lymphocytes. (A)</w:t>
      </w:r>
      <w:r w:rsidR="00B50976" w:rsidRPr="00390777">
        <w:rPr>
          <w:sz w:val="24"/>
          <w:szCs w:val="24"/>
        </w:rPr>
        <w:t xml:space="preserve"> C1498, EG7.OVA, Hepa1-6/hGPC3, LLC1/OVA/hGPC3, Colon38, and LLC1/OVA cells were analyzed by flow cytometry. Histograms for the expression of CD73 on the tumor cells are</w:t>
      </w:r>
      <w:r w:rsidR="005374C6" w:rsidRPr="00390777">
        <w:rPr>
          <w:rFonts w:hint="eastAsia"/>
          <w:sz w:val="24"/>
          <w:szCs w:val="24"/>
          <w:lang w:eastAsia="ja-JP"/>
        </w:rPr>
        <w:t xml:space="preserve"> </w:t>
      </w:r>
      <w:r w:rsidR="00B50976" w:rsidRPr="00390777">
        <w:rPr>
          <w:sz w:val="24"/>
          <w:szCs w:val="24"/>
        </w:rPr>
        <w:t xml:space="preserve">shown. </w:t>
      </w:r>
      <w:r w:rsidR="00B50976" w:rsidRPr="00390777">
        <w:rPr>
          <w:b/>
          <w:sz w:val="24"/>
          <w:szCs w:val="24"/>
        </w:rPr>
        <w:t xml:space="preserve">(B) </w:t>
      </w:r>
      <w:r w:rsidR="00B50976" w:rsidRPr="00390777">
        <w:rPr>
          <w:sz w:val="24"/>
          <w:szCs w:val="24"/>
        </w:rPr>
        <w:t>CD39 and CD73 expression on human GPC3</w:t>
      </w:r>
      <w:r w:rsidR="00B50976" w:rsidRPr="00390777">
        <w:rPr>
          <w:sz w:val="24"/>
          <w:szCs w:val="24"/>
          <w:vertAlign w:val="superscript"/>
        </w:rPr>
        <w:t>+</w:t>
      </w:r>
      <w:r w:rsidR="00B50976" w:rsidRPr="00390777">
        <w:rPr>
          <w:sz w:val="24"/>
          <w:szCs w:val="24"/>
        </w:rPr>
        <w:t xml:space="preserve"> tumor cells and tumor-infiltrating lymphocytes (TILs) in LLC1/OVA/hGPC3-bearing </w:t>
      </w:r>
      <w:r w:rsidR="00B50976" w:rsidRPr="00390777">
        <w:rPr>
          <w:sz w:val="24"/>
          <w:szCs w:val="24"/>
        </w:rPr>
        <w:lastRenderedPageBreak/>
        <w:t xml:space="preserve">human CD137 knock-in mice was analyzed by flow cytometry. Representative histogram for CD39 and CD73 expression on the cells is shown. </w:t>
      </w:r>
      <w:r w:rsidR="00B50976" w:rsidRPr="00390777">
        <w:rPr>
          <w:b/>
          <w:sz w:val="24"/>
          <w:szCs w:val="24"/>
        </w:rPr>
        <w:t xml:space="preserve">(C) </w:t>
      </w:r>
      <w:r w:rsidR="00B50976" w:rsidRPr="00390777">
        <w:rPr>
          <w:sz w:val="24"/>
          <w:szCs w:val="24"/>
        </w:rPr>
        <w:t>Ratio of CD39 or CD73 expression on LLC1/</w:t>
      </w:r>
      <w:r w:rsidR="008C1CFA" w:rsidRPr="00390777">
        <w:rPr>
          <w:sz w:val="24"/>
          <w:szCs w:val="24"/>
        </w:rPr>
        <w:t xml:space="preserve">OVA/hGPC3 tumor cells and TILs </w:t>
      </w:r>
      <w:r w:rsidR="00B50976" w:rsidRPr="00390777">
        <w:rPr>
          <w:sz w:val="24"/>
          <w:szCs w:val="24"/>
        </w:rPr>
        <w:t xml:space="preserve">calculated as the mean and individual values in each group are shown (n=5). </w:t>
      </w:r>
      <w:r w:rsidR="00B50976" w:rsidRPr="00390777">
        <w:rPr>
          <w:b/>
          <w:sz w:val="24"/>
          <w:szCs w:val="24"/>
        </w:rPr>
        <w:t>(D)</w:t>
      </w:r>
      <w:r w:rsidR="00B50976" w:rsidRPr="00390777">
        <w:rPr>
          <w:sz w:val="24"/>
          <w:szCs w:val="24"/>
        </w:rPr>
        <w:t xml:space="preserve"> Representative histogram for CD39 and CD73 on </w:t>
      </w:r>
      <w:r w:rsidR="00B50976" w:rsidRPr="00390777">
        <w:rPr>
          <w:rFonts w:hint="eastAsia"/>
          <w:sz w:val="24"/>
          <w:szCs w:val="24"/>
          <w:lang w:eastAsia="ja-JP"/>
        </w:rPr>
        <w:t>CD45</w:t>
      </w:r>
      <w:r w:rsidR="00B50976" w:rsidRPr="00390777">
        <w:rPr>
          <w:rFonts w:hint="eastAsia"/>
          <w:sz w:val="24"/>
          <w:szCs w:val="24"/>
          <w:vertAlign w:val="superscript"/>
          <w:lang w:eastAsia="ja-JP"/>
        </w:rPr>
        <w:t>-</w:t>
      </w:r>
      <w:r w:rsidR="00B50976" w:rsidRPr="00390777">
        <w:rPr>
          <w:rFonts w:hint="eastAsia"/>
          <w:sz w:val="24"/>
          <w:szCs w:val="24"/>
          <w:lang w:eastAsia="ja-JP"/>
        </w:rPr>
        <w:t xml:space="preserve"> cells (mainly </w:t>
      </w:r>
      <w:r w:rsidR="00B50976" w:rsidRPr="00390777">
        <w:rPr>
          <w:sz w:val="24"/>
          <w:szCs w:val="24"/>
        </w:rPr>
        <w:t>tumor cells) and TILs in Colon38-bearing human CD137 knock-in mice.</w:t>
      </w:r>
      <w:r w:rsidR="00B50976" w:rsidRPr="00390777">
        <w:rPr>
          <w:b/>
          <w:sz w:val="24"/>
          <w:szCs w:val="24"/>
        </w:rPr>
        <w:t xml:space="preserve"> (E)</w:t>
      </w:r>
      <w:r w:rsidR="00B50976" w:rsidRPr="00390777">
        <w:rPr>
          <w:sz w:val="24"/>
          <w:szCs w:val="24"/>
        </w:rPr>
        <w:t xml:space="preserve"> Ratio of CD39 or CD73 on Colon38 tumor cells and TILs are shown (n=3).</w:t>
      </w:r>
      <w:r w:rsidR="00B50976" w:rsidRPr="00390777">
        <w:rPr>
          <w:color w:val="FFFFFF" w:themeColor="background1"/>
          <w:sz w:val="24"/>
          <w:szCs w:val="24"/>
        </w:rPr>
        <w:t xml:space="preserve">    </w:t>
      </w:r>
      <w:r w:rsidR="00B50976" w:rsidRPr="00390777">
        <w:rPr>
          <w:color w:val="000000" w:themeColor="text1"/>
          <w:sz w:val="24"/>
          <w:szCs w:val="24"/>
        </w:rPr>
        <w:t xml:space="preserve"> </w:t>
      </w:r>
    </w:p>
    <w:p w14:paraId="4B320D91" w14:textId="77777777" w:rsidR="00A95538" w:rsidRPr="00390777" w:rsidRDefault="00A95538">
      <w:pPr>
        <w:rPr>
          <w:b/>
          <w:color w:val="000000" w:themeColor="text1"/>
          <w:sz w:val="24"/>
          <w:szCs w:val="24"/>
          <w:lang w:eastAsia="ja-JP"/>
        </w:rPr>
      </w:pPr>
      <w:r w:rsidRPr="00390777">
        <w:rPr>
          <w:b/>
          <w:color w:val="000000" w:themeColor="text1"/>
          <w:sz w:val="24"/>
          <w:szCs w:val="24"/>
          <w:lang w:eastAsia="ja-JP"/>
        </w:rPr>
        <w:br w:type="page"/>
      </w:r>
    </w:p>
    <w:p w14:paraId="138C4EBC" w14:textId="75BC1301" w:rsidR="00B50976" w:rsidRPr="00390777" w:rsidRDefault="00B50976" w:rsidP="00A061DA">
      <w:pPr>
        <w:spacing w:line="480" w:lineRule="auto"/>
        <w:rPr>
          <w:b/>
          <w:color w:val="000000" w:themeColor="text1"/>
          <w:sz w:val="24"/>
          <w:szCs w:val="24"/>
          <w:lang w:eastAsia="ja-JP"/>
        </w:rPr>
      </w:pPr>
      <w:r w:rsidRPr="00390777">
        <w:rPr>
          <w:b/>
          <w:color w:val="000000" w:themeColor="text1"/>
          <w:sz w:val="24"/>
          <w:szCs w:val="24"/>
          <w:lang w:eastAsia="ja-JP"/>
        </w:rPr>
        <w:lastRenderedPageBreak/>
        <w:t xml:space="preserve">Fig. S13. </w:t>
      </w:r>
    </w:p>
    <w:p w14:paraId="2CF7B65B" w14:textId="55DE676E" w:rsidR="00B50976" w:rsidRPr="00390777" w:rsidRDefault="0059175B" w:rsidP="00A061DA">
      <w:pPr>
        <w:spacing w:line="480" w:lineRule="auto"/>
        <w:rPr>
          <w:b/>
          <w:color w:val="000000" w:themeColor="text1"/>
          <w:sz w:val="24"/>
          <w:szCs w:val="24"/>
          <w:lang w:eastAsia="ja-JP"/>
        </w:rPr>
      </w:pPr>
      <w:r w:rsidRPr="00390777">
        <w:rPr>
          <w:noProof/>
          <w:lang w:eastAsia="ja-JP"/>
        </w:rPr>
        <w:drawing>
          <wp:inline distT="0" distB="0" distL="0" distR="0" wp14:anchorId="0CB7C8C8" wp14:editId="401B1819">
            <wp:extent cx="5400040" cy="5696585"/>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a:ext>
                      </a:extLst>
                    </a:blip>
                    <a:stretch>
                      <a:fillRect/>
                    </a:stretch>
                  </pic:blipFill>
                  <pic:spPr>
                    <a:xfrm>
                      <a:off x="0" y="0"/>
                      <a:ext cx="5400040" cy="5696585"/>
                    </a:xfrm>
                    <a:prstGeom prst="rect">
                      <a:avLst/>
                    </a:prstGeom>
                  </pic:spPr>
                </pic:pic>
              </a:graphicData>
            </a:graphic>
          </wp:inline>
        </w:drawing>
      </w:r>
    </w:p>
    <w:p w14:paraId="2B759CFF" w14:textId="0F49112B" w:rsidR="00B50976" w:rsidRPr="00390777" w:rsidRDefault="00B50976" w:rsidP="00A061DA">
      <w:pPr>
        <w:spacing w:line="480" w:lineRule="auto"/>
        <w:rPr>
          <w:color w:val="000000" w:themeColor="text1"/>
          <w:sz w:val="24"/>
          <w:szCs w:val="24"/>
          <w:lang w:eastAsia="ja-JP"/>
        </w:rPr>
      </w:pPr>
      <w:r w:rsidRPr="00390777">
        <w:rPr>
          <w:b/>
          <w:color w:val="000000" w:themeColor="text1"/>
          <w:sz w:val="24"/>
          <w:szCs w:val="24"/>
          <w:lang w:eastAsia="ja-JP"/>
        </w:rPr>
        <w:t xml:space="preserve">Anti-tumor efficacy of Sta-MB in human CD137 knock-in mice with LLC1/OVA lung metastasis. </w:t>
      </w:r>
      <w:r w:rsidRPr="00390777">
        <w:rPr>
          <w:color w:val="000000" w:themeColor="text1"/>
          <w:sz w:val="24"/>
          <w:szCs w:val="24"/>
          <w:lang w:eastAsia="ja-JP"/>
        </w:rPr>
        <w:t xml:space="preserve">Human CD137 knock-in mice were inoculated </w:t>
      </w:r>
      <w:r w:rsidRPr="00390777">
        <w:rPr>
          <w:color w:val="000000" w:themeColor="text1"/>
          <w:sz w:val="24"/>
          <w:szCs w:val="24"/>
        </w:rPr>
        <w:t>intravenously</w:t>
      </w:r>
      <w:r w:rsidRPr="00390777">
        <w:rPr>
          <w:color w:val="000000" w:themeColor="text1"/>
          <w:sz w:val="24"/>
          <w:szCs w:val="24"/>
          <w:lang w:eastAsia="ja-JP"/>
        </w:rPr>
        <w:t xml:space="preserve"> with LLC1/OVA, and administered vehicle (black) and Sta-MB (blue) on day 7 and 14 after tumor inoculation. On day 18 after tumor inoculation, the weights of metastatic nodules in the lung and normal lung (yellow) from non-tumor bearing human CD137 knock-in </w:t>
      </w:r>
      <w:r w:rsidRPr="00390777">
        <w:rPr>
          <w:color w:val="000000" w:themeColor="text1"/>
          <w:sz w:val="24"/>
          <w:szCs w:val="24"/>
          <w:lang w:eastAsia="ja-JP"/>
        </w:rPr>
        <w:lastRenderedPageBreak/>
        <w:t xml:space="preserve">mice were measured. The mean and individual values in each group are shown (n=10, 14, or 15). One mouse in vehicle group died on day 11. *: Statistical differences in lung weights between vehicle and Sta-MB (*P &lt; 0.05 by </w:t>
      </w:r>
      <w:r w:rsidR="00470CA5" w:rsidRPr="00390777">
        <w:rPr>
          <w:color w:val="000000" w:themeColor="text1"/>
          <w:sz w:val="24"/>
          <w:szCs w:val="24"/>
          <w:lang w:eastAsia="ja-JP"/>
        </w:rPr>
        <w:t>t-</w:t>
      </w:r>
      <w:r w:rsidRPr="00390777">
        <w:rPr>
          <w:color w:val="000000" w:themeColor="text1"/>
          <w:sz w:val="24"/>
          <w:szCs w:val="24"/>
          <w:lang w:eastAsia="ja-JP"/>
        </w:rPr>
        <w:t xml:space="preserve">test). Parametric </w:t>
      </w:r>
      <w:r w:rsidR="00470CA5" w:rsidRPr="00390777">
        <w:rPr>
          <w:color w:val="000000" w:themeColor="text1"/>
          <w:sz w:val="24"/>
          <w:szCs w:val="24"/>
          <w:lang w:eastAsia="ja-JP"/>
        </w:rPr>
        <w:t>t-</w:t>
      </w:r>
      <w:r w:rsidRPr="00390777">
        <w:rPr>
          <w:color w:val="000000" w:themeColor="text1"/>
          <w:sz w:val="24"/>
          <w:szCs w:val="24"/>
          <w:lang w:eastAsia="ja-JP"/>
        </w:rPr>
        <w:t>test was selected by Bartlett's test for assessing the weight of metastatic nodules of each treatment.</w:t>
      </w:r>
    </w:p>
    <w:p w14:paraId="48572098" w14:textId="77777777" w:rsidR="00A95538" w:rsidRPr="00390777" w:rsidRDefault="00A95538">
      <w:pPr>
        <w:rPr>
          <w:b/>
          <w:color w:val="000000" w:themeColor="text1"/>
          <w:sz w:val="24"/>
          <w:szCs w:val="24"/>
          <w:lang w:eastAsia="ja-JP"/>
        </w:rPr>
      </w:pPr>
      <w:r w:rsidRPr="00390777">
        <w:rPr>
          <w:b/>
          <w:color w:val="000000" w:themeColor="text1"/>
          <w:sz w:val="24"/>
          <w:szCs w:val="24"/>
          <w:lang w:eastAsia="ja-JP"/>
        </w:rPr>
        <w:br w:type="page"/>
      </w:r>
    </w:p>
    <w:p w14:paraId="5A14B655" w14:textId="5A3F456C" w:rsidR="00B50976" w:rsidRPr="00390777" w:rsidRDefault="00B50976" w:rsidP="00A061DA">
      <w:pPr>
        <w:spacing w:line="480" w:lineRule="auto"/>
        <w:rPr>
          <w:b/>
          <w:color w:val="000000" w:themeColor="text1"/>
          <w:sz w:val="24"/>
          <w:szCs w:val="24"/>
          <w:lang w:eastAsia="ja-JP"/>
        </w:rPr>
      </w:pPr>
      <w:r w:rsidRPr="00390777">
        <w:rPr>
          <w:b/>
          <w:color w:val="000000" w:themeColor="text1"/>
          <w:sz w:val="24"/>
          <w:szCs w:val="24"/>
          <w:lang w:eastAsia="ja-JP"/>
        </w:rPr>
        <w:lastRenderedPageBreak/>
        <w:t xml:space="preserve">Fig. S14. </w:t>
      </w:r>
    </w:p>
    <w:p w14:paraId="67A3B098" w14:textId="4116A58E" w:rsidR="00B50976" w:rsidRPr="00390777" w:rsidRDefault="0059175B" w:rsidP="00A061DA">
      <w:pPr>
        <w:spacing w:line="480" w:lineRule="auto"/>
        <w:rPr>
          <w:b/>
          <w:color w:val="000000" w:themeColor="text1"/>
          <w:sz w:val="24"/>
          <w:szCs w:val="24"/>
          <w:lang w:eastAsia="ja-JP"/>
        </w:rPr>
      </w:pPr>
      <w:r w:rsidRPr="00390777">
        <w:rPr>
          <w:noProof/>
          <w:lang w:eastAsia="ja-JP"/>
        </w:rPr>
        <w:drawing>
          <wp:inline distT="0" distB="0" distL="0" distR="0" wp14:anchorId="1CDA1BCB" wp14:editId="64761D8D">
            <wp:extent cx="5400040" cy="4104005"/>
            <wp:effectExtent l="0" t="0" r="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a:ext>
                      </a:extLst>
                    </a:blip>
                    <a:stretch>
                      <a:fillRect/>
                    </a:stretch>
                  </pic:blipFill>
                  <pic:spPr>
                    <a:xfrm>
                      <a:off x="0" y="0"/>
                      <a:ext cx="5400040" cy="4104005"/>
                    </a:xfrm>
                    <a:prstGeom prst="rect">
                      <a:avLst/>
                    </a:prstGeom>
                  </pic:spPr>
                </pic:pic>
              </a:graphicData>
            </a:graphic>
          </wp:inline>
        </w:drawing>
      </w:r>
    </w:p>
    <w:p w14:paraId="3D930948" w14:textId="06322BB7" w:rsidR="00A95538" w:rsidRPr="00390777" w:rsidRDefault="00B50976" w:rsidP="00420EC8">
      <w:pPr>
        <w:spacing w:line="480" w:lineRule="auto"/>
        <w:rPr>
          <w:color w:val="000000" w:themeColor="text1"/>
          <w:sz w:val="24"/>
          <w:szCs w:val="24"/>
          <w:lang w:eastAsia="ja-JP"/>
        </w:rPr>
      </w:pPr>
      <w:r w:rsidRPr="00390777">
        <w:rPr>
          <w:b/>
          <w:color w:val="000000" w:themeColor="text1"/>
          <w:sz w:val="24"/>
          <w:szCs w:val="24"/>
        </w:rPr>
        <w:t>Pharmacokinetics of Sta-MB in human CD137 knock-in mice bearing tumors and internalization of Sta-MB</w:t>
      </w:r>
      <w:r w:rsidRPr="00390777">
        <w:rPr>
          <w:b/>
          <w:color w:val="000000" w:themeColor="text1"/>
          <w:sz w:val="24"/>
          <w:szCs w:val="24"/>
          <w:lang w:eastAsia="ja-JP"/>
        </w:rPr>
        <w:t>.</w:t>
      </w:r>
      <w:r w:rsidRPr="00390777">
        <w:rPr>
          <w:color w:val="000000" w:themeColor="text1"/>
          <w:sz w:val="24"/>
          <w:szCs w:val="24"/>
          <w:lang w:eastAsia="ja-JP"/>
        </w:rPr>
        <w:t xml:space="preserve"> </w:t>
      </w:r>
      <w:r w:rsidRPr="00390777">
        <w:rPr>
          <w:b/>
          <w:color w:val="000000" w:themeColor="text1"/>
          <w:sz w:val="24"/>
          <w:szCs w:val="24"/>
          <w:lang w:eastAsia="ja-JP"/>
        </w:rPr>
        <w:t xml:space="preserve">(A) </w:t>
      </w:r>
      <w:r w:rsidRPr="00390777">
        <w:rPr>
          <w:color w:val="000000" w:themeColor="text1"/>
          <w:sz w:val="24"/>
          <w:szCs w:val="24"/>
          <w:lang w:eastAsia="ja-JP"/>
        </w:rPr>
        <w:t>Human CD137 knock-in mice (</w:t>
      </w:r>
      <w:r w:rsidRPr="00390777">
        <w:rPr>
          <w:rFonts w:hint="eastAsia"/>
          <w:color w:val="000000" w:themeColor="text1"/>
          <w:sz w:val="24"/>
          <w:szCs w:val="24"/>
          <w:lang w:eastAsia="ja-JP"/>
        </w:rPr>
        <w:t>●</w:t>
      </w:r>
      <w:r w:rsidRPr="00390777">
        <w:rPr>
          <w:color w:val="000000" w:themeColor="text1"/>
          <w:sz w:val="24"/>
          <w:szCs w:val="24"/>
          <w:lang w:eastAsia="ja-JP"/>
        </w:rPr>
        <w:t>) or human CD137 knock-in mice bearing LLC1/OVA/hGPC3 (</w:t>
      </w:r>
      <w:r w:rsidRPr="00390777">
        <w:rPr>
          <w:rFonts w:hint="eastAsia"/>
          <w:color w:val="000000" w:themeColor="text1"/>
          <w:sz w:val="24"/>
          <w:szCs w:val="24"/>
          <w:lang w:eastAsia="ja-JP"/>
        </w:rPr>
        <w:t>◆</w:t>
      </w:r>
      <w:r w:rsidRPr="00390777">
        <w:rPr>
          <w:color w:val="000000" w:themeColor="text1"/>
          <w:sz w:val="24"/>
          <w:szCs w:val="24"/>
          <w:lang w:eastAsia="ja-JP"/>
        </w:rPr>
        <w:t>) or</w:t>
      </w:r>
      <w:r w:rsidRPr="00390777">
        <w:rPr>
          <w:b/>
          <w:color w:val="000000" w:themeColor="text1"/>
          <w:sz w:val="24"/>
          <w:szCs w:val="24"/>
          <w:lang w:eastAsia="ja-JP"/>
        </w:rPr>
        <w:t xml:space="preserve"> (B) </w:t>
      </w:r>
      <w:r w:rsidRPr="00390777">
        <w:rPr>
          <w:color w:val="000000" w:themeColor="text1"/>
          <w:sz w:val="24"/>
          <w:szCs w:val="24"/>
          <w:lang w:eastAsia="ja-JP"/>
        </w:rPr>
        <w:t>Colon38 (</w:t>
      </w:r>
      <w:r w:rsidRPr="00390777">
        <w:rPr>
          <w:rFonts w:hint="eastAsia"/>
          <w:color w:val="000000" w:themeColor="text1"/>
          <w:sz w:val="24"/>
          <w:szCs w:val="24"/>
          <w:lang w:eastAsia="ja-JP"/>
        </w:rPr>
        <w:t>■</w:t>
      </w:r>
      <w:r w:rsidRPr="00390777">
        <w:rPr>
          <w:color w:val="000000" w:themeColor="text1"/>
          <w:sz w:val="24"/>
          <w:szCs w:val="24"/>
          <w:lang w:eastAsia="ja-JP"/>
        </w:rPr>
        <w:t xml:space="preserve">) were administered Sta-MB at 0.3 mg/kg. Antibody concentration in plasma was determined. </w:t>
      </w:r>
      <w:r w:rsidRPr="00390777">
        <w:rPr>
          <w:b/>
          <w:color w:val="000000" w:themeColor="text1"/>
          <w:sz w:val="24"/>
          <w:szCs w:val="24"/>
          <w:lang w:eastAsia="ja-JP"/>
        </w:rPr>
        <w:t xml:space="preserve">(C) </w:t>
      </w:r>
      <w:r w:rsidRPr="00390777">
        <w:rPr>
          <w:bCs/>
          <w:color w:val="000000"/>
          <w:sz w:val="24"/>
          <w:szCs w:val="24"/>
        </w:rPr>
        <w:t>Human CD137-expressing CHO cells were incubated with AF647-labeled anti-KLH-MB, Sta-MB, or Ure-MB at 4</w:t>
      </w:r>
      <w:r w:rsidRPr="00390777">
        <w:rPr>
          <w:color w:val="000000"/>
          <w:sz w:val="24"/>
          <w:szCs w:val="24"/>
        </w:rPr>
        <w:t>°C</w:t>
      </w:r>
      <w:r w:rsidRPr="00390777">
        <w:rPr>
          <w:rFonts w:hint="eastAsia"/>
          <w:bCs/>
          <w:color w:val="000000"/>
          <w:sz w:val="24"/>
          <w:szCs w:val="24"/>
          <w:lang w:eastAsia="ja-JP"/>
        </w:rPr>
        <w:t xml:space="preserve"> or 37</w:t>
      </w:r>
      <w:r w:rsidRPr="00390777">
        <w:rPr>
          <w:color w:val="000000"/>
          <w:sz w:val="24"/>
          <w:szCs w:val="24"/>
        </w:rPr>
        <w:t>°C</w:t>
      </w:r>
      <w:r w:rsidRPr="00390777">
        <w:rPr>
          <w:bCs/>
          <w:color w:val="000000"/>
          <w:sz w:val="24"/>
          <w:szCs w:val="24"/>
          <w:lang w:eastAsia="ja-JP"/>
        </w:rPr>
        <w:t xml:space="preserve">. AF647 was analyzed by flow cytometry. Geometric mean fluorescence intensity of AF647 was </w:t>
      </w:r>
      <w:r w:rsidRPr="00390777">
        <w:rPr>
          <w:color w:val="000000" w:themeColor="text1"/>
          <w:sz w:val="24"/>
          <w:szCs w:val="24"/>
          <w:lang w:eastAsia="ja-JP"/>
        </w:rPr>
        <w:t xml:space="preserve">calculated. </w:t>
      </w:r>
      <w:r w:rsidRPr="00390777">
        <w:rPr>
          <w:bCs/>
          <w:color w:val="000000" w:themeColor="text1"/>
          <w:sz w:val="24"/>
          <w:szCs w:val="24"/>
        </w:rPr>
        <w:t>Data represents the mean ± SD (n=3).</w:t>
      </w:r>
    </w:p>
    <w:p w14:paraId="07B9037F" w14:textId="518A3152" w:rsidR="00B50976" w:rsidRPr="00390777" w:rsidRDefault="00B50976" w:rsidP="00A061DA">
      <w:pPr>
        <w:spacing w:line="480" w:lineRule="auto"/>
        <w:rPr>
          <w:b/>
          <w:color w:val="000000" w:themeColor="text1"/>
          <w:sz w:val="24"/>
          <w:szCs w:val="24"/>
          <w:lang w:eastAsia="ja-JP"/>
        </w:rPr>
      </w:pPr>
      <w:r w:rsidRPr="00390777">
        <w:rPr>
          <w:rFonts w:hint="eastAsia"/>
          <w:b/>
          <w:color w:val="000000" w:themeColor="text1"/>
          <w:sz w:val="24"/>
          <w:szCs w:val="24"/>
          <w:lang w:eastAsia="ja-JP"/>
        </w:rPr>
        <w:lastRenderedPageBreak/>
        <w:t>Fig.</w:t>
      </w:r>
      <w:r w:rsidRPr="00390777">
        <w:rPr>
          <w:b/>
          <w:color w:val="000000" w:themeColor="text1"/>
          <w:sz w:val="24"/>
          <w:szCs w:val="24"/>
          <w:lang w:eastAsia="ja-JP"/>
        </w:rPr>
        <w:t xml:space="preserve"> </w:t>
      </w:r>
      <w:r w:rsidRPr="00390777">
        <w:rPr>
          <w:rFonts w:hint="eastAsia"/>
          <w:b/>
          <w:color w:val="000000" w:themeColor="text1"/>
          <w:sz w:val="24"/>
          <w:szCs w:val="24"/>
          <w:lang w:eastAsia="ja-JP"/>
        </w:rPr>
        <w:t>S15.</w:t>
      </w:r>
    </w:p>
    <w:p w14:paraId="5FC7E5B8" w14:textId="4FD720A3" w:rsidR="00B50976" w:rsidRPr="00390777" w:rsidRDefault="005B593D" w:rsidP="00A061DA">
      <w:pPr>
        <w:spacing w:line="480" w:lineRule="auto"/>
        <w:rPr>
          <w:b/>
          <w:color w:val="000000" w:themeColor="text1"/>
          <w:sz w:val="24"/>
          <w:szCs w:val="24"/>
          <w:lang w:eastAsia="ja-JP"/>
        </w:rPr>
      </w:pPr>
      <w:r w:rsidRPr="00390777">
        <w:rPr>
          <w:noProof/>
          <w:lang w:eastAsia="ja-JP"/>
        </w:rPr>
        <w:drawing>
          <wp:inline distT="0" distB="0" distL="0" distR="0" wp14:anchorId="0B0BFD9C" wp14:editId="72DFCD31">
            <wp:extent cx="5400040" cy="2353310"/>
            <wp:effectExtent l="0" t="0" r="0" b="889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a:ext>
                      </a:extLst>
                    </a:blip>
                    <a:stretch>
                      <a:fillRect/>
                    </a:stretch>
                  </pic:blipFill>
                  <pic:spPr>
                    <a:xfrm>
                      <a:off x="0" y="0"/>
                      <a:ext cx="5400040" cy="2353310"/>
                    </a:xfrm>
                    <a:prstGeom prst="rect">
                      <a:avLst/>
                    </a:prstGeom>
                  </pic:spPr>
                </pic:pic>
              </a:graphicData>
            </a:graphic>
          </wp:inline>
        </w:drawing>
      </w:r>
    </w:p>
    <w:p w14:paraId="2C8AF2F8" w14:textId="0E0CF0B2" w:rsidR="00B50976" w:rsidRPr="00390777" w:rsidRDefault="00B50976" w:rsidP="00A061DA">
      <w:pPr>
        <w:spacing w:line="480" w:lineRule="auto"/>
        <w:rPr>
          <w:color w:val="000000" w:themeColor="text1"/>
          <w:sz w:val="24"/>
          <w:szCs w:val="24"/>
          <w:lang w:eastAsia="ja-JP"/>
        </w:rPr>
      </w:pPr>
      <w:r w:rsidRPr="00390777">
        <w:rPr>
          <w:b/>
          <w:color w:val="000000" w:themeColor="text1"/>
          <w:sz w:val="24"/>
          <w:szCs w:val="24"/>
          <w:lang w:eastAsia="ja-JP"/>
        </w:rPr>
        <w:t xml:space="preserve">Systemic responses to Sta-MB or Ure-MB in human CD137 knock-in mice in liver. (A) </w:t>
      </w:r>
      <w:r w:rsidRPr="00390777">
        <w:rPr>
          <w:color w:val="000000" w:themeColor="text1"/>
          <w:sz w:val="24"/>
          <w:szCs w:val="24"/>
          <w:lang w:eastAsia="ja-JP"/>
        </w:rPr>
        <w:t xml:space="preserve">Human CD137 knock-in mice bearing LLC1/OVA/hGPC3 and </w:t>
      </w:r>
      <w:r w:rsidRPr="00390777">
        <w:rPr>
          <w:b/>
          <w:color w:val="000000" w:themeColor="text1"/>
          <w:sz w:val="24"/>
          <w:szCs w:val="24"/>
          <w:lang w:eastAsia="ja-JP"/>
        </w:rPr>
        <w:t>(B)</w:t>
      </w:r>
      <w:r w:rsidRPr="00390777">
        <w:rPr>
          <w:color w:val="000000" w:themeColor="text1"/>
          <w:sz w:val="24"/>
          <w:szCs w:val="24"/>
          <w:lang w:eastAsia="ja-JP"/>
        </w:rPr>
        <w:t xml:space="preserve"> Colon38 were administered vehicle, Sta-MB (blue) or Ure-MB (pink). </w:t>
      </w:r>
      <w:r w:rsidRPr="00390777">
        <w:rPr>
          <w:rFonts w:hint="eastAsia"/>
          <w:color w:val="000000" w:themeColor="text1"/>
          <w:sz w:val="24"/>
          <w:szCs w:val="24"/>
          <w:lang w:eastAsia="ja-JP"/>
        </w:rPr>
        <w:t>R</w:t>
      </w:r>
      <w:r w:rsidRPr="00390777">
        <w:rPr>
          <w:color w:val="000000" w:themeColor="text1"/>
          <w:sz w:val="24"/>
          <w:szCs w:val="24"/>
          <w:lang w:eastAsia="ja-JP"/>
        </w:rPr>
        <w:t>atio of PD-1</w:t>
      </w:r>
      <w:r w:rsidRPr="00390777">
        <w:rPr>
          <w:color w:val="000000" w:themeColor="text1"/>
          <w:sz w:val="24"/>
          <w:szCs w:val="24"/>
          <w:vertAlign w:val="superscript"/>
          <w:lang w:eastAsia="ja-JP"/>
        </w:rPr>
        <w:t>+</w:t>
      </w:r>
      <w:r w:rsidRPr="00390777">
        <w:rPr>
          <w:color w:val="000000" w:themeColor="text1"/>
          <w:sz w:val="24"/>
          <w:szCs w:val="24"/>
          <w:lang w:eastAsia="ja-JP"/>
        </w:rPr>
        <w:t xml:space="preserve"> CD8</w:t>
      </w:r>
      <w:r w:rsidRPr="00390777">
        <w:rPr>
          <w:color w:val="000000" w:themeColor="text1"/>
          <w:sz w:val="24"/>
          <w:szCs w:val="24"/>
          <w:vertAlign w:val="superscript"/>
          <w:lang w:eastAsia="ja-JP"/>
        </w:rPr>
        <w:t>+</w:t>
      </w:r>
      <w:r w:rsidRPr="00390777">
        <w:rPr>
          <w:color w:val="000000" w:themeColor="text1"/>
          <w:sz w:val="24"/>
          <w:szCs w:val="24"/>
          <w:lang w:eastAsia="ja-JP"/>
        </w:rPr>
        <w:t xml:space="preserve"> T cells to whole CD45</w:t>
      </w:r>
      <w:r w:rsidRPr="00390777">
        <w:rPr>
          <w:color w:val="000000" w:themeColor="text1"/>
          <w:sz w:val="24"/>
          <w:szCs w:val="24"/>
          <w:vertAlign w:val="superscript"/>
          <w:lang w:eastAsia="ja-JP"/>
        </w:rPr>
        <w:t>+</w:t>
      </w:r>
      <w:r w:rsidRPr="00390777">
        <w:rPr>
          <w:color w:val="000000" w:themeColor="text1"/>
          <w:sz w:val="24"/>
          <w:szCs w:val="24"/>
          <w:lang w:eastAsia="ja-JP"/>
        </w:rPr>
        <w:t xml:space="preserve"> cells was measured by flow cytometry. The mean and individual values in each group are shown (n=5). *: Statistical analysis of CD8</w:t>
      </w:r>
      <w:r w:rsidRPr="00390777">
        <w:rPr>
          <w:color w:val="000000" w:themeColor="text1"/>
          <w:sz w:val="24"/>
          <w:szCs w:val="24"/>
          <w:vertAlign w:val="superscript"/>
          <w:lang w:eastAsia="ja-JP"/>
        </w:rPr>
        <w:t>+</w:t>
      </w:r>
      <w:r w:rsidRPr="00390777">
        <w:rPr>
          <w:color w:val="000000" w:themeColor="text1"/>
          <w:sz w:val="24"/>
          <w:szCs w:val="24"/>
          <w:lang w:eastAsia="ja-JP"/>
        </w:rPr>
        <w:t xml:space="preserve"> T cell activation between vehicle and Ure-MB (*P &lt; 0.05 by Steel’s test).</w:t>
      </w:r>
    </w:p>
    <w:p w14:paraId="0F776E51" w14:textId="77777777" w:rsidR="00A95538" w:rsidRPr="00390777" w:rsidRDefault="00A95538">
      <w:pPr>
        <w:rPr>
          <w:b/>
          <w:color w:val="000000" w:themeColor="text1"/>
          <w:sz w:val="24"/>
          <w:szCs w:val="24"/>
        </w:rPr>
      </w:pPr>
      <w:r w:rsidRPr="00390777">
        <w:rPr>
          <w:b/>
          <w:color w:val="000000" w:themeColor="text1"/>
          <w:sz w:val="24"/>
          <w:szCs w:val="24"/>
        </w:rPr>
        <w:br w:type="page"/>
      </w:r>
    </w:p>
    <w:p w14:paraId="6997E17E" w14:textId="4CD7D79D" w:rsidR="00B50976" w:rsidRPr="00390777" w:rsidRDefault="00B50976" w:rsidP="00A061DA">
      <w:pPr>
        <w:spacing w:line="480" w:lineRule="auto"/>
        <w:rPr>
          <w:b/>
          <w:color w:val="000000" w:themeColor="text1"/>
          <w:sz w:val="24"/>
          <w:szCs w:val="24"/>
        </w:rPr>
      </w:pPr>
      <w:r w:rsidRPr="00390777">
        <w:rPr>
          <w:b/>
          <w:color w:val="000000" w:themeColor="text1"/>
          <w:sz w:val="24"/>
          <w:szCs w:val="24"/>
        </w:rPr>
        <w:lastRenderedPageBreak/>
        <w:t xml:space="preserve">Fig. S16. </w:t>
      </w:r>
    </w:p>
    <w:p w14:paraId="02B290F8" w14:textId="4537801E" w:rsidR="00B50976" w:rsidRPr="00390777" w:rsidRDefault="005B593D" w:rsidP="00A061DA">
      <w:pPr>
        <w:spacing w:line="480" w:lineRule="auto"/>
        <w:rPr>
          <w:b/>
          <w:color w:val="000000" w:themeColor="text1"/>
          <w:sz w:val="24"/>
          <w:szCs w:val="24"/>
        </w:rPr>
      </w:pPr>
      <w:r w:rsidRPr="00390777">
        <w:rPr>
          <w:noProof/>
          <w:lang w:eastAsia="ja-JP"/>
        </w:rPr>
        <w:drawing>
          <wp:inline distT="0" distB="0" distL="0" distR="0" wp14:anchorId="7D3ACE3E" wp14:editId="754A581E">
            <wp:extent cx="5400040" cy="2999740"/>
            <wp:effectExtent l="0" t="0" r="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a:ext>
                      </a:extLst>
                    </a:blip>
                    <a:stretch>
                      <a:fillRect/>
                    </a:stretch>
                  </pic:blipFill>
                  <pic:spPr>
                    <a:xfrm>
                      <a:off x="0" y="0"/>
                      <a:ext cx="5400040" cy="2999740"/>
                    </a:xfrm>
                    <a:prstGeom prst="rect">
                      <a:avLst/>
                    </a:prstGeom>
                  </pic:spPr>
                </pic:pic>
              </a:graphicData>
            </a:graphic>
          </wp:inline>
        </w:drawing>
      </w:r>
    </w:p>
    <w:p w14:paraId="350DAEE0" w14:textId="727BF638" w:rsidR="00D23307" w:rsidRPr="00390777" w:rsidRDefault="00B50976" w:rsidP="00A061DA">
      <w:pPr>
        <w:spacing w:line="480" w:lineRule="auto"/>
        <w:rPr>
          <w:bCs/>
          <w:color w:val="000000" w:themeColor="text1"/>
          <w:sz w:val="24"/>
          <w:szCs w:val="24"/>
        </w:rPr>
      </w:pPr>
      <w:r w:rsidRPr="00390777">
        <w:rPr>
          <w:b/>
          <w:color w:val="000000" w:themeColor="text1"/>
          <w:sz w:val="24"/>
          <w:szCs w:val="24"/>
        </w:rPr>
        <w:t>Pharmacokinetics of ST</w:t>
      </w:r>
      <w:r w:rsidR="002C14FC" w:rsidRPr="00390777">
        <w:rPr>
          <w:b/>
          <w:color w:val="000000" w:themeColor="text1"/>
          <w:sz w:val="24"/>
          <w:szCs w:val="24"/>
        </w:rPr>
        <w:t xml:space="preserve">A551 in cynomolgus monkeys. </w:t>
      </w:r>
      <w:r w:rsidRPr="00390777">
        <w:rPr>
          <w:bCs/>
          <w:color w:val="000000" w:themeColor="text1"/>
          <w:sz w:val="24"/>
          <w:szCs w:val="24"/>
        </w:rPr>
        <w:t xml:space="preserve">Plasma concentration-time profiles of STA551 after a single intravenous dose of 0.5, 5, and 50 mg/kg in male cynomolgus monkeys. Data </w:t>
      </w:r>
      <w:r w:rsidR="002C14FC" w:rsidRPr="00390777">
        <w:rPr>
          <w:bCs/>
          <w:color w:val="000000" w:themeColor="text1"/>
          <w:sz w:val="24"/>
          <w:szCs w:val="24"/>
        </w:rPr>
        <w:t>represents the mean ± SD (n=4).</w:t>
      </w:r>
    </w:p>
    <w:p w14:paraId="72078CA6" w14:textId="77777777" w:rsidR="00D23307" w:rsidRPr="00390777" w:rsidRDefault="00D23307">
      <w:pPr>
        <w:rPr>
          <w:bCs/>
          <w:color w:val="000000" w:themeColor="text1"/>
          <w:sz w:val="24"/>
          <w:szCs w:val="24"/>
        </w:rPr>
      </w:pPr>
      <w:r w:rsidRPr="00390777">
        <w:rPr>
          <w:bCs/>
          <w:color w:val="000000" w:themeColor="text1"/>
          <w:sz w:val="24"/>
          <w:szCs w:val="24"/>
        </w:rPr>
        <w:br w:type="page"/>
      </w:r>
    </w:p>
    <w:p w14:paraId="6D22D760" w14:textId="68FAA136" w:rsidR="00B50976" w:rsidRPr="00390777" w:rsidRDefault="00B50976" w:rsidP="00A061DA">
      <w:pPr>
        <w:spacing w:line="480" w:lineRule="auto"/>
        <w:rPr>
          <w:bCs/>
          <w:color w:val="000000" w:themeColor="text1"/>
          <w:sz w:val="24"/>
          <w:szCs w:val="24"/>
        </w:rPr>
      </w:pPr>
      <w:r w:rsidRPr="00390777">
        <w:rPr>
          <w:b/>
          <w:color w:val="000000" w:themeColor="text1"/>
          <w:sz w:val="24"/>
          <w:szCs w:val="24"/>
        </w:rPr>
        <w:lastRenderedPageBreak/>
        <w:t>Fig. S17.</w:t>
      </w:r>
    </w:p>
    <w:p w14:paraId="6836EFAD" w14:textId="7E15A649" w:rsidR="00B50976" w:rsidRPr="00390777" w:rsidRDefault="005B593D" w:rsidP="00A061DA">
      <w:pPr>
        <w:spacing w:line="480" w:lineRule="auto"/>
        <w:rPr>
          <w:b/>
          <w:color w:val="000000" w:themeColor="text1"/>
          <w:sz w:val="24"/>
          <w:szCs w:val="24"/>
        </w:rPr>
      </w:pPr>
      <w:r w:rsidRPr="00390777">
        <w:rPr>
          <w:noProof/>
          <w:lang w:eastAsia="ja-JP"/>
        </w:rPr>
        <w:drawing>
          <wp:inline distT="0" distB="0" distL="0" distR="0" wp14:anchorId="064FBA5E" wp14:editId="0A3A8F6D">
            <wp:extent cx="5400040" cy="4182745"/>
            <wp:effectExtent l="0" t="0" r="0" b="8255"/>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a:ext>
                      </a:extLst>
                    </a:blip>
                    <a:stretch>
                      <a:fillRect/>
                    </a:stretch>
                  </pic:blipFill>
                  <pic:spPr>
                    <a:xfrm>
                      <a:off x="0" y="0"/>
                      <a:ext cx="5400040" cy="4182745"/>
                    </a:xfrm>
                    <a:prstGeom prst="rect">
                      <a:avLst/>
                    </a:prstGeom>
                  </pic:spPr>
                </pic:pic>
              </a:graphicData>
            </a:graphic>
          </wp:inline>
        </w:drawing>
      </w:r>
    </w:p>
    <w:p w14:paraId="61A9A3D0" w14:textId="77777777" w:rsidR="00D23307" w:rsidRPr="00390777" w:rsidRDefault="00B50976" w:rsidP="00A061DA">
      <w:pPr>
        <w:spacing w:line="480" w:lineRule="auto"/>
        <w:rPr>
          <w:color w:val="000000" w:themeColor="text1"/>
          <w:sz w:val="24"/>
          <w:szCs w:val="24"/>
          <w:lang w:eastAsia="ja-JP"/>
        </w:rPr>
      </w:pPr>
      <w:r w:rsidRPr="00390777">
        <w:rPr>
          <w:rFonts w:hint="eastAsia"/>
          <w:b/>
          <w:color w:val="000000" w:themeColor="text1"/>
          <w:sz w:val="24"/>
          <w:szCs w:val="24"/>
          <w:lang w:eastAsia="ja-JP"/>
        </w:rPr>
        <w:t>Antibody distribution</w:t>
      </w:r>
      <w:r w:rsidRPr="00390777">
        <w:rPr>
          <w:b/>
          <w:color w:val="000000" w:themeColor="text1"/>
          <w:sz w:val="24"/>
          <w:szCs w:val="24"/>
          <w:lang w:eastAsia="ja-JP"/>
        </w:rPr>
        <w:t xml:space="preserve"> to tumor, spleen, and liver</w:t>
      </w:r>
      <w:r w:rsidRPr="00390777">
        <w:rPr>
          <w:rFonts w:hint="eastAsia"/>
          <w:b/>
          <w:color w:val="000000" w:themeColor="text1"/>
          <w:sz w:val="24"/>
          <w:szCs w:val="24"/>
          <w:lang w:eastAsia="ja-JP"/>
        </w:rPr>
        <w:t xml:space="preserve">. </w:t>
      </w:r>
      <w:r w:rsidRPr="00390777">
        <w:rPr>
          <w:color w:val="000000" w:themeColor="text1"/>
          <w:sz w:val="24"/>
          <w:szCs w:val="24"/>
          <w:lang w:eastAsia="ja-JP"/>
        </w:rPr>
        <w:t>Human CD137 knock-in mice bearing Colon38 were administered Alexa Fluor 488 (AF488)-labeled anti-KLH-MB (black), Sta-MB (blue) or Ure-MB (pink). The frequency of AF488-labeled antibody-binding CD8</w:t>
      </w:r>
      <w:r w:rsidRPr="00390777">
        <w:rPr>
          <w:color w:val="000000" w:themeColor="text1"/>
          <w:sz w:val="24"/>
          <w:szCs w:val="24"/>
          <w:vertAlign w:val="superscript"/>
          <w:lang w:eastAsia="ja-JP"/>
        </w:rPr>
        <w:t>+</w:t>
      </w:r>
      <w:r w:rsidRPr="00390777">
        <w:rPr>
          <w:color w:val="000000" w:themeColor="text1"/>
          <w:sz w:val="24"/>
          <w:szCs w:val="24"/>
          <w:lang w:eastAsia="ja-JP"/>
        </w:rPr>
        <w:t xml:space="preserve"> T cells in tumor, spleen, and liver was calculated by flow cytometry. </w:t>
      </w:r>
      <w:r w:rsidRPr="00390777">
        <w:rPr>
          <w:b/>
          <w:color w:val="000000" w:themeColor="text1"/>
          <w:sz w:val="24"/>
          <w:szCs w:val="24"/>
          <w:lang w:eastAsia="ja-JP"/>
        </w:rPr>
        <w:t>(A)</w:t>
      </w:r>
      <w:r w:rsidRPr="00390777">
        <w:rPr>
          <w:color w:val="000000" w:themeColor="text1"/>
          <w:sz w:val="24"/>
          <w:szCs w:val="24"/>
          <w:lang w:eastAsia="ja-JP"/>
        </w:rPr>
        <w:t xml:space="preserve"> Representative dot plots and </w:t>
      </w:r>
      <w:r w:rsidRPr="00390777">
        <w:rPr>
          <w:b/>
          <w:color w:val="000000" w:themeColor="text1"/>
          <w:sz w:val="24"/>
          <w:szCs w:val="24"/>
          <w:lang w:eastAsia="ja-JP"/>
        </w:rPr>
        <w:t>(B)</w:t>
      </w:r>
      <w:r w:rsidRPr="00390777">
        <w:rPr>
          <w:color w:val="000000" w:themeColor="text1"/>
          <w:sz w:val="24"/>
          <w:szCs w:val="24"/>
          <w:lang w:eastAsia="ja-JP"/>
        </w:rPr>
        <w:t xml:space="preserve"> the mean and individual values (n=3 or 4) in each group are shown. </w:t>
      </w:r>
    </w:p>
    <w:p w14:paraId="0DC7316B" w14:textId="77777777" w:rsidR="00D23307" w:rsidRPr="00390777" w:rsidRDefault="00D23307">
      <w:pPr>
        <w:rPr>
          <w:color w:val="000000" w:themeColor="text1"/>
          <w:sz w:val="24"/>
          <w:szCs w:val="24"/>
          <w:lang w:eastAsia="ja-JP"/>
        </w:rPr>
      </w:pPr>
      <w:r w:rsidRPr="00390777">
        <w:rPr>
          <w:color w:val="000000" w:themeColor="text1"/>
          <w:sz w:val="24"/>
          <w:szCs w:val="24"/>
          <w:lang w:eastAsia="ja-JP"/>
        </w:rPr>
        <w:br w:type="page"/>
      </w:r>
    </w:p>
    <w:p w14:paraId="7EBB36A3" w14:textId="43FE4C70" w:rsidR="00B50976" w:rsidRPr="00390777" w:rsidRDefault="00B50976" w:rsidP="00A061DA">
      <w:pPr>
        <w:spacing w:line="480" w:lineRule="auto"/>
        <w:rPr>
          <w:color w:val="000000" w:themeColor="text1"/>
          <w:sz w:val="24"/>
          <w:szCs w:val="24"/>
          <w:lang w:eastAsia="ja-JP"/>
        </w:rPr>
      </w:pPr>
      <w:r w:rsidRPr="00390777">
        <w:rPr>
          <w:b/>
          <w:color w:val="000000" w:themeColor="text1"/>
          <w:sz w:val="24"/>
          <w:szCs w:val="24"/>
        </w:rPr>
        <w:lastRenderedPageBreak/>
        <w:t xml:space="preserve">Fig. S18. </w:t>
      </w:r>
    </w:p>
    <w:p w14:paraId="6F2C03D9" w14:textId="3A37BB33" w:rsidR="00B50976" w:rsidRPr="00390777" w:rsidRDefault="005B593D" w:rsidP="00A061DA">
      <w:pPr>
        <w:spacing w:line="480" w:lineRule="auto"/>
        <w:rPr>
          <w:b/>
          <w:color w:val="000000" w:themeColor="text1"/>
          <w:sz w:val="24"/>
          <w:szCs w:val="24"/>
        </w:rPr>
      </w:pPr>
      <w:r w:rsidRPr="00390777">
        <w:rPr>
          <w:noProof/>
          <w:lang w:eastAsia="ja-JP"/>
        </w:rPr>
        <w:drawing>
          <wp:inline distT="0" distB="0" distL="0" distR="0" wp14:anchorId="07155D30" wp14:editId="1ADDB2BD">
            <wp:extent cx="5400040" cy="4684395"/>
            <wp:effectExtent l="0" t="0" r="0" b="1905"/>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a:ext>
                      </a:extLst>
                    </a:blip>
                    <a:stretch>
                      <a:fillRect/>
                    </a:stretch>
                  </pic:blipFill>
                  <pic:spPr>
                    <a:xfrm>
                      <a:off x="0" y="0"/>
                      <a:ext cx="5400040" cy="4684395"/>
                    </a:xfrm>
                    <a:prstGeom prst="rect">
                      <a:avLst/>
                    </a:prstGeom>
                  </pic:spPr>
                </pic:pic>
              </a:graphicData>
            </a:graphic>
          </wp:inline>
        </w:drawing>
      </w:r>
    </w:p>
    <w:p w14:paraId="3DEA7BBF" w14:textId="74967C84" w:rsidR="00B50976" w:rsidRPr="00390777" w:rsidRDefault="00B50976" w:rsidP="00A061DA">
      <w:pPr>
        <w:spacing w:line="480" w:lineRule="auto"/>
        <w:rPr>
          <w:color w:val="000000" w:themeColor="text1"/>
          <w:sz w:val="24"/>
          <w:szCs w:val="24"/>
        </w:rPr>
      </w:pPr>
      <w:r w:rsidRPr="00390777">
        <w:rPr>
          <w:b/>
          <w:color w:val="000000" w:themeColor="text1"/>
          <w:sz w:val="24"/>
          <w:szCs w:val="24"/>
        </w:rPr>
        <w:t xml:space="preserve">Impact of immune cell subsets depletion on anti-tumor efficacy. </w:t>
      </w:r>
      <w:r w:rsidRPr="00390777">
        <w:rPr>
          <w:color w:val="000000" w:themeColor="text1"/>
          <w:sz w:val="24"/>
          <w:szCs w:val="24"/>
        </w:rPr>
        <w:t xml:space="preserve">Immune cell subsets were depleted by intravenous administration of cell depleting antibody. Tumor volumes are calculated over time. </w:t>
      </w:r>
      <w:r w:rsidRPr="00390777">
        <w:rPr>
          <w:bCs/>
          <w:color w:val="000000" w:themeColor="text1"/>
          <w:sz w:val="24"/>
          <w:szCs w:val="24"/>
        </w:rPr>
        <w:t>The symbol (</w:t>
      </w:r>
      <w:r w:rsidRPr="00390777">
        <w:rPr>
          <w:rFonts w:hint="eastAsia"/>
          <w:bCs/>
          <w:color w:val="000000" w:themeColor="text1"/>
          <w:sz w:val="24"/>
          <w:szCs w:val="24"/>
          <w:lang w:eastAsia="ja-JP"/>
        </w:rPr>
        <w:t>●</w:t>
      </w:r>
      <w:r w:rsidRPr="00390777">
        <w:rPr>
          <w:bCs/>
          <w:color w:val="000000" w:themeColor="text1"/>
          <w:sz w:val="24"/>
          <w:szCs w:val="24"/>
        </w:rPr>
        <w:t>) indicates vehicle, (</w:t>
      </w:r>
      <w:r w:rsidRPr="00390777">
        <w:rPr>
          <w:rFonts w:hint="eastAsia"/>
          <w:bCs/>
          <w:color w:val="000000" w:themeColor="text1"/>
          <w:sz w:val="24"/>
          <w:szCs w:val="24"/>
          <w:lang w:eastAsia="ja-JP"/>
        </w:rPr>
        <w:t>■</w:t>
      </w:r>
      <w:r w:rsidRPr="00390777">
        <w:rPr>
          <w:bCs/>
          <w:color w:val="000000" w:themeColor="text1"/>
          <w:sz w:val="24"/>
          <w:szCs w:val="24"/>
        </w:rPr>
        <w:t>) Sta-MB, (</w:t>
      </w:r>
      <w:r w:rsidRPr="00390777">
        <w:rPr>
          <w:rFonts w:hint="eastAsia"/>
          <w:bCs/>
          <w:color w:val="000000" w:themeColor="text1"/>
          <w:sz w:val="24"/>
          <w:szCs w:val="24"/>
          <w:lang w:eastAsia="ja-JP"/>
        </w:rPr>
        <w:t>▲</w:t>
      </w:r>
      <w:r w:rsidRPr="00390777">
        <w:rPr>
          <w:bCs/>
          <w:color w:val="000000" w:themeColor="text1"/>
          <w:sz w:val="24"/>
          <w:szCs w:val="24"/>
        </w:rPr>
        <w:t>) Sta-MB with anti-CD4 antibody, (</w:t>
      </w:r>
      <w:r w:rsidRPr="00390777">
        <w:rPr>
          <w:rFonts w:ascii="ＭＳ 明朝" w:hAnsi="ＭＳ 明朝" w:cs="ＭＳ 明朝"/>
          <w:bCs/>
          <w:color w:val="000000" w:themeColor="text1"/>
          <w:sz w:val="24"/>
          <w:szCs w:val="24"/>
        </w:rPr>
        <w:t>◆</w:t>
      </w:r>
      <w:r w:rsidRPr="00390777">
        <w:rPr>
          <w:bCs/>
          <w:color w:val="000000" w:themeColor="text1"/>
          <w:sz w:val="24"/>
          <w:szCs w:val="24"/>
        </w:rPr>
        <w:t>) Sta-MB with anti-CD8 antibody, (</w:t>
      </w:r>
      <w:r w:rsidRPr="00390777">
        <w:rPr>
          <w:rFonts w:hint="eastAsia"/>
          <w:bCs/>
          <w:color w:val="000000" w:themeColor="text1"/>
          <w:sz w:val="24"/>
          <w:szCs w:val="24"/>
          <w:lang w:eastAsia="ja-JP"/>
        </w:rPr>
        <w:t>○</w:t>
      </w:r>
      <w:r w:rsidRPr="00390777">
        <w:rPr>
          <w:bCs/>
          <w:color w:val="000000" w:themeColor="text1"/>
          <w:sz w:val="24"/>
          <w:szCs w:val="24"/>
        </w:rPr>
        <w:t>) Sta-MB with anti-CD20 antibody, (</w:t>
      </w:r>
      <w:r w:rsidRPr="00390777">
        <w:rPr>
          <w:rFonts w:hint="eastAsia"/>
          <w:bCs/>
          <w:color w:val="000000" w:themeColor="text1"/>
          <w:sz w:val="24"/>
          <w:szCs w:val="24"/>
          <w:lang w:eastAsia="ja-JP"/>
        </w:rPr>
        <w:t>□</w:t>
      </w:r>
      <w:r w:rsidRPr="00390777">
        <w:rPr>
          <w:bCs/>
          <w:color w:val="000000" w:themeColor="text1"/>
          <w:sz w:val="24"/>
          <w:szCs w:val="24"/>
        </w:rPr>
        <w:t>) Sta-MB with anti-NK1.1 antibody, (</w:t>
      </w:r>
      <w:r w:rsidRPr="00390777">
        <w:rPr>
          <w:rFonts w:ascii="ＭＳ 明朝" w:hAnsi="ＭＳ 明朝" w:cs="ＭＳ 明朝" w:hint="eastAsia"/>
          <w:bCs/>
          <w:color w:val="000000" w:themeColor="text1"/>
          <w:sz w:val="24"/>
          <w:szCs w:val="24"/>
          <w:lang w:eastAsia="ja-JP"/>
        </w:rPr>
        <w:t>△</w:t>
      </w:r>
      <w:r w:rsidRPr="00390777">
        <w:rPr>
          <w:bCs/>
          <w:color w:val="000000" w:themeColor="text1"/>
          <w:sz w:val="24"/>
          <w:szCs w:val="24"/>
        </w:rPr>
        <w:t>) Sta-MB with anti-Ly-6G antibody, and (</w:t>
      </w:r>
      <w:r w:rsidRPr="00390777">
        <w:rPr>
          <w:rFonts w:ascii="ＭＳ 明朝" w:hAnsi="ＭＳ 明朝" w:cs="ＭＳ 明朝"/>
          <w:bCs/>
          <w:color w:val="000000" w:themeColor="text1"/>
          <w:sz w:val="24"/>
          <w:szCs w:val="24"/>
        </w:rPr>
        <w:t>◇</w:t>
      </w:r>
      <w:r w:rsidRPr="00390777">
        <w:rPr>
          <w:bCs/>
          <w:color w:val="000000" w:themeColor="text1"/>
          <w:sz w:val="24"/>
          <w:szCs w:val="24"/>
        </w:rPr>
        <w:t>) Sta-MB with clodronate liposome.</w:t>
      </w:r>
      <w:r w:rsidRPr="00390777">
        <w:rPr>
          <w:bCs/>
          <w:color w:val="000000" w:themeColor="text1"/>
          <w:sz w:val="24"/>
          <w:szCs w:val="24"/>
          <w:lang w:val="en-GB"/>
        </w:rPr>
        <w:t xml:space="preserve"> Each point represents mean </w:t>
      </w:r>
      <w:r w:rsidR="002D577C" w:rsidRPr="00390777">
        <w:rPr>
          <w:bCs/>
          <w:color w:val="000000" w:themeColor="text1"/>
          <w:sz w:val="24"/>
          <w:szCs w:val="24"/>
          <w:lang w:val="en-GB"/>
        </w:rPr>
        <w:t>+</w:t>
      </w:r>
      <w:r w:rsidRPr="00390777">
        <w:rPr>
          <w:bCs/>
          <w:color w:val="000000" w:themeColor="text1"/>
          <w:sz w:val="24"/>
          <w:szCs w:val="24"/>
          <w:lang w:val="en-GB"/>
        </w:rPr>
        <w:t xml:space="preserve"> SD (n=7 or 8).</w:t>
      </w:r>
      <w:r w:rsidRPr="00390777">
        <w:rPr>
          <w:bCs/>
          <w:color w:val="000000" w:themeColor="text1"/>
          <w:sz w:val="24"/>
          <w:szCs w:val="24"/>
        </w:rPr>
        <w:t xml:space="preserve"> </w:t>
      </w:r>
    </w:p>
    <w:p w14:paraId="0F74B475" w14:textId="4FE4D550" w:rsidR="00B50976" w:rsidRPr="00390777" w:rsidRDefault="00B50976" w:rsidP="00A061DA">
      <w:pPr>
        <w:spacing w:line="480" w:lineRule="auto"/>
        <w:rPr>
          <w:b/>
          <w:color w:val="000000" w:themeColor="text1"/>
          <w:sz w:val="24"/>
          <w:szCs w:val="24"/>
        </w:rPr>
      </w:pPr>
      <w:r w:rsidRPr="00390777">
        <w:rPr>
          <w:b/>
          <w:color w:val="000000" w:themeColor="text1"/>
          <w:sz w:val="24"/>
          <w:szCs w:val="24"/>
        </w:rPr>
        <w:lastRenderedPageBreak/>
        <w:t xml:space="preserve">Fig. S19. </w:t>
      </w:r>
    </w:p>
    <w:p w14:paraId="09F3AC2B" w14:textId="38B26C31" w:rsidR="00B50976" w:rsidRPr="00390777" w:rsidRDefault="00212183" w:rsidP="00A061DA">
      <w:pPr>
        <w:spacing w:line="480" w:lineRule="auto"/>
        <w:rPr>
          <w:b/>
          <w:color w:val="000000" w:themeColor="text1"/>
          <w:sz w:val="24"/>
          <w:szCs w:val="24"/>
        </w:rPr>
      </w:pPr>
      <w:r w:rsidRPr="00390777">
        <w:rPr>
          <w:noProof/>
          <w:lang w:eastAsia="ja-JP"/>
        </w:rPr>
        <w:drawing>
          <wp:inline distT="0" distB="0" distL="0" distR="0" wp14:anchorId="55E426FF" wp14:editId="1589006E">
            <wp:extent cx="5400040" cy="4027170"/>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a:ext>
                      </a:extLst>
                    </a:blip>
                    <a:stretch>
                      <a:fillRect/>
                    </a:stretch>
                  </pic:blipFill>
                  <pic:spPr>
                    <a:xfrm>
                      <a:off x="0" y="0"/>
                      <a:ext cx="5400040" cy="4027170"/>
                    </a:xfrm>
                    <a:prstGeom prst="rect">
                      <a:avLst/>
                    </a:prstGeom>
                  </pic:spPr>
                </pic:pic>
              </a:graphicData>
            </a:graphic>
          </wp:inline>
        </w:drawing>
      </w:r>
    </w:p>
    <w:p w14:paraId="71E4EBD9" w14:textId="40F03A9E" w:rsidR="00B50976" w:rsidRPr="00390777" w:rsidRDefault="00B50976" w:rsidP="00D23307">
      <w:pPr>
        <w:pStyle w:val="Paragraph"/>
        <w:spacing w:line="480" w:lineRule="auto"/>
        <w:ind w:firstLine="0"/>
        <w:rPr>
          <w:color w:val="000000" w:themeColor="text1"/>
        </w:rPr>
      </w:pPr>
      <w:r w:rsidRPr="00390777">
        <w:rPr>
          <w:b/>
          <w:color w:val="000000" w:themeColor="text1"/>
        </w:rPr>
        <w:t xml:space="preserve">Systemic response to Sta-MB, anti-PD-L1, and their combination. (A) </w:t>
      </w:r>
      <w:r w:rsidRPr="00390777">
        <w:rPr>
          <w:color w:val="000000" w:themeColor="text1"/>
          <w:lang w:eastAsia="ja-JP"/>
        </w:rPr>
        <w:t xml:space="preserve">The Colon38 cells were inoculated subcutaneously into human CD137 knock-in mice. After palpable tumors were established, mice were randomized based on tumor volume and body weight. Subsequently, 2.5 mg/kg </w:t>
      </w:r>
      <w:r w:rsidRPr="00390777">
        <w:rPr>
          <w:color w:val="000000" w:themeColor="text1"/>
        </w:rPr>
        <w:t>Sta-MB</w:t>
      </w:r>
      <w:r w:rsidRPr="00390777">
        <w:rPr>
          <w:color w:val="000000" w:themeColor="text1"/>
          <w:lang w:eastAsia="ja-JP"/>
        </w:rPr>
        <w:t xml:space="preserve"> was intravenously and 10 mg/kg anti-PD-L1 Ab was intraperitoneally administered twice per week and body weight was measured twice per week. </w:t>
      </w:r>
      <w:r w:rsidRPr="00390777">
        <w:rPr>
          <w:color w:val="000000" w:themeColor="text1"/>
        </w:rPr>
        <w:t xml:space="preserve">Body weight change was calculated. </w:t>
      </w:r>
      <w:r w:rsidRPr="00390777">
        <w:rPr>
          <w:bCs/>
          <w:color w:val="000000" w:themeColor="text1"/>
        </w:rPr>
        <w:t>Each line indicates body weight changes in individual animals over the course of the study (n=6). †: Euthanasia due to the self-destruction of the tumor.</w:t>
      </w:r>
      <w:r w:rsidRPr="00390777">
        <w:rPr>
          <w:bCs/>
          <w:color w:val="000000" w:themeColor="text1"/>
          <w:lang w:val="en-GB"/>
        </w:rPr>
        <w:t xml:space="preserve"> </w:t>
      </w:r>
      <w:r w:rsidRPr="00390777">
        <w:rPr>
          <w:b/>
          <w:bCs/>
          <w:color w:val="000000" w:themeColor="text1"/>
          <w:lang w:val="en-GB"/>
        </w:rPr>
        <w:t>(B)</w:t>
      </w:r>
      <w:r w:rsidRPr="00390777">
        <w:rPr>
          <w:color w:val="000000" w:themeColor="text1"/>
        </w:rPr>
        <w:t xml:space="preserve"> Four days after initiating administration of PD-L1 </w:t>
      </w:r>
      <w:r w:rsidRPr="00390777">
        <w:rPr>
          <w:color w:val="000000" w:themeColor="text1"/>
        </w:rPr>
        <w:lastRenderedPageBreak/>
        <w:t>combination in Colon38 tumor models, blood was collected and serum levels of AST and ALT were measured</w:t>
      </w:r>
      <w:r w:rsidRPr="00390777">
        <w:rPr>
          <w:bCs/>
          <w:color w:val="000000" w:themeColor="text1"/>
          <w:lang w:val="en-GB"/>
        </w:rPr>
        <w:t>.</w:t>
      </w:r>
      <w:r w:rsidRPr="00390777">
        <w:rPr>
          <w:b/>
          <w:bCs/>
          <w:color w:val="000000" w:themeColor="text1"/>
          <w:lang w:val="en-GB"/>
        </w:rPr>
        <w:t xml:space="preserve"> </w:t>
      </w:r>
      <w:r w:rsidRPr="00390777">
        <w:rPr>
          <w:color w:val="000000" w:themeColor="text1"/>
          <w:lang w:val="en-GB"/>
        </w:rPr>
        <w:t xml:space="preserve">The mean and individual values in each group are shown (n=5). </w:t>
      </w:r>
      <w:r w:rsidRPr="00390777">
        <w:rPr>
          <w:color w:val="000000" w:themeColor="text1"/>
          <w:lang w:eastAsia="ja-JP"/>
        </w:rPr>
        <w:t xml:space="preserve">Ab: antibody, AST: </w:t>
      </w:r>
      <w:r w:rsidRPr="00390777">
        <w:rPr>
          <w:color w:val="000000" w:themeColor="text1"/>
        </w:rPr>
        <w:t>aspartate transaminase</w:t>
      </w:r>
      <w:r w:rsidRPr="00390777">
        <w:rPr>
          <w:color w:val="000000" w:themeColor="text1"/>
          <w:lang w:eastAsia="ja-JP"/>
        </w:rPr>
        <w:t>, ALT:</w:t>
      </w:r>
      <w:r w:rsidRPr="00390777">
        <w:rPr>
          <w:color w:val="000000" w:themeColor="text1"/>
        </w:rPr>
        <w:t xml:space="preserve"> alanine transaminase.</w:t>
      </w:r>
      <w:r w:rsidRPr="00390777">
        <w:rPr>
          <w:color w:val="000000" w:themeColor="text1"/>
          <w:lang w:eastAsia="ja-JP"/>
        </w:rPr>
        <w:t xml:space="preserve"> </w:t>
      </w:r>
    </w:p>
    <w:p w14:paraId="6FE632E4" w14:textId="77777777" w:rsidR="00A95538" w:rsidRPr="00390777" w:rsidRDefault="00A95538">
      <w:pPr>
        <w:rPr>
          <w:b/>
          <w:color w:val="000000" w:themeColor="text1"/>
          <w:sz w:val="24"/>
          <w:szCs w:val="24"/>
        </w:rPr>
      </w:pPr>
      <w:r w:rsidRPr="00390777">
        <w:rPr>
          <w:b/>
          <w:color w:val="000000" w:themeColor="text1"/>
          <w:sz w:val="24"/>
          <w:szCs w:val="24"/>
        </w:rPr>
        <w:br w:type="page"/>
      </w:r>
    </w:p>
    <w:p w14:paraId="7638E442" w14:textId="3BE233B3" w:rsidR="00B50976" w:rsidRPr="00390777" w:rsidRDefault="00B50976" w:rsidP="00A061DA">
      <w:pPr>
        <w:spacing w:line="480" w:lineRule="auto"/>
        <w:rPr>
          <w:b/>
          <w:color w:val="000000" w:themeColor="text1"/>
          <w:sz w:val="24"/>
          <w:szCs w:val="24"/>
        </w:rPr>
      </w:pPr>
      <w:r w:rsidRPr="00390777">
        <w:rPr>
          <w:b/>
          <w:color w:val="000000" w:themeColor="text1"/>
          <w:sz w:val="24"/>
          <w:szCs w:val="24"/>
        </w:rPr>
        <w:lastRenderedPageBreak/>
        <w:t xml:space="preserve">Fig. S20. </w:t>
      </w:r>
    </w:p>
    <w:p w14:paraId="5D505C1C" w14:textId="6D40097F" w:rsidR="00B50976" w:rsidRPr="00390777" w:rsidRDefault="00212183" w:rsidP="00212183">
      <w:pPr>
        <w:spacing w:line="480" w:lineRule="auto"/>
        <w:rPr>
          <w:b/>
          <w:color w:val="000000" w:themeColor="text1"/>
          <w:sz w:val="24"/>
          <w:szCs w:val="24"/>
        </w:rPr>
      </w:pPr>
      <w:r w:rsidRPr="00390777">
        <w:rPr>
          <w:noProof/>
          <w:lang w:eastAsia="ja-JP"/>
        </w:rPr>
        <w:drawing>
          <wp:inline distT="0" distB="0" distL="0" distR="0" wp14:anchorId="33DB9A67" wp14:editId="1132FF36">
            <wp:extent cx="5400040" cy="5393055"/>
            <wp:effectExtent l="0" t="0" r="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a:ext>
                      </a:extLst>
                    </a:blip>
                    <a:stretch>
                      <a:fillRect/>
                    </a:stretch>
                  </pic:blipFill>
                  <pic:spPr>
                    <a:xfrm>
                      <a:off x="0" y="0"/>
                      <a:ext cx="5400040" cy="5393055"/>
                    </a:xfrm>
                    <a:prstGeom prst="rect">
                      <a:avLst/>
                    </a:prstGeom>
                  </pic:spPr>
                </pic:pic>
              </a:graphicData>
            </a:graphic>
          </wp:inline>
        </w:drawing>
      </w:r>
    </w:p>
    <w:p w14:paraId="214D8B0D" w14:textId="2B2DE630" w:rsidR="00B50976" w:rsidRPr="00390777" w:rsidRDefault="00B50976" w:rsidP="00D23307">
      <w:pPr>
        <w:pStyle w:val="Paragraph"/>
        <w:spacing w:line="480" w:lineRule="auto"/>
        <w:ind w:firstLine="0"/>
        <w:rPr>
          <w:color w:val="000000" w:themeColor="text1"/>
        </w:rPr>
      </w:pPr>
      <w:r w:rsidRPr="00390777">
        <w:rPr>
          <w:b/>
          <w:color w:val="000000" w:themeColor="text1"/>
        </w:rPr>
        <w:t>Anti-tumor efficacy of GPC3 targeting CD137 bispecific antibody.</w:t>
      </w:r>
      <w:r w:rsidR="00A95538" w:rsidRPr="00390777">
        <w:rPr>
          <w:color w:val="000000" w:themeColor="text1"/>
        </w:rPr>
        <w:t xml:space="preserve"> </w:t>
      </w:r>
      <w:r w:rsidRPr="00390777">
        <w:rPr>
          <w:color w:val="000000" w:themeColor="text1"/>
        </w:rPr>
        <w:t>LLC1/OVA/hGPC3 cells were inoculated subcutaneously into human CD137 knock-in mice. After the tumors were established, mice were randomized based on tumor volume and body weight. Subsequently, 5 mg/kg anti-hGPC3/hCD137 bispecific antibody was intravenously administered twice per week. The symbol (</w:t>
      </w:r>
      <w:r w:rsidRPr="00390777">
        <w:rPr>
          <w:rFonts w:asciiTheme="minorEastAsia" w:eastAsiaTheme="minorEastAsia" w:hAnsiTheme="minorEastAsia" w:hint="eastAsia"/>
          <w:bCs/>
          <w:color w:val="000000" w:themeColor="text1"/>
          <w:lang w:eastAsia="ja-JP"/>
        </w:rPr>
        <w:t>●</w:t>
      </w:r>
      <w:r w:rsidRPr="00390777">
        <w:rPr>
          <w:color w:val="000000" w:themeColor="text1"/>
        </w:rPr>
        <w:t>) indicates vehicle and (</w:t>
      </w:r>
      <w:r w:rsidRPr="00390777">
        <w:rPr>
          <w:rFonts w:asciiTheme="minorEastAsia" w:eastAsiaTheme="minorEastAsia" w:hAnsiTheme="minorEastAsia" w:hint="eastAsia"/>
          <w:bCs/>
          <w:color w:val="000000" w:themeColor="text1"/>
          <w:lang w:eastAsia="ja-JP"/>
        </w:rPr>
        <w:t>▲</w:t>
      </w:r>
      <w:r w:rsidRPr="00390777">
        <w:rPr>
          <w:color w:val="000000" w:themeColor="text1"/>
        </w:rPr>
        <w:t xml:space="preserve">) </w:t>
      </w:r>
      <w:r w:rsidRPr="00390777">
        <w:rPr>
          <w:color w:val="000000" w:themeColor="text1"/>
        </w:rPr>
        <w:lastRenderedPageBreak/>
        <w:t xml:space="preserve">anti-hGPC3/hCD137 bispecific antibody. Each point represents mean </w:t>
      </w:r>
      <w:r w:rsidR="002D577C" w:rsidRPr="00390777">
        <w:rPr>
          <w:color w:val="000000" w:themeColor="text1"/>
        </w:rPr>
        <w:t>+</w:t>
      </w:r>
      <w:r w:rsidRPr="00390777">
        <w:rPr>
          <w:color w:val="000000" w:themeColor="text1"/>
        </w:rPr>
        <w:t xml:space="preserve"> SD (n=10). Human CD137 KI: human CD137 knock-in, hGPC3/hCD137: human GPC3/human CD137 bispecific antibody.</w:t>
      </w:r>
    </w:p>
    <w:p w14:paraId="6D0152E7" w14:textId="77777777" w:rsidR="00A95538" w:rsidRPr="00390777" w:rsidRDefault="00A95538">
      <w:pPr>
        <w:rPr>
          <w:rFonts w:eastAsiaTheme="minorEastAsia"/>
          <w:b/>
          <w:color w:val="000000" w:themeColor="text1"/>
          <w:sz w:val="24"/>
          <w:szCs w:val="24"/>
          <w:lang w:eastAsia="ja-JP"/>
        </w:rPr>
      </w:pPr>
      <w:r w:rsidRPr="00390777">
        <w:rPr>
          <w:rFonts w:eastAsiaTheme="minorEastAsia"/>
          <w:b/>
          <w:color w:val="000000" w:themeColor="text1"/>
          <w:sz w:val="24"/>
          <w:szCs w:val="24"/>
          <w:lang w:eastAsia="ja-JP"/>
        </w:rPr>
        <w:br w:type="page"/>
      </w:r>
    </w:p>
    <w:p w14:paraId="36DC2A5F" w14:textId="5B4E7C3F" w:rsidR="00B50976" w:rsidRPr="00390777" w:rsidRDefault="00B50976" w:rsidP="00A061DA">
      <w:pPr>
        <w:pStyle w:val="a6"/>
        <w:spacing w:line="480" w:lineRule="auto"/>
        <w:rPr>
          <w:rFonts w:eastAsiaTheme="minorEastAsia"/>
          <w:b/>
          <w:color w:val="000000" w:themeColor="text1"/>
          <w:sz w:val="24"/>
          <w:szCs w:val="24"/>
          <w:lang w:eastAsia="ja-JP"/>
        </w:rPr>
      </w:pPr>
      <w:r w:rsidRPr="00390777">
        <w:rPr>
          <w:rFonts w:eastAsiaTheme="minorEastAsia" w:hint="eastAsia"/>
          <w:b/>
          <w:color w:val="000000" w:themeColor="text1"/>
          <w:sz w:val="24"/>
          <w:szCs w:val="24"/>
          <w:lang w:eastAsia="ja-JP"/>
        </w:rPr>
        <w:lastRenderedPageBreak/>
        <w:t>Fig</w:t>
      </w:r>
      <w:r w:rsidRPr="00390777">
        <w:rPr>
          <w:rFonts w:eastAsiaTheme="minorEastAsia"/>
          <w:b/>
          <w:color w:val="000000" w:themeColor="text1"/>
          <w:sz w:val="24"/>
          <w:szCs w:val="24"/>
          <w:lang w:eastAsia="ja-JP"/>
        </w:rPr>
        <w:t>.</w:t>
      </w:r>
      <w:r w:rsidRPr="00390777">
        <w:rPr>
          <w:rFonts w:eastAsiaTheme="minorEastAsia" w:hint="eastAsia"/>
          <w:b/>
          <w:color w:val="000000" w:themeColor="text1"/>
          <w:sz w:val="24"/>
          <w:szCs w:val="24"/>
          <w:lang w:eastAsia="ja-JP"/>
        </w:rPr>
        <w:t xml:space="preserve"> S</w:t>
      </w:r>
      <w:r w:rsidRPr="00390777">
        <w:rPr>
          <w:rFonts w:eastAsiaTheme="minorEastAsia"/>
          <w:b/>
          <w:color w:val="000000" w:themeColor="text1"/>
          <w:sz w:val="24"/>
          <w:szCs w:val="24"/>
          <w:lang w:eastAsia="ja-JP"/>
        </w:rPr>
        <w:t>21</w:t>
      </w:r>
      <w:r w:rsidRPr="00390777">
        <w:rPr>
          <w:rFonts w:eastAsiaTheme="minorEastAsia" w:hint="eastAsia"/>
          <w:b/>
          <w:color w:val="000000" w:themeColor="text1"/>
          <w:sz w:val="24"/>
          <w:szCs w:val="24"/>
          <w:lang w:eastAsia="ja-JP"/>
        </w:rPr>
        <w:t>.</w:t>
      </w:r>
      <w:r w:rsidRPr="00390777">
        <w:rPr>
          <w:rFonts w:eastAsiaTheme="minorEastAsia"/>
          <w:b/>
          <w:color w:val="000000" w:themeColor="text1"/>
          <w:sz w:val="24"/>
          <w:szCs w:val="24"/>
          <w:lang w:eastAsia="ja-JP"/>
        </w:rPr>
        <w:t xml:space="preserve"> </w:t>
      </w:r>
    </w:p>
    <w:p w14:paraId="37523E47" w14:textId="3BE4D7FB" w:rsidR="00B50976" w:rsidRPr="00390777" w:rsidRDefault="005A0E96" w:rsidP="00A061DA">
      <w:pPr>
        <w:pStyle w:val="a6"/>
        <w:spacing w:line="480" w:lineRule="auto"/>
        <w:rPr>
          <w:rFonts w:eastAsiaTheme="minorEastAsia"/>
          <w:b/>
          <w:color w:val="000000" w:themeColor="text1"/>
          <w:sz w:val="24"/>
          <w:szCs w:val="24"/>
          <w:lang w:eastAsia="ja-JP"/>
        </w:rPr>
      </w:pPr>
      <w:r w:rsidRPr="00390777">
        <w:rPr>
          <w:noProof/>
          <w:lang w:eastAsia="ja-JP"/>
        </w:rPr>
        <w:drawing>
          <wp:inline distT="0" distB="0" distL="0" distR="0" wp14:anchorId="553E9000" wp14:editId="05F338A3">
            <wp:extent cx="5400040" cy="4067175"/>
            <wp:effectExtent l="0" t="0" r="0"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a:ext>
                      </a:extLst>
                    </a:blip>
                    <a:stretch>
                      <a:fillRect/>
                    </a:stretch>
                  </pic:blipFill>
                  <pic:spPr>
                    <a:xfrm>
                      <a:off x="0" y="0"/>
                      <a:ext cx="5400040" cy="4067175"/>
                    </a:xfrm>
                    <a:prstGeom prst="rect">
                      <a:avLst/>
                    </a:prstGeom>
                  </pic:spPr>
                </pic:pic>
              </a:graphicData>
            </a:graphic>
          </wp:inline>
        </w:drawing>
      </w:r>
    </w:p>
    <w:p w14:paraId="692BF35F" w14:textId="333EF079" w:rsidR="00B50976" w:rsidRPr="00390777" w:rsidRDefault="005A0E96" w:rsidP="00A061DA">
      <w:pPr>
        <w:pStyle w:val="a6"/>
        <w:spacing w:line="480" w:lineRule="auto"/>
        <w:rPr>
          <w:rFonts w:eastAsiaTheme="minorEastAsia"/>
          <w:color w:val="000000" w:themeColor="text1"/>
          <w:sz w:val="24"/>
          <w:szCs w:val="24"/>
          <w:lang w:eastAsia="ja-JP"/>
        </w:rPr>
      </w:pPr>
      <w:r w:rsidRPr="00390777">
        <w:rPr>
          <w:noProof/>
          <w:lang w:eastAsia="ja-JP"/>
        </w:rPr>
        <w:drawing>
          <wp:inline distT="0" distB="0" distL="0" distR="0" wp14:anchorId="109C1FA9" wp14:editId="532ADA77">
            <wp:extent cx="5400040" cy="178054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a:ext>
                      </a:extLst>
                    </a:blip>
                    <a:stretch>
                      <a:fillRect/>
                    </a:stretch>
                  </pic:blipFill>
                  <pic:spPr>
                    <a:xfrm>
                      <a:off x="0" y="0"/>
                      <a:ext cx="5400040" cy="1780540"/>
                    </a:xfrm>
                    <a:prstGeom prst="rect">
                      <a:avLst/>
                    </a:prstGeom>
                  </pic:spPr>
                </pic:pic>
              </a:graphicData>
            </a:graphic>
          </wp:inline>
        </w:drawing>
      </w:r>
    </w:p>
    <w:p w14:paraId="11B5E1C4" w14:textId="35229C4C" w:rsidR="00B50976" w:rsidRPr="00390777" w:rsidRDefault="00B50976" w:rsidP="00D23307">
      <w:pPr>
        <w:spacing w:line="480" w:lineRule="auto"/>
        <w:rPr>
          <w:color w:val="000000" w:themeColor="text1"/>
          <w:sz w:val="24"/>
          <w:szCs w:val="24"/>
        </w:rPr>
      </w:pPr>
      <w:r w:rsidRPr="00390777">
        <w:rPr>
          <w:b/>
          <w:color w:val="000000" w:themeColor="text1"/>
          <w:sz w:val="24"/>
          <w:szCs w:val="24"/>
        </w:rPr>
        <w:t>Combination efficacy of STA551 with anti-PD-L1 in LLC1/OVA. (A)</w:t>
      </w:r>
      <w:r w:rsidRPr="00390777">
        <w:rPr>
          <w:color w:val="000000" w:themeColor="text1"/>
          <w:sz w:val="24"/>
          <w:szCs w:val="24"/>
        </w:rPr>
        <w:t xml:space="preserve"> Human CD137 knock-in mice bearing LLC1/OVA were administered vehicle (black), Sta-MB (blue), Ure-MB (pink), anti-mouse PD-L1 mAb (green), Sta-MB combination (red) or Ure-MB combination (purple) (n=8). </w:t>
      </w:r>
      <w:r w:rsidRPr="00390777">
        <w:rPr>
          <w:rFonts w:hint="eastAsia"/>
          <w:color w:val="000000" w:themeColor="text1"/>
          <w:sz w:val="24"/>
          <w:szCs w:val="24"/>
          <w:lang w:eastAsia="ja-JP"/>
        </w:rPr>
        <w:t>D</w:t>
      </w:r>
      <w:r w:rsidRPr="00390777">
        <w:rPr>
          <w:color w:val="000000" w:themeColor="text1"/>
          <w:sz w:val="24"/>
          <w:szCs w:val="24"/>
        </w:rPr>
        <w:t xml:space="preserve">ashed lines in black and pink indicate average </w:t>
      </w:r>
      <w:r w:rsidRPr="00390777">
        <w:rPr>
          <w:color w:val="000000" w:themeColor="text1"/>
          <w:sz w:val="24"/>
          <w:szCs w:val="24"/>
        </w:rPr>
        <w:lastRenderedPageBreak/>
        <w:t>tumor volume (n=7) after euthanasia or death.</w:t>
      </w:r>
      <w:r w:rsidRPr="00390777">
        <w:rPr>
          <w:bCs/>
          <w:color w:val="000000" w:themeColor="text1"/>
          <w:sz w:val="24"/>
          <w:szCs w:val="24"/>
          <w:lang w:val="en-GB"/>
        </w:rPr>
        <w:t xml:space="preserve"> *</w:t>
      </w:r>
      <w:r w:rsidRPr="00390777">
        <w:rPr>
          <w:color w:val="000000" w:themeColor="text1"/>
          <w:sz w:val="24"/>
          <w:szCs w:val="24"/>
        </w:rPr>
        <w:t xml:space="preserve">: </w:t>
      </w:r>
      <w:r w:rsidRPr="00390777">
        <w:rPr>
          <w:bCs/>
          <w:color w:val="000000" w:themeColor="text1"/>
          <w:sz w:val="24"/>
          <w:szCs w:val="24"/>
          <w:lang w:val="en-GB"/>
        </w:rPr>
        <w:t>Statistical analysis between vehicle and each group</w:t>
      </w:r>
      <w:r w:rsidRPr="00390777">
        <w:rPr>
          <w:b/>
          <w:bCs/>
          <w:color w:val="000000" w:themeColor="text1"/>
          <w:sz w:val="24"/>
          <w:szCs w:val="24"/>
          <w:lang w:val="en-GB"/>
        </w:rPr>
        <w:t xml:space="preserve"> </w:t>
      </w:r>
      <w:r w:rsidRPr="00390777">
        <w:rPr>
          <w:bCs/>
          <w:color w:val="000000" w:themeColor="text1"/>
          <w:sz w:val="24"/>
          <w:szCs w:val="24"/>
          <w:lang w:val="en-GB"/>
        </w:rPr>
        <w:t>on day 20 (*P &lt; 0.01 by Steel’s test). Non-parametric Steel’s test or parametric Dunnett’s test was selected by Bartlett's test for assessing tumor volumes of each treatment.</w:t>
      </w:r>
      <w:r w:rsidRPr="00390777">
        <w:rPr>
          <w:color w:val="000000" w:themeColor="text1"/>
          <w:sz w:val="24"/>
          <w:szCs w:val="24"/>
        </w:rPr>
        <w:t xml:space="preserve"> †: Euthanasia due to self-destruction of the tumor.</w:t>
      </w:r>
      <w:r w:rsidRPr="00390777">
        <w:rPr>
          <w:rFonts w:hint="eastAsia"/>
        </w:rPr>
        <w:t xml:space="preserve"> </w:t>
      </w:r>
      <w:r w:rsidRPr="00390777">
        <w:rPr>
          <w:rFonts w:hint="eastAsia"/>
          <w:color w:val="000000" w:themeColor="text1"/>
          <w:sz w:val="24"/>
          <w:szCs w:val="24"/>
        </w:rPr>
        <w:t>#</w:t>
      </w:r>
      <w:r w:rsidRPr="00390777">
        <w:rPr>
          <w:color w:val="000000" w:themeColor="text1"/>
          <w:sz w:val="24"/>
          <w:szCs w:val="24"/>
        </w:rPr>
        <w:t xml:space="preserve">: </w:t>
      </w:r>
      <w:r w:rsidRPr="00390777">
        <w:rPr>
          <w:rFonts w:hint="eastAsia"/>
          <w:color w:val="000000" w:themeColor="text1"/>
          <w:sz w:val="24"/>
          <w:szCs w:val="24"/>
          <w:lang w:eastAsia="ja-JP"/>
        </w:rPr>
        <w:t>Death</w:t>
      </w:r>
      <w:r w:rsidRPr="00390777">
        <w:rPr>
          <w:color w:val="000000" w:themeColor="text1"/>
          <w:sz w:val="24"/>
          <w:szCs w:val="24"/>
        </w:rPr>
        <w:t xml:space="preserve"> due to dissemination of tumor cells in the peritoneal cavity. </w:t>
      </w:r>
      <w:r w:rsidRPr="00390777">
        <w:rPr>
          <w:b/>
          <w:color w:val="000000" w:themeColor="text1"/>
          <w:sz w:val="24"/>
          <w:szCs w:val="24"/>
        </w:rPr>
        <w:t>(B)</w:t>
      </w:r>
      <w:r w:rsidRPr="00390777">
        <w:rPr>
          <w:color w:val="000000" w:themeColor="text1"/>
          <w:sz w:val="24"/>
          <w:szCs w:val="24"/>
          <w:lang w:eastAsia="ja-JP"/>
        </w:rPr>
        <w:t xml:space="preserve"> R</w:t>
      </w:r>
      <w:r w:rsidRPr="00390777">
        <w:rPr>
          <w:color w:val="000000" w:themeColor="text1"/>
          <w:sz w:val="24"/>
          <w:szCs w:val="24"/>
        </w:rPr>
        <w:t xml:space="preserve">atio and </w:t>
      </w:r>
      <w:r w:rsidRPr="00390777">
        <w:rPr>
          <w:b/>
          <w:color w:val="000000" w:themeColor="text1"/>
          <w:sz w:val="24"/>
          <w:szCs w:val="24"/>
        </w:rPr>
        <w:t>(</w:t>
      </w:r>
      <w:r w:rsidRPr="00390777">
        <w:rPr>
          <w:rFonts w:hint="eastAsia"/>
          <w:b/>
          <w:color w:val="000000" w:themeColor="text1"/>
          <w:sz w:val="24"/>
          <w:szCs w:val="24"/>
          <w:lang w:eastAsia="ja-JP"/>
        </w:rPr>
        <w:t>C</w:t>
      </w:r>
      <w:r w:rsidRPr="00390777">
        <w:rPr>
          <w:b/>
          <w:color w:val="000000" w:themeColor="text1"/>
          <w:sz w:val="24"/>
          <w:szCs w:val="24"/>
        </w:rPr>
        <w:t xml:space="preserve">) </w:t>
      </w:r>
      <w:r w:rsidRPr="00390777">
        <w:rPr>
          <w:color w:val="000000" w:themeColor="text1"/>
          <w:sz w:val="24"/>
          <w:szCs w:val="24"/>
        </w:rPr>
        <w:t xml:space="preserve">absolute number of PD-1, KLRG-1 and ICOS </w:t>
      </w:r>
      <w:r w:rsidRPr="00390777">
        <w:rPr>
          <w:color w:val="000000" w:themeColor="text1"/>
          <w:sz w:val="24"/>
          <w:szCs w:val="24"/>
          <w:lang w:val="en-GB"/>
        </w:rPr>
        <w:t>on CD8</w:t>
      </w:r>
      <w:r w:rsidRPr="00390777">
        <w:rPr>
          <w:color w:val="000000" w:themeColor="text1"/>
          <w:sz w:val="24"/>
          <w:szCs w:val="24"/>
          <w:vertAlign w:val="superscript"/>
          <w:lang w:val="en-GB"/>
        </w:rPr>
        <w:t>+</w:t>
      </w:r>
      <w:r w:rsidRPr="00390777">
        <w:rPr>
          <w:color w:val="000000" w:themeColor="text1"/>
          <w:sz w:val="24"/>
          <w:szCs w:val="24"/>
          <w:lang w:val="en-GB"/>
        </w:rPr>
        <w:t xml:space="preserve"> T cells</w:t>
      </w:r>
      <w:r w:rsidRPr="00390777">
        <w:rPr>
          <w:color w:val="000000" w:themeColor="text1"/>
          <w:sz w:val="24"/>
          <w:szCs w:val="24"/>
        </w:rPr>
        <w:t xml:space="preserve"> to whole CD8</w:t>
      </w:r>
      <w:r w:rsidRPr="00390777">
        <w:rPr>
          <w:color w:val="000000" w:themeColor="text1"/>
          <w:sz w:val="24"/>
          <w:szCs w:val="24"/>
          <w:vertAlign w:val="superscript"/>
        </w:rPr>
        <w:t>+</w:t>
      </w:r>
      <w:r w:rsidRPr="00390777">
        <w:rPr>
          <w:color w:val="000000" w:themeColor="text1"/>
          <w:sz w:val="24"/>
          <w:szCs w:val="24"/>
        </w:rPr>
        <w:t xml:space="preserve"> T cells in draining lymph nodes were calculated by flow cytometry. The mean and individual values in each group are shown (n=</w:t>
      </w:r>
      <w:r w:rsidRPr="00390777">
        <w:rPr>
          <w:rFonts w:hint="eastAsia"/>
          <w:color w:val="000000" w:themeColor="text1"/>
          <w:sz w:val="24"/>
          <w:szCs w:val="24"/>
          <w:lang w:eastAsia="ja-JP"/>
        </w:rPr>
        <w:t>3</w:t>
      </w:r>
      <w:r w:rsidRPr="00390777">
        <w:rPr>
          <w:color w:val="000000" w:themeColor="text1"/>
          <w:sz w:val="24"/>
          <w:szCs w:val="24"/>
        </w:rPr>
        <w:t>). *, **, ***: Statistical differences in expression levels for multiple-group comparisons (*P &lt; 0.05, **P &lt; 0.01, ***P &lt; 0.001 by Tukey’s test).</w:t>
      </w:r>
    </w:p>
    <w:p w14:paraId="47A7DE90" w14:textId="77777777" w:rsidR="00A95538" w:rsidRPr="00390777" w:rsidRDefault="00A95538">
      <w:pPr>
        <w:rPr>
          <w:rFonts w:eastAsiaTheme="minorEastAsia"/>
          <w:b/>
          <w:color w:val="000000" w:themeColor="text1"/>
          <w:sz w:val="24"/>
          <w:szCs w:val="24"/>
          <w:lang w:eastAsia="ja-JP"/>
        </w:rPr>
      </w:pPr>
      <w:r w:rsidRPr="00390777">
        <w:rPr>
          <w:rFonts w:eastAsiaTheme="minorEastAsia"/>
          <w:b/>
          <w:color w:val="000000" w:themeColor="text1"/>
          <w:sz w:val="24"/>
          <w:szCs w:val="24"/>
          <w:lang w:eastAsia="ja-JP"/>
        </w:rPr>
        <w:br w:type="page"/>
      </w:r>
    </w:p>
    <w:p w14:paraId="09A2E4E3" w14:textId="66D655D6" w:rsidR="00B50976" w:rsidRPr="00390777" w:rsidRDefault="00B50976" w:rsidP="00A061DA">
      <w:pPr>
        <w:pStyle w:val="a6"/>
        <w:spacing w:line="480" w:lineRule="auto"/>
        <w:rPr>
          <w:rFonts w:eastAsiaTheme="minorEastAsia"/>
          <w:b/>
          <w:color w:val="000000" w:themeColor="text1"/>
          <w:sz w:val="24"/>
          <w:szCs w:val="24"/>
          <w:lang w:eastAsia="ja-JP"/>
        </w:rPr>
      </w:pPr>
      <w:r w:rsidRPr="00390777">
        <w:rPr>
          <w:rFonts w:eastAsiaTheme="minorEastAsia"/>
          <w:b/>
          <w:color w:val="000000" w:themeColor="text1"/>
          <w:sz w:val="24"/>
          <w:szCs w:val="24"/>
          <w:lang w:eastAsia="ja-JP"/>
        </w:rPr>
        <w:lastRenderedPageBreak/>
        <w:t>Fig. S22.</w:t>
      </w:r>
    </w:p>
    <w:p w14:paraId="49339349" w14:textId="2A3390F9" w:rsidR="00B50976" w:rsidRPr="00390777" w:rsidRDefault="00212183" w:rsidP="00A061DA">
      <w:pPr>
        <w:pStyle w:val="a6"/>
        <w:spacing w:line="480" w:lineRule="auto"/>
        <w:rPr>
          <w:rFonts w:eastAsiaTheme="minorEastAsia"/>
          <w:color w:val="000000" w:themeColor="text1"/>
          <w:sz w:val="24"/>
          <w:szCs w:val="24"/>
          <w:lang w:eastAsia="ja-JP"/>
        </w:rPr>
      </w:pPr>
      <w:r w:rsidRPr="00390777">
        <w:rPr>
          <w:noProof/>
          <w:lang w:eastAsia="ja-JP"/>
        </w:rPr>
        <w:drawing>
          <wp:inline distT="0" distB="0" distL="0" distR="0" wp14:anchorId="174D6B2A" wp14:editId="275FCA36">
            <wp:extent cx="5400040" cy="6386195"/>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a:ext>
                      </a:extLst>
                    </a:blip>
                    <a:stretch>
                      <a:fillRect/>
                    </a:stretch>
                  </pic:blipFill>
                  <pic:spPr>
                    <a:xfrm>
                      <a:off x="0" y="0"/>
                      <a:ext cx="5400040" cy="6386195"/>
                    </a:xfrm>
                    <a:prstGeom prst="rect">
                      <a:avLst/>
                    </a:prstGeom>
                  </pic:spPr>
                </pic:pic>
              </a:graphicData>
            </a:graphic>
          </wp:inline>
        </w:drawing>
      </w:r>
    </w:p>
    <w:p w14:paraId="38E9F79D" w14:textId="429EC808" w:rsidR="00B50976" w:rsidRPr="00390777" w:rsidRDefault="00B50976" w:rsidP="00D23307">
      <w:pPr>
        <w:spacing w:line="480" w:lineRule="auto"/>
        <w:rPr>
          <w:color w:val="000000" w:themeColor="text1"/>
          <w:sz w:val="24"/>
          <w:szCs w:val="24"/>
          <w:lang w:eastAsia="ja-JP"/>
        </w:rPr>
      </w:pPr>
      <w:r w:rsidRPr="00390777">
        <w:rPr>
          <w:b/>
          <w:color w:val="000000" w:themeColor="text1"/>
          <w:sz w:val="24"/>
          <w:szCs w:val="24"/>
        </w:rPr>
        <w:t xml:space="preserve">Systemic response to STA551 with anti-PD-L1 in human CD137 knock-in mice bearing Colon38 in liver and spleen. (A) </w:t>
      </w:r>
      <w:r w:rsidRPr="00390777">
        <w:rPr>
          <w:color w:val="000000" w:themeColor="text1"/>
          <w:sz w:val="24"/>
          <w:szCs w:val="24"/>
        </w:rPr>
        <w:t xml:space="preserve">Human CD137 knock-in mice bearing Colon38 were administered vehicle (black), Sta-MB (blue), Ure-MB (pink), anti-mouse </w:t>
      </w:r>
      <w:r w:rsidRPr="00390777">
        <w:rPr>
          <w:color w:val="000000" w:themeColor="text1"/>
          <w:sz w:val="24"/>
          <w:szCs w:val="24"/>
        </w:rPr>
        <w:lastRenderedPageBreak/>
        <w:t>PD-L1 mAb (green), Sta-MB combination (red) or Ure-MB combination (purple) (n=</w:t>
      </w:r>
      <w:r w:rsidRPr="00390777">
        <w:rPr>
          <w:color w:val="000000" w:themeColor="text1"/>
          <w:sz w:val="24"/>
          <w:szCs w:val="24"/>
          <w:lang w:eastAsia="ja-JP"/>
        </w:rPr>
        <w:t>5</w:t>
      </w:r>
      <w:r w:rsidRPr="00390777">
        <w:rPr>
          <w:color w:val="000000" w:themeColor="text1"/>
          <w:sz w:val="24"/>
          <w:szCs w:val="24"/>
        </w:rPr>
        <w:t>).</w:t>
      </w:r>
      <w:r w:rsidRPr="00390777">
        <w:rPr>
          <w:bCs/>
          <w:color w:val="000000" w:themeColor="text1"/>
          <w:sz w:val="24"/>
          <w:szCs w:val="24"/>
          <w:lang w:val="en-GB"/>
        </w:rPr>
        <w:t xml:space="preserve"> </w:t>
      </w:r>
      <w:r w:rsidRPr="00390777">
        <w:rPr>
          <w:color w:val="000000" w:themeColor="text1"/>
          <w:sz w:val="24"/>
          <w:szCs w:val="24"/>
          <w:lang w:eastAsia="ja-JP"/>
        </w:rPr>
        <w:t>R</w:t>
      </w:r>
      <w:r w:rsidRPr="00390777">
        <w:rPr>
          <w:color w:val="000000" w:themeColor="text1"/>
          <w:sz w:val="24"/>
          <w:szCs w:val="24"/>
        </w:rPr>
        <w:t xml:space="preserve">atio of LAG-3, PD-1, ICOS and KLRG-1 </w:t>
      </w:r>
      <w:r w:rsidRPr="00390777">
        <w:rPr>
          <w:color w:val="000000" w:themeColor="text1"/>
          <w:sz w:val="24"/>
          <w:szCs w:val="24"/>
          <w:lang w:val="en-GB"/>
        </w:rPr>
        <w:t>on CD8</w:t>
      </w:r>
      <w:r w:rsidRPr="00390777">
        <w:rPr>
          <w:color w:val="000000" w:themeColor="text1"/>
          <w:sz w:val="24"/>
          <w:szCs w:val="24"/>
          <w:vertAlign w:val="superscript"/>
          <w:lang w:val="en-GB"/>
        </w:rPr>
        <w:t>+</w:t>
      </w:r>
      <w:r w:rsidRPr="00390777">
        <w:rPr>
          <w:color w:val="000000" w:themeColor="text1"/>
          <w:sz w:val="24"/>
          <w:szCs w:val="24"/>
          <w:lang w:val="en-GB"/>
        </w:rPr>
        <w:t xml:space="preserve"> T cells</w:t>
      </w:r>
      <w:r w:rsidRPr="00390777">
        <w:rPr>
          <w:color w:val="000000" w:themeColor="text1"/>
          <w:sz w:val="24"/>
          <w:szCs w:val="24"/>
        </w:rPr>
        <w:t xml:space="preserve"> </w:t>
      </w:r>
      <w:r w:rsidRPr="00390777">
        <w:rPr>
          <w:color w:val="000000" w:themeColor="text1"/>
          <w:sz w:val="24"/>
          <w:szCs w:val="24"/>
          <w:lang w:eastAsia="ja-JP"/>
        </w:rPr>
        <w:t>and FoxP3</w:t>
      </w:r>
      <w:r w:rsidRPr="00390777">
        <w:rPr>
          <w:color w:val="000000" w:themeColor="text1"/>
          <w:sz w:val="24"/>
          <w:szCs w:val="24"/>
          <w:vertAlign w:val="superscript"/>
          <w:lang w:eastAsia="ja-JP"/>
        </w:rPr>
        <w:t>+</w:t>
      </w:r>
      <w:r w:rsidRPr="00390777">
        <w:rPr>
          <w:color w:val="000000" w:themeColor="text1"/>
          <w:sz w:val="24"/>
          <w:szCs w:val="24"/>
          <w:lang w:eastAsia="ja-JP"/>
        </w:rPr>
        <w:t xml:space="preserve"> Tregs</w:t>
      </w:r>
      <w:r w:rsidRPr="00390777">
        <w:rPr>
          <w:color w:val="000000" w:themeColor="text1"/>
          <w:sz w:val="24"/>
          <w:szCs w:val="24"/>
        </w:rPr>
        <w:t xml:space="preserve"> to whole CD45</w:t>
      </w:r>
      <w:r w:rsidRPr="00390777">
        <w:rPr>
          <w:color w:val="000000" w:themeColor="text1"/>
          <w:sz w:val="24"/>
          <w:szCs w:val="24"/>
          <w:vertAlign w:val="superscript"/>
        </w:rPr>
        <w:t>+</w:t>
      </w:r>
      <w:r w:rsidRPr="00390777">
        <w:rPr>
          <w:color w:val="000000" w:themeColor="text1"/>
          <w:sz w:val="24"/>
          <w:szCs w:val="24"/>
        </w:rPr>
        <w:t xml:space="preserve"> cells in spleen</w:t>
      </w:r>
      <w:r w:rsidRPr="00390777">
        <w:rPr>
          <w:b/>
          <w:color w:val="000000" w:themeColor="text1"/>
          <w:sz w:val="24"/>
          <w:szCs w:val="24"/>
        </w:rPr>
        <w:t xml:space="preserve"> </w:t>
      </w:r>
      <w:r w:rsidRPr="00390777">
        <w:rPr>
          <w:color w:val="000000" w:themeColor="text1"/>
          <w:sz w:val="24"/>
          <w:szCs w:val="24"/>
        </w:rPr>
        <w:t>and</w:t>
      </w:r>
      <w:r w:rsidRPr="00390777">
        <w:rPr>
          <w:b/>
          <w:color w:val="000000" w:themeColor="text1"/>
          <w:sz w:val="24"/>
          <w:szCs w:val="24"/>
        </w:rPr>
        <w:t xml:space="preserve"> (B) </w:t>
      </w:r>
      <w:r w:rsidRPr="00390777">
        <w:rPr>
          <w:color w:val="000000" w:themeColor="text1"/>
          <w:sz w:val="24"/>
          <w:szCs w:val="24"/>
        </w:rPr>
        <w:t>liver</w:t>
      </w:r>
      <w:r w:rsidRPr="00390777">
        <w:rPr>
          <w:b/>
          <w:color w:val="000000" w:themeColor="text1"/>
          <w:sz w:val="24"/>
          <w:szCs w:val="24"/>
        </w:rPr>
        <w:t xml:space="preserve"> </w:t>
      </w:r>
      <w:r w:rsidRPr="00390777">
        <w:rPr>
          <w:color w:val="000000" w:themeColor="text1"/>
          <w:sz w:val="24"/>
          <w:szCs w:val="24"/>
        </w:rPr>
        <w:t>were calculated by flow cytometry. The mean and individual values in each group are shown. *, **, ***: Statistical differences in expression levels for multiple-group comparisons (*P &lt; 0.05, **P &lt; 0.01, ***P &lt; 0.001 by Tukey’s test). Tregs: regulatory T cells.</w:t>
      </w:r>
    </w:p>
    <w:p w14:paraId="68CC749E" w14:textId="77777777" w:rsidR="00A95538" w:rsidRPr="00390777" w:rsidRDefault="00A95538">
      <w:pPr>
        <w:rPr>
          <w:rFonts w:eastAsia="Times New Roman"/>
          <w:b/>
          <w:color w:val="000000" w:themeColor="text1"/>
          <w:sz w:val="24"/>
          <w:szCs w:val="24"/>
        </w:rPr>
      </w:pPr>
      <w:r w:rsidRPr="00390777">
        <w:rPr>
          <w:b/>
          <w:color w:val="000000" w:themeColor="text1"/>
          <w:sz w:val="24"/>
          <w:szCs w:val="24"/>
        </w:rPr>
        <w:br w:type="page"/>
      </w:r>
    </w:p>
    <w:p w14:paraId="02CD1C07" w14:textId="0E1222C4" w:rsidR="00B50976" w:rsidRPr="00390777" w:rsidRDefault="00B50976" w:rsidP="00A061DA">
      <w:pPr>
        <w:pStyle w:val="a6"/>
        <w:spacing w:line="480" w:lineRule="auto"/>
        <w:rPr>
          <w:b/>
          <w:bCs/>
          <w:color w:val="000000" w:themeColor="text1"/>
          <w:sz w:val="24"/>
          <w:szCs w:val="24"/>
        </w:rPr>
      </w:pPr>
      <w:r w:rsidRPr="00390777">
        <w:rPr>
          <w:b/>
          <w:color w:val="000000" w:themeColor="text1"/>
          <w:sz w:val="24"/>
          <w:szCs w:val="24"/>
        </w:rPr>
        <w:lastRenderedPageBreak/>
        <w:t xml:space="preserve">Table S1. </w:t>
      </w:r>
    </w:p>
    <w:p w14:paraId="7F20A387" w14:textId="3D51AB2E" w:rsidR="00B50976" w:rsidRPr="00390777" w:rsidRDefault="00212183" w:rsidP="00212183">
      <w:pPr>
        <w:pStyle w:val="a6"/>
        <w:spacing w:line="480" w:lineRule="auto"/>
        <w:rPr>
          <w:b/>
          <w:bCs/>
          <w:color w:val="000000" w:themeColor="text1"/>
          <w:sz w:val="24"/>
          <w:szCs w:val="24"/>
        </w:rPr>
      </w:pPr>
      <w:r w:rsidRPr="00390777">
        <w:rPr>
          <w:noProof/>
          <w:lang w:eastAsia="ja-JP"/>
        </w:rPr>
        <w:drawing>
          <wp:inline distT="0" distB="0" distL="0" distR="0" wp14:anchorId="7879E550" wp14:editId="3E3ED3FD">
            <wp:extent cx="5400040" cy="1250950"/>
            <wp:effectExtent l="0" t="0" r="0" b="635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a:ext>
                      </a:extLst>
                    </a:blip>
                    <a:stretch>
                      <a:fillRect/>
                    </a:stretch>
                  </pic:blipFill>
                  <pic:spPr>
                    <a:xfrm>
                      <a:off x="0" y="0"/>
                      <a:ext cx="5400040" cy="1250950"/>
                    </a:xfrm>
                    <a:prstGeom prst="rect">
                      <a:avLst/>
                    </a:prstGeom>
                  </pic:spPr>
                </pic:pic>
              </a:graphicData>
            </a:graphic>
          </wp:inline>
        </w:drawing>
      </w:r>
    </w:p>
    <w:p w14:paraId="3737A57F" w14:textId="7290DE92" w:rsidR="00B50976" w:rsidRPr="00390777" w:rsidRDefault="00B50976" w:rsidP="00D23307">
      <w:pPr>
        <w:pStyle w:val="a6"/>
        <w:spacing w:line="480" w:lineRule="auto"/>
        <w:rPr>
          <w:color w:val="000000" w:themeColor="text1"/>
          <w:sz w:val="24"/>
          <w:szCs w:val="24"/>
        </w:rPr>
      </w:pPr>
      <w:r w:rsidRPr="00390777">
        <w:rPr>
          <w:b/>
          <w:bCs/>
          <w:i/>
          <w:iCs/>
          <w:color w:val="000000" w:themeColor="text1"/>
          <w:sz w:val="24"/>
          <w:szCs w:val="24"/>
        </w:rPr>
        <w:t>K</w:t>
      </w:r>
      <w:r w:rsidRPr="00390777">
        <w:rPr>
          <w:b/>
          <w:bCs/>
          <w:color w:val="000000" w:themeColor="text1"/>
          <w:sz w:val="24"/>
          <w:szCs w:val="24"/>
          <w:vertAlign w:val="subscript"/>
        </w:rPr>
        <w:t>D</w:t>
      </w:r>
      <w:r w:rsidRPr="00390777">
        <w:rPr>
          <w:b/>
          <w:bCs/>
          <w:color w:val="000000" w:themeColor="text1"/>
          <w:sz w:val="24"/>
          <w:szCs w:val="24"/>
        </w:rPr>
        <w:t xml:space="preserve"> for binding of STA551 and guselkumab to human and cynomolgus monkey FcRn.</w:t>
      </w:r>
      <w:r w:rsidRPr="00390777">
        <w:rPr>
          <w:bCs/>
          <w:color w:val="000000" w:themeColor="text1"/>
          <w:sz w:val="24"/>
          <w:szCs w:val="24"/>
        </w:rPr>
        <w:t xml:space="preserve"> This table shows mean ± SD (n=3). </w:t>
      </w:r>
      <w:r w:rsidRPr="00390777">
        <w:rPr>
          <w:color w:val="000000" w:themeColor="text1"/>
          <w:sz w:val="24"/>
          <w:szCs w:val="24"/>
        </w:rPr>
        <w:t>Affinity of antibodies against human FcRn or cynomolgus monkey FcRn were assessed at 25°C using a Biacore T200 instrument. Antibodies were captured onto the Biacore SA sensor surface immobilized with CaptureSelect</w:t>
      </w:r>
      <w:r w:rsidRPr="00390777">
        <w:rPr>
          <w:color w:val="000000" w:themeColor="text1"/>
          <w:sz w:val="24"/>
          <w:szCs w:val="24"/>
          <w:vertAlign w:val="superscript"/>
        </w:rPr>
        <w:t>TM</w:t>
      </w:r>
      <w:r w:rsidRPr="00390777">
        <w:rPr>
          <w:color w:val="000000" w:themeColor="text1"/>
          <w:sz w:val="24"/>
          <w:szCs w:val="24"/>
        </w:rPr>
        <w:t xml:space="preserve"> Human Fab-lambda Kinetics Biotin Conjugate. Human FcRn or cynomolgus monkey FcRn was prepared by two-fold serial dilution started from 3200 nmol/L. The sensor surface was regenerated using glycine 1.5 and 25 mmol/L NaOH. Affinity was determined by fitting the sensorgrams with steady state model using Biacore T200 Evaluation Software Version 3.0. </w:t>
      </w:r>
      <w:r w:rsidRPr="00390777">
        <w:rPr>
          <w:bCs/>
          <w:i/>
          <w:iCs/>
          <w:color w:val="000000" w:themeColor="text1"/>
          <w:sz w:val="24"/>
          <w:szCs w:val="24"/>
        </w:rPr>
        <w:t>K</w:t>
      </w:r>
      <w:r w:rsidRPr="00390777">
        <w:rPr>
          <w:bCs/>
          <w:color w:val="000000" w:themeColor="text1"/>
          <w:sz w:val="24"/>
          <w:szCs w:val="24"/>
          <w:vertAlign w:val="subscript"/>
        </w:rPr>
        <w:t>D</w:t>
      </w:r>
      <w:r w:rsidRPr="00390777">
        <w:rPr>
          <w:bCs/>
          <w:color w:val="000000" w:themeColor="text1"/>
          <w:sz w:val="24"/>
          <w:szCs w:val="24"/>
        </w:rPr>
        <w:t xml:space="preserve">: dissociation constant, FcRn: neonatal Fc receptor. </w:t>
      </w:r>
    </w:p>
    <w:p w14:paraId="2F8C2FE7" w14:textId="77777777" w:rsidR="00A95538" w:rsidRPr="00390777" w:rsidRDefault="00A95538">
      <w:pPr>
        <w:rPr>
          <w:rFonts w:eastAsia="Times New Roman"/>
          <w:b/>
          <w:color w:val="000000" w:themeColor="text1"/>
          <w:sz w:val="24"/>
          <w:szCs w:val="24"/>
        </w:rPr>
      </w:pPr>
      <w:r w:rsidRPr="00390777">
        <w:rPr>
          <w:b/>
          <w:color w:val="000000" w:themeColor="text1"/>
        </w:rPr>
        <w:br w:type="page"/>
      </w:r>
    </w:p>
    <w:p w14:paraId="6CD4D991" w14:textId="06A2D32E" w:rsidR="00B50976" w:rsidRPr="00390777" w:rsidRDefault="00B50976" w:rsidP="00A061DA">
      <w:pPr>
        <w:pStyle w:val="Paragraph"/>
        <w:spacing w:line="480" w:lineRule="auto"/>
        <w:ind w:firstLine="0"/>
        <w:rPr>
          <w:b/>
          <w:color w:val="000000" w:themeColor="text1"/>
        </w:rPr>
      </w:pPr>
      <w:r w:rsidRPr="00390777">
        <w:rPr>
          <w:b/>
          <w:color w:val="000000" w:themeColor="text1"/>
        </w:rPr>
        <w:lastRenderedPageBreak/>
        <w:t xml:space="preserve">Table S2. </w:t>
      </w:r>
    </w:p>
    <w:p w14:paraId="3CAB871D" w14:textId="6CFCEBDE" w:rsidR="00B50976" w:rsidRPr="00390777" w:rsidRDefault="00212183" w:rsidP="00A061DA">
      <w:pPr>
        <w:spacing w:line="480" w:lineRule="auto"/>
        <w:rPr>
          <w:color w:val="000000" w:themeColor="text1"/>
          <w:sz w:val="24"/>
          <w:szCs w:val="24"/>
        </w:rPr>
      </w:pPr>
      <w:r w:rsidRPr="00390777">
        <w:rPr>
          <w:noProof/>
          <w:lang w:eastAsia="ja-JP"/>
        </w:rPr>
        <w:drawing>
          <wp:inline distT="0" distB="0" distL="0" distR="0" wp14:anchorId="3DF1A01B" wp14:editId="7BAA096D">
            <wp:extent cx="5400040" cy="3126105"/>
            <wp:effectExtent l="0" t="0" r="0" b="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a:ext>
                      </a:extLst>
                    </a:blip>
                    <a:stretch>
                      <a:fillRect/>
                    </a:stretch>
                  </pic:blipFill>
                  <pic:spPr>
                    <a:xfrm>
                      <a:off x="0" y="0"/>
                      <a:ext cx="5400040" cy="3126105"/>
                    </a:xfrm>
                    <a:prstGeom prst="rect">
                      <a:avLst/>
                    </a:prstGeom>
                  </pic:spPr>
                </pic:pic>
              </a:graphicData>
            </a:graphic>
          </wp:inline>
        </w:drawing>
      </w:r>
    </w:p>
    <w:p w14:paraId="32FE7EB3" w14:textId="1EBA7B18" w:rsidR="00B50976" w:rsidRPr="00390777" w:rsidRDefault="00B50976" w:rsidP="00A061DA">
      <w:pPr>
        <w:pStyle w:val="Paragraph"/>
        <w:spacing w:line="480" w:lineRule="auto"/>
        <w:ind w:firstLine="0"/>
        <w:rPr>
          <w:b/>
          <w:color w:val="000000" w:themeColor="text1"/>
        </w:rPr>
      </w:pPr>
      <w:r w:rsidRPr="00390777">
        <w:rPr>
          <w:b/>
          <w:color w:val="000000" w:themeColor="text1"/>
        </w:rPr>
        <w:t>Description of anti-CD137 antibodies used in this paper.</w:t>
      </w:r>
    </w:p>
    <w:p w14:paraId="6A4C37DD" w14:textId="77777777" w:rsidR="00A95538" w:rsidRPr="00390777" w:rsidRDefault="00A95538">
      <w:pPr>
        <w:rPr>
          <w:b/>
          <w:color w:val="000000" w:themeColor="text1"/>
          <w:sz w:val="24"/>
          <w:szCs w:val="24"/>
        </w:rPr>
      </w:pPr>
      <w:r w:rsidRPr="00390777">
        <w:rPr>
          <w:b/>
          <w:color w:val="000000" w:themeColor="text1"/>
          <w:sz w:val="24"/>
          <w:szCs w:val="24"/>
        </w:rPr>
        <w:br w:type="page"/>
      </w:r>
    </w:p>
    <w:p w14:paraId="1C2C5FF7" w14:textId="77777777" w:rsidR="007869B3" w:rsidRPr="00390777" w:rsidRDefault="007869B3" w:rsidP="007869B3">
      <w:pPr>
        <w:pStyle w:val="Paragraph"/>
        <w:spacing w:line="480" w:lineRule="auto"/>
        <w:ind w:firstLine="0"/>
        <w:rPr>
          <w:b/>
          <w:color w:val="000000" w:themeColor="text1"/>
        </w:rPr>
      </w:pPr>
      <w:r w:rsidRPr="00390777">
        <w:rPr>
          <w:b/>
          <w:color w:val="000000" w:themeColor="text1"/>
        </w:rPr>
        <w:lastRenderedPageBreak/>
        <w:t>Table S3.</w:t>
      </w:r>
      <w:bookmarkStart w:id="0" w:name="_GoBack"/>
      <w:bookmarkEnd w:id="0"/>
      <w:r w:rsidRPr="00390777">
        <w:rPr>
          <w:b/>
          <w:color w:val="000000" w:themeColor="text1"/>
        </w:rPr>
        <w:t xml:space="preserve"> </w:t>
      </w:r>
    </w:p>
    <w:p w14:paraId="6D6A576D" w14:textId="77777777" w:rsidR="007869B3" w:rsidRPr="00390777" w:rsidRDefault="007869B3" w:rsidP="007869B3">
      <w:pPr>
        <w:spacing w:line="480" w:lineRule="auto"/>
        <w:rPr>
          <w:color w:val="000000" w:themeColor="text1"/>
          <w:sz w:val="24"/>
          <w:szCs w:val="24"/>
        </w:rPr>
      </w:pPr>
      <w:r w:rsidRPr="00390777">
        <w:rPr>
          <w:noProof/>
          <w:lang w:eastAsia="ja-JP"/>
        </w:rPr>
        <w:drawing>
          <wp:inline distT="0" distB="0" distL="0" distR="0" wp14:anchorId="2105B2D9" wp14:editId="72AAF5B6">
            <wp:extent cx="5400040" cy="1687195"/>
            <wp:effectExtent l="0" t="0" r="0" b="8255"/>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a:ext>
                      </a:extLst>
                    </a:blip>
                    <a:stretch>
                      <a:fillRect/>
                    </a:stretch>
                  </pic:blipFill>
                  <pic:spPr>
                    <a:xfrm>
                      <a:off x="0" y="0"/>
                      <a:ext cx="5400040" cy="1687195"/>
                    </a:xfrm>
                    <a:prstGeom prst="rect">
                      <a:avLst/>
                    </a:prstGeom>
                  </pic:spPr>
                </pic:pic>
              </a:graphicData>
            </a:graphic>
          </wp:inline>
        </w:drawing>
      </w:r>
    </w:p>
    <w:p w14:paraId="23A8E27E" w14:textId="77777777" w:rsidR="007869B3" w:rsidRPr="00390777" w:rsidRDefault="007869B3" w:rsidP="007869B3">
      <w:pPr>
        <w:spacing w:line="480" w:lineRule="auto"/>
        <w:rPr>
          <w:b/>
          <w:color w:val="000000" w:themeColor="text1"/>
          <w:sz w:val="24"/>
          <w:szCs w:val="24"/>
        </w:rPr>
      </w:pPr>
      <w:r w:rsidRPr="00390777">
        <w:rPr>
          <w:b/>
          <w:color w:val="000000" w:themeColor="text1"/>
          <w:sz w:val="24"/>
          <w:szCs w:val="24"/>
        </w:rPr>
        <w:t>Overview of sequences used for antibody.</w:t>
      </w:r>
    </w:p>
    <w:p w14:paraId="2672AAE9" w14:textId="77777777" w:rsidR="007869B3" w:rsidRPr="00390777" w:rsidRDefault="007869B3">
      <w:pPr>
        <w:rPr>
          <w:b/>
          <w:color w:val="000000" w:themeColor="text1"/>
          <w:sz w:val="24"/>
          <w:szCs w:val="24"/>
        </w:rPr>
      </w:pPr>
      <w:r w:rsidRPr="00390777">
        <w:rPr>
          <w:b/>
          <w:color w:val="000000" w:themeColor="text1"/>
          <w:sz w:val="24"/>
          <w:szCs w:val="24"/>
        </w:rPr>
        <w:br w:type="page"/>
      </w:r>
    </w:p>
    <w:p w14:paraId="684F5EDC" w14:textId="285D82E1" w:rsidR="00B50976" w:rsidRPr="00390777" w:rsidRDefault="00B50976" w:rsidP="00A061DA">
      <w:pPr>
        <w:spacing w:line="480" w:lineRule="auto"/>
        <w:rPr>
          <w:color w:val="000000" w:themeColor="text1"/>
          <w:sz w:val="24"/>
          <w:szCs w:val="24"/>
        </w:rPr>
      </w:pPr>
      <w:r w:rsidRPr="00390777">
        <w:rPr>
          <w:b/>
          <w:color w:val="000000" w:themeColor="text1"/>
          <w:sz w:val="24"/>
          <w:szCs w:val="24"/>
        </w:rPr>
        <w:lastRenderedPageBreak/>
        <w:t>Table S</w:t>
      </w:r>
      <w:r w:rsidR="007869B3" w:rsidRPr="00390777">
        <w:rPr>
          <w:b/>
          <w:color w:val="000000" w:themeColor="text1"/>
          <w:sz w:val="24"/>
          <w:szCs w:val="24"/>
        </w:rPr>
        <w:t>4</w:t>
      </w:r>
      <w:r w:rsidRPr="00390777">
        <w:rPr>
          <w:b/>
          <w:color w:val="000000" w:themeColor="text1"/>
          <w:sz w:val="24"/>
          <w:szCs w:val="24"/>
        </w:rPr>
        <w:t xml:space="preserve">. </w:t>
      </w:r>
    </w:p>
    <w:p w14:paraId="47F702DA" w14:textId="4F8374A6" w:rsidR="00B50976" w:rsidRPr="00390777" w:rsidRDefault="00212183" w:rsidP="00A061DA">
      <w:pPr>
        <w:spacing w:line="480" w:lineRule="auto"/>
        <w:rPr>
          <w:color w:val="000000" w:themeColor="text1"/>
          <w:sz w:val="24"/>
          <w:szCs w:val="24"/>
        </w:rPr>
      </w:pPr>
      <w:r w:rsidRPr="00390777">
        <w:rPr>
          <w:noProof/>
          <w:lang w:eastAsia="ja-JP"/>
        </w:rPr>
        <w:drawing>
          <wp:inline distT="0" distB="0" distL="0" distR="0" wp14:anchorId="011EEB56" wp14:editId="5555DAF5">
            <wp:extent cx="5400040" cy="2305685"/>
            <wp:effectExtent l="0" t="0" r="0"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a:ext>
                      </a:extLst>
                    </a:blip>
                    <a:stretch>
                      <a:fillRect/>
                    </a:stretch>
                  </pic:blipFill>
                  <pic:spPr>
                    <a:xfrm>
                      <a:off x="0" y="0"/>
                      <a:ext cx="5400040" cy="2305685"/>
                    </a:xfrm>
                    <a:prstGeom prst="rect">
                      <a:avLst/>
                    </a:prstGeom>
                  </pic:spPr>
                </pic:pic>
              </a:graphicData>
            </a:graphic>
          </wp:inline>
        </w:drawing>
      </w:r>
    </w:p>
    <w:p w14:paraId="35808C82" w14:textId="0A79BCB6" w:rsidR="00B50976" w:rsidRPr="00390777" w:rsidRDefault="00B50976" w:rsidP="00D23307">
      <w:pPr>
        <w:spacing w:before="120" w:line="480" w:lineRule="auto"/>
        <w:rPr>
          <w:color w:val="000000" w:themeColor="text1"/>
          <w:sz w:val="24"/>
          <w:szCs w:val="24"/>
        </w:rPr>
      </w:pPr>
      <w:r w:rsidRPr="00390777">
        <w:rPr>
          <w:b/>
          <w:color w:val="000000" w:themeColor="text1"/>
          <w:sz w:val="24"/>
          <w:szCs w:val="24"/>
        </w:rPr>
        <w:t>EC50 of STA551 and Ure-hIgG4 in vitro CD8</w:t>
      </w:r>
      <w:r w:rsidRPr="00390777">
        <w:rPr>
          <w:b/>
          <w:color w:val="000000" w:themeColor="text1"/>
          <w:sz w:val="24"/>
          <w:szCs w:val="24"/>
          <w:vertAlign w:val="superscript"/>
        </w:rPr>
        <w:t xml:space="preserve">+ </w:t>
      </w:r>
      <w:r w:rsidRPr="00390777">
        <w:rPr>
          <w:b/>
          <w:color w:val="000000" w:themeColor="text1"/>
          <w:sz w:val="24"/>
          <w:szCs w:val="24"/>
        </w:rPr>
        <w:t>T cell assay.</w:t>
      </w:r>
      <w:r w:rsidRPr="00390777">
        <w:rPr>
          <w:color w:val="000000" w:themeColor="text1"/>
          <w:sz w:val="24"/>
          <w:szCs w:val="24"/>
        </w:rPr>
        <w:t xml:space="preserve"> Human CD8</w:t>
      </w:r>
      <w:r w:rsidRPr="00390777">
        <w:rPr>
          <w:color w:val="000000" w:themeColor="text1"/>
          <w:sz w:val="24"/>
          <w:szCs w:val="24"/>
          <w:vertAlign w:val="superscript"/>
        </w:rPr>
        <w:t>+</w:t>
      </w:r>
      <w:r w:rsidRPr="00390777">
        <w:rPr>
          <w:color w:val="000000" w:themeColor="text1"/>
          <w:sz w:val="24"/>
          <w:szCs w:val="24"/>
        </w:rPr>
        <w:t xml:space="preserve"> T cells from seven healthy donors were stimulated with anti-human CD3ε and anti-human CD28 antibodies, and then co-stimulated with STA551 or Ure-hIgG4, and human FcγRIIb-expressing CHO cells in the presence of 100 μmol/L ATP. After incubation, IFN-γ concentrations in the supernatants were measured by ELISA. Each EC50 was calculated. </w:t>
      </w:r>
      <w:r w:rsidRPr="00390777">
        <w:rPr>
          <w:bCs/>
          <w:color w:val="000000"/>
          <w:sz w:val="24"/>
          <w:szCs w:val="24"/>
        </w:rPr>
        <w:t>ATP: adenosine triphosphate,</w:t>
      </w:r>
      <w:r w:rsidRPr="00390777">
        <w:rPr>
          <w:color w:val="000000" w:themeColor="text1"/>
          <w:sz w:val="24"/>
          <w:szCs w:val="24"/>
        </w:rPr>
        <w:t xml:space="preserve"> IFN-γ: Interferon gamma.</w:t>
      </w:r>
    </w:p>
    <w:p w14:paraId="1514959D" w14:textId="77777777" w:rsidR="00A95538" w:rsidRPr="00390777" w:rsidRDefault="00A95538">
      <w:pPr>
        <w:rPr>
          <w:rFonts w:eastAsia="Times New Roman"/>
          <w:b/>
          <w:color w:val="000000" w:themeColor="text1"/>
          <w:sz w:val="24"/>
          <w:szCs w:val="24"/>
        </w:rPr>
      </w:pPr>
      <w:r w:rsidRPr="00390777">
        <w:rPr>
          <w:b/>
          <w:color w:val="000000" w:themeColor="text1"/>
        </w:rPr>
        <w:br w:type="page"/>
      </w:r>
    </w:p>
    <w:p w14:paraId="1F9B36C3" w14:textId="759893CA" w:rsidR="00B50976" w:rsidRPr="00390777" w:rsidRDefault="00B50976" w:rsidP="00A061DA">
      <w:pPr>
        <w:pStyle w:val="Paragraph"/>
        <w:spacing w:line="480" w:lineRule="auto"/>
        <w:ind w:firstLine="0"/>
        <w:rPr>
          <w:b/>
          <w:bCs/>
          <w:color w:val="000000" w:themeColor="text1"/>
        </w:rPr>
      </w:pPr>
      <w:r w:rsidRPr="00390777">
        <w:rPr>
          <w:b/>
          <w:color w:val="000000" w:themeColor="text1"/>
        </w:rPr>
        <w:lastRenderedPageBreak/>
        <w:t>Table S</w:t>
      </w:r>
      <w:r w:rsidR="007869B3" w:rsidRPr="00390777">
        <w:rPr>
          <w:b/>
          <w:color w:val="000000" w:themeColor="text1"/>
        </w:rPr>
        <w:t>5</w:t>
      </w:r>
      <w:r w:rsidRPr="00390777">
        <w:rPr>
          <w:b/>
          <w:color w:val="000000" w:themeColor="text1"/>
        </w:rPr>
        <w:t>.</w:t>
      </w:r>
      <w:r w:rsidRPr="00390777">
        <w:rPr>
          <w:color w:val="000000" w:themeColor="text1"/>
        </w:rPr>
        <w:t xml:space="preserve"> </w:t>
      </w:r>
    </w:p>
    <w:p w14:paraId="2090A105" w14:textId="120597CB" w:rsidR="00B50976" w:rsidRPr="00390777" w:rsidRDefault="00212183" w:rsidP="00A061DA">
      <w:pPr>
        <w:pStyle w:val="Paragraph"/>
        <w:spacing w:line="480" w:lineRule="auto"/>
        <w:ind w:firstLine="0"/>
        <w:rPr>
          <w:color w:val="000000" w:themeColor="text1"/>
        </w:rPr>
      </w:pPr>
      <w:r w:rsidRPr="00390777">
        <w:rPr>
          <w:noProof/>
          <w:lang w:eastAsia="ja-JP"/>
        </w:rPr>
        <w:drawing>
          <wp:inline distT="0" distB="0" distL="0" distR="0" wp14:anchorId="7B9D077B" wp14:editId="7344D86F">
            <wp:extent cx="5400040" cy="1365250"/>
            <wp:effectExtent l="0" t="0" r="0" b="635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a:ext>
                      </a:extLst>
                    </a:blip>
                    <a:stretch>
                      <a:fillRect/>
                    </a:stretch>
                  </pic:blipFill>
                  <pic:spPr>
                    <a:xfrm>
                      <a:off x="0" y="0"/>
                      <a:ext cx="5400040" cy="1365250"/>
                    </a:xfrm>
                    <a:prstGeom prst="rect">
                      <a:avLst/>
                    </a:prstGeom>
                  </pic:spPr>
                </pic:pic>
              </a:graphicData>
            </a:graphic>
          </wp:inline>
        </w:drawing>
      </w:r>
    </w:p>
    <w:p w14:paraId="40FABAA2" w14:textId="4C58F44C" w:rsidR="00B50976" w:rsidRPr="00390777" w:rsidRDefault="00B50976" w:rsidP="00D23307">
      <w:pPr>
        <w:pStyle w:val="Paragraph"/>
        <w:spacing w:line="480" w:lineRule="auto"/>
        <w:ind w:firstLine="0"/>
        <w:rPr>
          <w:rFonts w:eastAsiaTheme="minorEastAsia"/>
          <w:bCs/>
          <w:color w:val="000000" w:themeColor="text1"/>
          <w:lang w:eastAsia="ja-JP"/>
        </w:rPr>
      </w:pPr>
      <w:r w:rsidRPr="00390777">
        <w:rPr>
          <w:b/>
          <w:bCs/>
          <w:i/>
          <w:iCs/>
          <w:color w:val="000000" w:themeColor="text1"/>
        </w:rPr>
        <w:t>K</w:t>
      </w:r>
      <w:r w:rsidRPr="00390777">
        <w:rPr>
          <w:b/>
          <w:bCs/>
          <w:color w:val="000000" w:themeColor="text1"/>
          <w:vertAlign w:val="subscript"/>
        </w:rPr>
        <w:t>D</w:t>
      </w:r>
      <w:r w:rsidRPr="00390777">
        <w:rPr>
          <w:b/>
          <w:bCs/>
          <w:color w:val="000000" w:themeColor="text1"/>
        </w:rPr>
        <w:t xml:space="preserve"> for binding of STA551 and Sta-MB to human and mouse Fcγ receptor IIb-expressing CHO cells.</w:t>
      </w:r>
      <w:r w:rsidRPr="00390777">
        <w:rPr>
          <w:bCs/>
          <w:color w:val="000000" w:themeColor="text1"/>
        </w:rPr>
        <w:t xml:space="preserve"> This table shows means ± SD (n=3). Human and mouse Fc</w:t>
      </w:r>
      <w:r w:rsidR="00FD4718" w:rsidRPr="00390777">
        <w:rPr>
          <w:rFonts w:eastAsiaTheme="minorEastAsia"/>
          <w:color w:val="000000" w:themeColor="text1"/>
          <w:lang w:eastAsia="ja-JP"/>
        </w:rPr>
        <w:t>γ</w:t>
      </w:r>
      <w:r w:rsidRPr="00390777">
        <w:rPr>
          <w:bCs/>
          <w:color w:val="000000" w:themeColor="text1"/>
        </w:rPr>
        <w:t xml:space="preserve">RIIb-expressing CHO cells were incubated with different concentrations of </w:t>
      </w:r>
      <w:r w:rsidRPr="00390777">
        <w:rPr>
          <w:rFonts w:eastAsiaTheme="minorEastAsia"/>
          <w:bCs/>
          <w:color w:val="000000" w:themeColor="text1"/>
          <w:lang w:eastAsia="ja-JP"/>
        </w:rPr>
        <w:t>Alexa Fluor</w:t>
      </w:r>
      <w:r w:rsidRPr="00390777">
        <w:rPr>
          <w:bCs/>
          <w:color w:val="000000" w:themeColor="text1"/>
        </w:rPr>
        <w:t xml:space="preserve"> 647 (AF647)-labeled STA551 or AF647-labeled Sta-MB</w:t>
      </w:r>
      <w:r w:rsidRPr="00390777">
        <w:rPr>
          <w:rFonts w:eastAsiaTheme="minorEastAsia"/>
          <w:bCs/>
          <w:color w:val="000000" w:themeColor="text1"/>
          <w:lang w:eastAsia="ja-JP"/>
        </w:rPr>
        <w:t xml:space="preserve">. After washing, cells were fixed and then AF647 was analyzed by flow cytometry. Geometric </w:t>
      </w:r>
      <w:r w:rsidRPr="00390777">
        <w:rPr>
          <w:bCs/>
          <w:color w:val="000000" w:themeColor="text1"/>
        </w:rPr>
        <w:t>mean fluorescence intensity</w:t>
      </w:r>
      <w:r w:rsidRPr="00390777">
        <w:rPr>
          <w:rFonts w:eastAsiaTheme="minorEastAsia"/>
          <w:bCs/>
          <w:color w:val="000000" w:themeColor="text1"/>
          <w:lang w:eastAsia="ja-JP"/>
        </w:rPr>
        <w:t xml:space="preserve"> of AF647 was converted to number of molecules/cell using calibration curve of AF647 standard beads and moles of dye molecule per moles of dyed protein.</w:t>
      </w:r>
      <w:r w:rsidRPr="00390777">
        <w:rPr>
          <w:rFonts w:eastAsiaTheme="minorEastAsia"/>
          <w:bCs/>
          <w:i/>
          <w:color w:val="000000" w:themeColor="text1"/>
          <w:lang w:eastAsia="ja-JP"/>
        </w:rPr>
        <w:t xml:space="preserve"> K</w:t>
      </w:r>
      <w:r w:rsidRPr="00390777">
        <w:rPr>
          <w:rFonts w:eastAsiaTheme="minorEastAsia"/>
          <w:bCs/>
          <w:color w:val="000000" w:themeColor="text1"/>
          <w:vertAlign w:val="subscript"/>
          <w:lang w:eastAsia="ja-JP"/>
        </w:rPr>
        <w:t>D</w:t>
      </w:r>
      <w:r w:rsidRPr="00390777">
        <w:rPr>
          <w:rFonts w:eastAsiaTheme="minorEastAsia"/>
          <w:bCs/>
          <w:color w:val="000000" w:themeColor="text1"/>
          <w:lang w:eastAsia="ja-JP"/>
        </w:rPr>
        <w:t xml:space="preserve"> was</w:t>
      </w:r>
      <w:r w:rsidRPr="00390777">
        <w:rPr>
          <w:rFonts w:eastAsiaTheme="minorEastAsia"/>
          <w:bCs/>
          <w:i/>
          <w:color w:val="000000" w:themeColor="text1"/>
          <w:lang w:eastAsia="ja-JP"/>
        </w:rPr>
        <w:t xml:space="preserve"> </w:t>
      </w:r>
      <w:r w:rsidRPr="00390777">
        <w:rPr>
          <w:rFonts w:eastAsiaTheme="minorEastAsia"/>
          <w:bCs/>
          <w:color w:val="000000" w:themeColor="text1"/>
          <w:lang w:eastAsia="ja-JP"/>
        </w:rPr>
        <w:t xml:space="preserve">calculated by </w:t>
      </w:r>
      <w:r w:rsidRPr="00390777">
        <w:rPr>
          <w:bCs/>
          <w:color w:val="000000" w:themeColor="text1"/>
        </w:rPr>
        <w:t>Phoenix WinNonlin</w:t>
      </w:r>
      <w:r w:rsidRPr="00390777">
        <w:rPr>
          <w:bCs/>
          <w:color w:val="000000" w:themeColor="text1"/>
          <w:vertAlign w:val="superscript"/>
        </w:rPr>
        <w:t>®</w:t>
      </w:r>
      <w:r w:rsidRPr="00390777">
        <w:rPr>
          <w:bCs/>
          <w:color w:val="000000" w:themeColor="text1"/>
        </w:rPr>
        <w:t xml:space="preserve"> 8.0</w:t>
      </w:r>
      <w:r w:rsidRPr="00390777">
        <w:rPr>
          <w:rFonts w:eastAsiaTheme="minorEastAsia"/>
          <w:bCs/>
          <w:color w:val="000000" w:themeColor="text1"/>
          <w:lang w:eastAsia="ja-JP"/>
        </w:rPr>
        <w:t xml:space="preserve">. </w:t>
      </w:r>
      <w:r w:rsidRPr="00390777">
        <w:rPr>
          <w:rFonts w:eastAsiaTheme="minorEastAsia"/>
          <w:bCs/>
          <w:i/>
          <w:color w:val="000000" w:themeColor="text1"/>
          <w:lang w:eastAsia="ja-JP"/>
        </w:rPr>
        <w:t>K</w:t>
      </w:r>
      <w:r w:rsidRPr="00390777">
        <w:rPr>
          <w:rFonts w:eastAsiaTheme="minorEastAsia"/>
          <w:bCs/>
          <w:color w:val="000000" w:themeColor="text1"/>
          <w:vertAlign w:val="subscript"/>
          <w:lang w:eastAsia="ja-JP"/>
        </w:rPr>
        <w:t>D</w:t>
      </w:r>
      <w:r w:rsidRPr="00390777">
        <w:rPr>
          <w:bCs/>
          <w:color w:val="000000" w:themeColor="text1"/>
        </w:rPr>
        <w:t>: dissociation constant.</w:t>
      </w:r>
    </w:p>
    <w:p w14:paraId="4343146D" w14:textId="77777777" w:rsidR="00A95538" w:rsidRPr="00390777" w:rsidRDefault="00A95538">
      <w:pPr>
        <w:rPr>
          <w:b/>
          <w:color w:val="000000" w:themeColor="text1"/>
          <w:sz w:val="24"/>
          <w:szCs w:val="24"/>
        </w:rPr>
      </w:pPr>
      <w:r w:rsidRPr="00390777">
        <w:rPr>
          <w:b/>
          <w:color w:val="000000" w:themeColor="text1"/>
          <w:sz w:val="24"/>
          <w:szCs w:val="24"/>
        </w:rPr>
        <w:br w:type="page"/>
      </w:r>
    </w:p>
    <w:p w14:paraId="0DF7FF65" w14:textId="77777777" w:rsidR="00902CCC" w:rsidRPr="00390777" w:rsidRDefault="00902CCC" w:rsidP="00902CCC">
      <w:pPr>
        <w:pStyle w:val="Paragraph"/>
        <w:spacing w:line="480" w:lineRule="auto"/>
        <w:ind w:firstLine="0"/>
        <w:rPr>
          <w:b/>
          <w:color w:val="000000" w:themeColor="text1"/>
        </w:rPr>
      </w:pPr>
      <w:r w:rsidRPr="00390777">
        <w:rPr>
          <w:b/>
          <w:color w:val="000000" w:themeColor="text1"/>
        </w:rPr>
        <w:lastRenderedPageBreak/>
        <w:t xml:space="preserve">Table S6. </w:t>
      </w:r>
    </w:p>
    <w:p w14:paraId="7E0D7784" w14:textId="77777777" w:rsidR="00902CCC" w:rsidRPr="00390777" w:rsidRDefault="00902CCC" w:rsidP="00902CCC">
      <w:pPr>
        <w:spacing w:line="480" w:lineRule="auto"/>
        <w:rPr>
          <w:color w:val="000000" w:themeColor="text1"/>
          <w:sz w:val="24"/>
          <w:szCs w:val="24"/>
        </w:rPr>
      </w:pPr>
      <w:r w:rsidRPr="00390777">
        <w:rPr>
          <w:noProof/>
          <w:lang w:eastAsia="ja-JP"/>
        </w:rPr>
        <w:drawing>
          <wp:inline distT="0" distB="0" distL="0" distR="0" wp14:anchorId="6CFC4CFA" wp14:editId="262205B0">
            <wp:extent cx="971952" cy="2789921"/>
            <wp:effectExtent l="0" t="0" r="0" b="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a:ext>
                      </a:extLst>
                    </a:blip>
                    <a:stretch>
                      <a:fillRect/>
                    </a:stretch>
                  </pic:blipFill>
                  <pic:spPr>
                    <a:xfrm>
                      <a:off x="0" y="0"/>
                      <a:ext cx="983183" cy="2822158"/>
                    </a:xfrm>
                    <a:prstGeom prst="rect">
                      <a:avLst/>
                    </a:prstGeom>
                  </pic:spPr>
                </pic:pic>
              </a:graphicData>
            </a:graphic>
          </wp:inline>
        </w:drawing>
      </w:r>
    </w:p>
    <w:p w14:paraId="65AEFB23" w14:textId="77777777" w:rsidR="00902CCC" w:rsidRPr="00390777" w:rsidRDefault="00902CCC" w:rsidP="00902CCC">
      <w:pPr>
        <w:spacing w:line="480" w:lineRule="auto"/>
        <w:rPr>
          <w:rFonts w:eastAsia="Times New Roman"/>
          <w:b/>
          <w:bCs/>
          <w:color w:val="000000" w:themeColor="text1"/>
          <w:kern w:val="28"/>
          <w:sz w:val="24"/>
          <w:szCs w:val="24"/>
        </w:rPr>
      </w:pPr>
      <w:r w:rsidRPr="00390777">
        <w:rPr>
          <w:b/>
          <w:color w:val="000000" w:themeColor="text1"/>
          <w:sz w:val="24"/>
          <w:szCs w:val="24"/>
        </w:rPr>
        <w:t xml:space="preserve">Genes used in RNA sequencing analysis on exATP related genes. </w:t>
      </w:r>
    </w:p>
    <w:p w14:paraId="6DD6AEA4" w14:textId="04E5550B" w:rsidR="00B50976" w:rsidRPr="00390777" w:rsidRDefault="00902CCC" w:rsidP="00902CCC">
      <w:pPr>
        <w:spacing w:line="480" w:lineRule="auto"/>
        <w:rPr>
          <w:b/>
          <w:color w:val="000000" w:themeColor="text1"/>
          <w:sz w:val="24"/>
          <w:szCs w:val="24"/>
        </w:rPr>
      </w:pPr>
      <w:r w:rsidRPr="00390777">
        <w:rPr>
          <w:b/>
          <w:color w:val="000000" w:themeColor="text1"/>
          <w:sz w:val="24"/>
          <w:szCs w:val="24"/>
        </w:rPr>
        <w:br w:type="page"/>
      </w:r>
      <w:r w:rsidR="00B50976" w:rsidRPr="00390777">
        <w:rPr>
          <w:b/>
          <w:color w:val="000000" w:themeColor="text1"/>
          <w:sz w:val="24"/>
          <w:szCs w:val="24"/>
        </w:rPr>
        <w:lastRenderedPageBreak/>
        <w:t>Table S</w:t>
      </w:r>
      <w:r w:rsidRPr="00390777">
        <w:rPr>
          <w:b/>
          <w:color w:val="000000" w:themeColor="text1"/>
          <w:sz w:val="24"/>
          <w:szCs w:val="24"/>
        </w:rPr>
        <w:t>7</w:t>
      </w:r>
      <w:r w:rsidR="00B50976" w:rsidRPr="00390777">
        <w:rPr>
          <w:b/>
          <w:color w:val="000000" w:themeColor="text1"/>
          <w:sz w:val="24"/>
          <w:szCs w:val="24"/>
        </w:rPr>
        <w:t xml:space="preserve"> </w:t>
      </w:r>
    </w:p>
    <w:p w14:paraId="5FF6C8F4" w14:textId="3031ED00" w:rsidR="00B50976" w:rsidRPr="00390777" w:rsidRDefault="00212183" w:rsidP="00A061DA">
      <w:pPr>
        <w:pStyle w:val="Paragraph"/>
        <w:spacing w:line="480" w:lineRule="auto"/>
        <w:ind w:firstLine="0"/>
        <w:rPr>
          <w:b/>
          <w:color w:val="000000" w:themeColor="text1"/>
        </w:rPr>
      </w:pPr>
      <w:r w:rsidRPr="00390777">
        <w:rPr>
          <w:noProof/>
          <w:lang w:eastAsia="ja-JP"/>
        </w:rPr>
        <w:drawing>
          <wp:inline distT="0" distB="0" distL="0" distR="0" wp14:anchorId="065DDF83" wp14:editId="6003042C">
            <wp:extent cx="5400040" cy="1761490"/>
            <wp:effectExtent l="0" t="0" r="0"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a:ext>
                      </a:extLst>
                    </a:blip>
                    <a:stretch>
                      <a:fillRect/>
                    </a:stretch>
                  </pic:blipFill>
                  <pic:spPr>
                    <a:xfrm>
                      <a:off x="0" y="0"/>
                      <a:ext cx="5400040" cy="1761490"/>
                    </a:xfrm>
                    <a:prstGeom prst="rect">
                      <a:avLst/>
                    </a:prstGeom>
                  </pic:spPr>
                </pic:pic>
              </a:graphicData>
            </a:graphic>
          </wp:inline>
        </w:drawing>
      </w:r>
    </w:p>
    <w:p w14:paraId="3EBD2763" w14:textId="7A9939E1" w:rsidR="002C14FC" w:rsidRPr="00390777" w:rsidRDefault="00B50976" w:rsidP="002C14FC">
      <w:pPr>
        <w:spacing w:line="480" w:lineRule="auto"/>
        <w:rPr>
          <w:bCs/>
          <w:color w:val="000000" w:themeColor="text1"/>
          <w:sz w:val="24"/>
          <w:szCs w:val="24"/>
        </w:rPr>
      </w:pPr>
      <w:r w:rsidRPr="00390777">
        <w:rPr>
          <w:b/>
          <w:color w:val="000000" w:themeColor="text1"/>
          <w:sz w:val="24"/>
          <w:szCs w:val="24"/>
        </w:rPr>
        <w:t>Pharmacokinetics of STA551 in cynomolgus monkeys.</w:t>
      </w:r>
      <w:r w:rsidR="002C14FC" w:rsidRPr="00390777">
        <w:rPr>
          <w:b/>
          <w:color w:val="000000" w:themeColor="text1"/>
          <w:sz w:val="24"/>
          <w:szCs w:val="24"/>
        </w:rPr>
        <w:t xml:space="preserve"> </w:t>
      </w:r>
      <w:r w:rsidR="002C14FC" w:rsidRPr="00390777">
        <w:rPr>
          <w:bCs/>
          <w:color w:val="000000" w:themeColor="text1"/>
          <w:sz w:val="24"/>
          <w:szCs w:val="24"/>
        </w:rPr>
        <w:t>Pharmacokinetic parameters of STA551 after a single intravenous dose in male cynomolgus monkeys (n=4). C</w:t>
      </w:r>
      <w:r w:rsidR="002C14FC" w:rsidRPr="00390777">
        <w:rPr>
          <w:bCs/>
          <w:color w:val="000000" w:themeColor="text1"/>
          <w:sz w:val="24"/>
          <w:szCs w:val="24"/>
          <w:vertAlign w:val="subscript"/>
        </w:rPr>
        <w:t>0</w:t>
      </w:r>
      <w:r w:rsidR="002C14FC" w:rsidRPr="00390777">
        <w:rPr>
          <w:bCs/>
          <w:color w:val="000000" w:themeColor="text1"/>
          <w:sz w:val="24"/>
          <w:szCs w:val="24"/>
        </w:rPr>
        <w:t xml:space="preserve">: </w:t>
      </w:r>
      <w:r w:rsidR="002C14FC" w:rsidRPr="00390777">
        <w:rPr>
          <w:color w:val="000000" w:themeColor="text1"/>
          <w:sz w:val="24"/>
          <w:szCs w:val="24"/>
        </w:rPr>
        <w:t xml:space="preserve">back-extrapolated concentration immediately after </w:t>
      </w:r>
      <w:r w:rsidR="002C14FC" w:rsidRPr="00390777">
        <w:rPr>
          <w:bCs/>
          <w:color w:val="000000" w:themeColor="text1"/>
          <w:sz w:val="24"/>
          <w:szCs w:val="24"/>
        </w:rPr>
        <w:t>intravenous</w:t>
      </w:r>
      <w:r w:rsidR="002C14FC" w:rsidRPr="00390777" w:rsidDel="0073349F">
        <w:rPr>
          <w:color w:val="000000" w:themeColor="text1"/>
          <w:sz w:val="24"/>
          <w:szCs w:val="24"/>
        </w:rPr>
        <w:t xml:space="preserve"> </w:t>
      </w:r>
      <w:r w:rsidR="002C14FC" w:rsidRPr="00390777">
        <w:rPr>
          <w:color w:val="000000" w:themeColor="text1"/>
          <w:sz w:val="24"/>
          <w:szCs w:val="24"/>
        </w:rPr>
        <w:t>injection</w:t>
      </w:r>
      <w:r w:rsidR="002C14FC" w:rsidRPr="00390777">
        <w:rPr>
          <w:bCs/>
          <w:color w:val="000000" w:themeColor="text1"/>
          <w:sz w:val="24"/>
          <w:szCs w:val="24"/>
        </w:rPr>
        <w:t>, t</w:t>
      </w:r>
      <w:r w:rsidR="002C14FC" w:rsidRPr="00390777">
        <w:rPr>
          <w:bCs/>
          <w:color w:val="000000" w:themeColor="text1"/>
          <w:sz w:val="24"/>
          <w:szCs w:val="24"/>
          <w:vertAlign w:val="subscript"/>
        </w:rPr>
        <w:t>1/2</w:t>
      </w:r>
      <w:r w:rsidR="002C14FC" w:rsidRPr="00390777">
        <w:rPr>
          <w:bCs/>
          <w:color w:val="000000" w:themeColor="text1"/>
          <w:sz w:val="24"/>
          <w:szCs w:val="24"/>
        </w:rPr>
        <w:t>: elimination half-life, AUC</w:t>
      </w:r>
      <w:r w:rsidR="002C14FC" w:rsidRPr="00390777">
        <w:rPr>
          <w:bCs/>
          <w:color w:val="000000" w:themeColor="text1"/>
          <w:sz w:val="24"/>
          <w:szCs w:val="24"/>
          <w:vertAlign w:val="subscript"/>
        </w:rPr>
        <w:t>inf</w:t>
      </w:r>
      <w:r w:rsidR="002C14FC" w:rsidRPr="00390777">
        <w:rPr>
          <w:bCs/>
          <w:color w:val="000000" w:themeColor="text1"/>
          <w:sz w:val="24"/>
          <w:szCs w:val="24"/>
        </w:rPr>
        <w:t>: area under the plasma concentration-time curve from time zero extrapolated to infinity, CL</w:t>
      </w:r>
      <w:r w:rsidR="002C14FC" w:rsidRPr="00390777">
        <w:rPr>
          <w:bCs/>
          <w:color w:val="000000" w:themeColor="text1"/>
          <w:sz w:val="24"/>
          <w:szCs w:val="24"/>
          <w:vertAlign w:val="subscript"/>
        </w:rPr>
        <w:t>tot</w:t>
      </w:r>
      <w:r w:rsidR="002C14FC" w:rsidRPr="00390777">
        <w:rPr>
          <w:bCs/>
          <w:color w:val="000000" w:themeColor="text1"/>
          <w:sz w:val="24"/>
          <w:szCs w:val="24"/>
        </w:rPr>
        <w:t>: total clearance, V</w:t>
      </w:r>
      <w:r w:rsidR="002C14FC" w:rsidRPr="00390777">
        <w:rPr>
          <w:bCs/>
          <w:color w:val="000000" w:themeColor="text1"/>
          <w:sz w:val="24"/>
          <w:szCs w:val="24"/>
          <w:vertAlign w:val="subscript"/>
        </w:rPr>
        <w:t>ss</w:t>
      </w:r>
      <w:r w:rsidR="002C14FC" w:rsidRPr="00390777">
        <w:rPr>
          <w:bCs/>
          <w:color w:val="000000" w:themeColor="text1"/>
          <w:sz w:val="24"/>
          <w:szCs w:val="24"/>
        </w:rPr>
        <w:t>: volume of distribution at steady state, d: day.</w:t>
      </w:r>
    </w:p>
    <w:p w14:paraId="581541EB" w14:textId="3A1B85FD" w:rsidR="00B50976" w:rsidRPr="00390777" w:rsidRDefault="00B50976" w:rsidP="00D23307">
      <w:pPr>
        <w:spacing w:line="480" w:lineRule="auto"/>
        <w:rPr>
          <w:b/>
          <w:color w:val="000000" w:themeColor="text1"/>
          <w:sz w:val="24"/>
          <w:szCs w:val="24"/>
        </w:rPr>
      </w:pPr>
    </w:p>
    <w:p w14:paraId="25B6BD8D" w14:textId="3D519833" w:rsidR="00A95538" w:rsidRPr="00390777" w:rsidRDefault="00A95538">
      <w:pPr>
        <w:rPr>
          <w:rFonts w:eastAsia="Times New Roman"/>
          <w:b/>
          <w:color w:val="000000" w:themeColor="text1"/>
          <w:sz w:val="24"/>
          <w:szCs w:val="24"/>
        </w:rPr>
      </w:pPr>
      <w:r w:rsidRPr="00390777">
        <w:rPr>
          <w:b/>
          <w:color w:val="000000" w:themeColor="text1"/>
        </w:rPr>
        <w:br w:type="page"/>
      </w:r>
    </w:p>
    <w:p w14:paraId="144293F5" w14:textId="4DFAB320" w:rsidR="00B50976" w:rsidRPr="00390777" w:rsidRDefault="00B50976" w:rsidP="00A061DA">
      <w:pPr>
        <w:spacing w:line="480" w:lineRule="auto"/>
        <w:rPr>
          <w:b/>
          <w:color w:val="000000" w:themeColor="text1"/>
          <w:sz w:val="24"/>
          <w:szCs w:val="24"/>
        </w:rPr>
      </w:pPr>
      <w:r w:rsidRPr="00390777">
        <w:rPr>
          <w:b/>
          <w:color w:val="000000" w:themeColor="text1"/>
          <w:sz w:val="24"/>
          <w:szCs w:val="24"/>
        </w:rPr>
        <w:lastRenderedPageBreak/>
        <w:t>Table S8.</w:t>
      </w:r>
    </w:p>
    <w:p w14:paraId="5FFB131E" w14:textId="446DEADE" w:rsidR="00B50976" w:rsidRPr="00390777" w:rsidRDefault="00212183" w:rsidP="00A061DA">
      <w:pPr>
        <w:spacing w:line="480" w:lineRule="auto"/>
        <w:rPr>
          <w:rFonts w:eastAsia="Times New Roman"/>
          <w:b/>
          <w:bCs/>
          <w:color w:val="000000" w:themeColor="text1"/>
          <w:kern w:val="28"/>
          <w:sz w:val="24"/>
          <w:szCs w:val="24"/>
        </w:rPr>
      </w:pPr>
      <w:r w:rsidRPr="00390777">
        <w:rPr>
          <w:noProof/>
          <w:lang w:eastAsia="ja-JP"/>
        </w:rPr>
        <w:drawing>
          <wp:inline distT="0" distB="0" distL="0" distR="0" wp14:anchorId="65606428" wp14:editId="59C1EC83">
            <wp:extent cx="5156310" cy="7443423"/>
            <wp:effectExtent l="0" t="0" r="6350" b="5715"/>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a:ext>
                      </a:extLst>
                    </a:blip>
                    <a:stretch>
                      <a:fillRect/>
                    </a:stretch>
                  </pic:blipFill>
                  <pic:spPr>
                    <a:xfrm>
                      <a:off x="0" y="0"/>
                      <a:ext cx="5162730" cy="7452691"/>
                    </a:xfrm>
                    <a:prstGeom prst="rect">
                      <a:avLst/>
                    </a:prstGeom>
                  </pic:spPr>
                </pic:pic>
              </a:graphicData>
            </a:graphic>
          </wp:inline>
        </w:drawing>
      </w:r>
      <w:r w:rsidR="00B50976" w:rsidRPr="00390777">
        <w:rPr>
          <w:b/>
          <w:color w:val="000000" w:themeColor="text1"/>
          <w:sz w:val="24"/>
          <w:szCs w:val="24"/>
        </w:rPr>
        <w:t>Genes used in RNA sequencing analysis on response to treatment.</w:t>
      </w:r>
    </w:p>
    <w:p w14:paraId="6DDC5738" w14:textId="47D80E34" w:rsidR="00B50976" w:rsidRPr="00390777" w:rsidRDefault="00B50976" w:rsidP="00212183">
      <w:pPr>
        <w:spacing w:line="480" w:lineRule="auto"/>
        <w:rPr>
          <w:rFonts w:eastAsia="Times New Roman"/>
          <w:b/>
          <w:color w:val="000000"/>
          <w:sz w:val="24"/>
          <w:szCs w:val="24"/>
        </w:rPr>
      </w:pPr>
      <w:r w:rsidRPr="00390777">
        <w:rPr>
          <w:b/>
          <w:color w:val="000000"/>
        </w:rPr>
        <w:br w:type="page"/>
      </w:r>
      <w:r w:rsidRPr="00390777">
        <w:rPr>
          <w:b/>
          <w:color w:val="000000"/>
          <w:sz w:val="24"/>
          <w:szCs w:val="24"/>
        </w:rPr>
        <w:lastRenderedPageBreak/>
        <w:t>Supplementary Materials and Methods.</w:t>
      </w:r>
    </w:p>
    <w:p w14:paraId="390B0099" w14:textId="77777777" w:rsidR="00B50976" w:rsidRPr="00390777" w:rsidRDefault="00B50976" w:rsidP="00A061DA">
      <w:pPr>
        <w:pStyle w:val="Paragraph"/>
        <w:spacing w:line="480" w:lineRule="auto"/>
        <w:ind w:firstLine="0"/>
        <w:rPr>
          <w:color w:val="000000"/>
        </w:rPr>
      </w:pPr>
    </w:p>
    <w:p w14:paraId="7622ADCB" w14:textId="77777777" w:rsidR="00B50976" w:rsidRPr="00390777" w:rsidRDefault="00B50976" w:rsidP="00A061DA">
      <w:pPr>
        <w:spacing w:line="480" w:lineRule="auto"/>
        <w:rPr>
          <w:b/>
          <w:color w:val="000000"/>
          <w:sz w:val="24"/>
          <w:szCs w:val="24"/>
          <w:lang w:eastAsia="ja-JP"/>
        </w:rPr>
      </w:pPr>
      <w:r w:rsidRPr="00390777">
        <w:rPr>
          <w:b/>
          <w:color w:val="000000"/>
          <w:sz w:val="24"/>
          <w:szCs w:val="24"/>
        </w:rPr>
        <w:t>Antibody production</w:t>
      </w:r>
      <w:r w:rsidRPr="00390777">
        <w:rPr>
          <w:rFonts w:hint="eastAsia"/>
          <w:b/>
          <w:color w:val="000000"/>
          <w:sz w:val="24"/>
          <w:szCs w:val="24"/>
          <w:lang w:eastAsia="ja-JP"/>
        </w:rPr>
        <w:t xml:space="preserve"> </w:t>
      </w:r>
    </w:p>
    <w:p w14:paraId="2B723823" w14:textId="03B55369" w:rsidR="00B50976" w:rsidRPr="00390777" w:rsidDel="00BE0783" w:rsidRDefault="00B50976" w:rsidP="00A061DA">
      <w:pPr>
        <w:spacing w:line="480" w:lineRule="auto"/>
        <w:rPr>
          <w:b/>
          <w:color w:val="000000"/>
          <w:sz w:val="24"/>
          <w:szCs w:val="24"/>
        </w:rPr>
      </w:pPr>
      <w:r w:rsidRPr="00390777">
        <w:rPr>
          <w:color w:val="000000"/>
          <w:sz w:val="24"/>
          <w:szCs w:val="24"/>
        </w:rPr>
        <w:t>To obtain an antibody with the desired profile, variants were generated by site-directed mutagenesis. Recombinant antibodies (Table S2</w:t>
      </w:r>
      <w:r w:rsidR="00E43DB5" w:rsidRPr="00390777">
        <w:rPr>
          <w:color w:val="000000"/>
          <w:sz w:val="24"/>
          <w:szCs w:val="24"/>
        </w:rPr>
        <w:t>-3</w:t>
      </w:r>
      <w:r w:rsidRPr="00390777">
        <w:rPr>
          <w:color w:val="000000"/>
          <w:sz w:val="24"/>
          <w:szCs w:val="24"/>
        </w:rPr>
        <w:t>) were expressed using FreeStyle 293-F (Thermo Fisher Scientific), Expi 293-F cells (Thermo Fisher Scientific), or Chinese hamster ovary (CHO) stable expression cell lines and purified by affinity purification. Objective bispecific antibodies</w:t>
      </w:r>
      <w:r w:rsidRPr="00390777" w:rsidDel="00BE0783">
        <w:rPr>
          <w:color w:val="000000"/>
          <w:sz w:val="24"/>
          <w:szCs w:val="24"/>
        </w:rPr>
        <w:t xml:space="preserve"> </w:t>
      </w:r>
      <w:r w:rsidRPr="00390777">
        <w:rPr>
          <w:color w:val="000000"/>
          <w:sz w:val="24"/>
          <w:szCs w:val="24"/>
        </w:rPr>
        <w:t xml:space="preserve">were generated by Fab-arm exchange. Gel filtration (GE Healthcare) was further conducted to remove high molecular weight species if necessary. </w:t>
      </w:r>
    </w:p>
    <w:p w14:paraId="57E06610" w14:textId="77777777" w:rsidR="00B50976" w:rsidRPr="00390777" w:rsidRDefault="00B50976" w:rsidP="00A061DA">
      <w:pPr>
        <w:spacing w:line="480" w:lineRule="auto"/>
        <w:rPr>
          <w:color w:val="000000"/>
          <w:sz w:val="24"/>
          <w:szCs w:val="24"/>
        </w:rPr>
      </w:pPr>
    </w:p>
    <w:p w14:paraId="56B85B5D" w14:textId="77777777" w:rsidR="00B50976" w:rsidRPr="00390777" w:rsidRDefault="00B50976" w:rsidP="00A061DA">
      <w:pPr>
        <w:spacing w:line="480" w:lineRule="auto"/>
        <w:rPr>
          <w:b/>
          <w:color w:val="000000"/>
          <w:sz w:val="24"/>
          <w:szCs w:val="24"/>
        </w:rPr>
      </w:pPr>
      <w:r w:rsidRPr="00390777">
        <w:rPr>
          <w:b/>
          <w:color w:val="000000"/>
          <w:sz w:val="24"/>
          <w:szCs w:val="24"/>
        </w:rPr>
        <w:t>Measurement of binding of Fc gamma receptors to antibodies</w:t>
      </w:r>
    </w:p>
    <w:p w14:paraId="7995D9AC" w14:textId="37D0151C" w:rsidR="00B50976" w:rsidRPr="00390777" w:rsidRDefault="00B50976" w:rsidP="00A061DA">
      <w:pPr>
        <w:spacing w:line="480" w:lineRule="auto"/>
        <w:rPr>
          <w:b/>
          <w:color w:val="000000"/>
          <w:sz w:val="24"/>
          <w:szCs w:val="24"/>
        </w:rPr>
      </w:pPr>
      <w:r w:rsidRPr="00390777">
        <w:rPr>
          <w:color w:val="000000"/>
          <w:sz w:val="24"/>
          <w:szCs w:val="24"/>
        </w:rPr>
        <w:t>All Fc</w:t>
      </w:r>
      <w:r w:rsidR="00FD4718" w:rsidRPr="00390777">
        <w:rPr>
          <w:rFonts w:eastAsiaTheme="minorEastAsia"/>
          <w:color w:val="000000" w:themeColor="text1"/>
          <w:sz w:val="24"/>
          <w:szCs w:val="24"/>
          <w:lang w:eastAsia="ja-JP"/>
        </w:rPr>
        <w:t>γ</w:t>
      </w:r>
      <w:r w:rsidRPr="00390777">
        <w:rPr>
          <w:color w:val="000000"/>
          <w:sz w:val="24"/>
          <w:szCs w:val="24"/>
        </w:rPr>
        <w:t xml:space="preserve"> receptors were prepared according to a previous report </w:t>
      </w:r>
      <w:r w:rsidRPr="00390777">
        <w:rPr>
          <w:noProof/>
          <w:color w:val="000000"/>
          <w:sz w:val="24"/>
          <w:szCs w:val="24"/>
        </w:rPr>
        <w:t>(49)</w:t>
      </w:r>
      <w:r w:rsidRPr="00390777">
        <w:rPr>
          <w:color w:val="000000"/>
          <w:sz w:val="24"/>
          <w:szCs w:val="24"/>
        </w:rPr>
        <w:t xml:space="preserve">. </w:t>
      </w:r>
      <w:r w:rsidRPr="00390777">
        <w:rPr>
          <w:noProof/>
          <w:color w:val="000000"/>
          <w:sz w:val="24"/>
          <w:szCs w:val="24"/>
        </w:rPr>
        <w:t>A</w:t>
      </w:r>
      <w:r w:rsidRPr="00390777">
        <w:rPr>
          <w:color w:val="000000"/>
          <w:sz w:val="24"/>
          <w:szCs w:val="24"/>
        </w:rPr>
        <w:t>ntibodies were captured onto the Biacore SA sensor surface immobilized with CaptureSelect</w:t>
      </w:r>
      <w:r w:rsidRPr="00390777">
        <w:rPr>
          <w:color w:val="000000"/>
          <w:sz w:val="24"/>
          <w:szCs w:val="24"/>
          <w:vertAlign w:val="superscript"/>
        </w:rPr>
        <w:t>TM</w:t>
      </w:r>
      <w:r w:rsidRPr="00390777">
        <w:rPr>
          <w:color w:val="000000"/>
          <w:sz w:val="24"/>
          <w:szCs w:val="24"/>
        </w:rPr>
        <w:t xml:space="preserve"> Human Fab-lambda Kinetics Biotin Conjugate (Thermo Fisher Scientific). Human and cynomolgus monkey Fcγ receptors were injected over sensor surface captured antibodies then the binding amount of each Fcγ receptor per one RU of captured antibodies was calculated using the evaluation explorer function of Biacore T200 </w:t>
      </w:r>
      <w:r w:rsidRPr="00390777">
        <w:rPr>
          <w:color w:val="000000"/>
          <w:sz w:val="24"/>
          <w:szCs w:val="24"/>
        </w:rPr>
        <w:lastRenderedPageBreak/>
        <w:t>Evaluation Software 3.0. Mouse Fcγ receptors were injected over sensor surface immobilized antibodies and then the binding amount of each Fcγ receptor was normalized by the amount of immobilized antibodies.</w:t>
      </w:r>
    </w:p>
    <w:p w14:paraId="04CC81FD" w14:textId="77777777" w:rsidR="00B50976" w:rsidRPr="00390777" w:rsidRDefault="00B50976" w:rsidP="00A061DA">
      <w:pPr>
        <w:spacing w:line="480" w:lineRule="auto"/>
        <w:rPr>
          <w:color w:val="000000"/>
          <w:sz w:val="24"/>
          <w:szCs w:val="24"/>
        </w:rPr>
      </w:pPr>
    </w:p>
    <w:p w14:paraId="34A38CF8" w14:textId="77777777" w:rsidR="00B50976" w:rsidRPr="00390777" w:rsidRDefault="00B50976" w:rsidP="00A061DA">
      <w:pPr>
        <w:pStyle w:val="TextTi12"/>
        <w:spacing w:line="480" w:lineRule="auto"/>
        <w:jc w:val="left"/>
        <w:rPr>
          <w:b/>
          <w:color w:val="000000"/>
          <w:szCs w:val="24"/>
        </w:rPr>
      </w:pPr>
      <w:r w:rsidRPr="00390777">
        <w:rPr>
          <w:b/>
          <w:color w:val="000000"/>
          <w:szCs w:val="24"/>
        </w:rPr>
        <w:t>Measurement of affinity against FcRn</w:t>
      </w:r>
    </w:p>
    <w:p w14:paraId="0163D991" w14:textId="77777777" w:rsidR="00B50976" w:rsidRPr="00390777" w:rsidRDefault="00B50976" w:rsidP="00A061DA">
      <w:pPr>
        <w:pStyle w:val="TextTi12"/>
        <w:spacing w:line="480" w:lineRule="auto"/>
        <w:jc w:val="left"/>
        <w:rPr>
          <w:b/>
          <w:color w:val="000000"/>
          <w:szCs w:val="24"/>
        </w:rPr>
      </w:pPr>
      <w:r w:rsidRPr="00390777">
        <w:rPr>
          <w:color w:val="000000"/>
          <w:szCs w:val="24"/>
        </w:rPr>
        <w:t>Affinity of antibodies against human neonatal Fc receptors (FcRn) or cynomolgus monkey FcRn were assessed at 25°C using Biacore T200 instrument (GE Healthcare). Antibodies were captured onto the Biacore SA sensor surface immobilized with CaptureSelect</w:t>
      </w:r>
      <w:r w:rsidRPr="00390777">
        <w:rPr>
          <w:color w:val="000000"/>
          <w:szCs w:val="24"/>
          <w:vertAlign w:val="superscript"/>
        </w:rPr>
        <w:t>TM</w:t>
      </w:r>
      <w:r w:rsidRPr="00390777">
        <w:rPr>
          <w:color w:val="000000"/>
          <w:szCs w:val="24"/>
        </w:rPr>
        <w:t xml:space="preserve"> Human Fab-lambda Kinetics Biotin Conjugate (Thermo Fisher Scientific). Human FcRn or cynomolgus monkey FcRn was prepared by two-fold serial dilution starting from 3200 nmol/L. Sensor surface was regenerated using Glycine 1.5 (GE Healthcare) and 25 mmol/L NaOH. Affinity was determined by fitting the sensorgrams for the steady state model using Biacore T200 Evaluation Software Version 3.0 (GE Healthcare). The binding affinity of antibodies to human and cynomolgus monkey FcRn at pH 6.0 was determined using Biacore T200 (GE Healthcare). </w:t>
      </w:r>
    </w:p>
    <w:p w14:paraId="6E9E507C" w14:textId="77777777" w:rsidR="00B50976" w:rsidRPr="00390777" w:rsidRDefault="00B50976" w:rsidP="00A061DA">
      <w:pPr>
        <w:pStyle w:val="TextTi12"/>
        <w:spacing w:line="480" w:lineRule="auto"/>
        <w:jc w:val="left"/>
        <w:rPr>
          <w:color w:val="000000"/>
          <w:szCs w:val="24"/>
        </w:rPr>
      </w:pPr>
    </w:p>
    <w:p w14:paraId="4A82A9D2" w14:textId="77777777" w:rsidR="00B50976" w:rsidRPr="00390777" w:rsidRDefault="00B50976" w:rsidP="00A061DA">
      <w:pPr>
        <w:spacing w:line="480" w:lineRule="auto"/>
        <w:rPr>
          <w:b/>
          <w:color w:val="000000"/>
          <w:sz w:val="24"/>
          <w:szCs w:val="24"/>
          <w:lang w:eastAsia="ja-JP"/>
        </w:rPr>
      </w:pPr>
      <w:r w:rsidRPr="00390777">
        <w:rPr>
          <w:b/>
          <w:color w:val="000000"/>
          <w:sz w:val="24"/>
          <w:szCs w:val="24"/>
        </w:rPr>
        <w:lastRenderedPageBreak/>
        <w:t>C1q binding assay</w:t>
      </w:r>
    </w:p>
    <w:p w14:paraId="11B9BD93" w14:textId="77777777" w:rsidR="00B50976" w:rsidRPr="00390777" w:rsidRDefault="00B50976" w:rsidP="00A061DA">
      <w:pPr>
        <w:spacing w:line="480" w:lineRule="auto"/>
        <w:rPr>
          <w:b/>
          <w:color w:val="000000"/>
          <w:sz w:val="24"/>
          <w:szCs w:val="24"/>
        </w:rPr>
      </w:pPr>
      <w:r w:rsidRPr="00390777">
        <w:rPr>
          <w:color w:val="000000"/>
          <w:sz w:val="24"/>
          <w:szCs w:val="24"/>
        </w:rPr>
        <w:t>STA551, recombinant human IgG4 antibody (Bingo Biotech), or guselkumab (Tremfya, Janssen Pharmaceutical) was immobilized on each microwell. After blocking and incubating with human C1q protein (Merck Millipore), horseradish peroxidase (HRP) sheep anti-human C1q antibody (Bio-Rad Laboratories) was added. 3,3’,5,5’-tetramethylbenzidine (TMB) chromogen solution (Life Technologies) was used as a substrate. The reaction was stopped by addition of sulfuric acid solution. Absorbance was measured with a SpectraMax i3x plate reader (Molecular Devices).</w:t>
      </w:r>
    </w:p>
    <w:p w14:paraId="1DAA738A" w14:textId="77777777" w:rsidR="00B50976" w:rsidRPr="00390777" w:rsidRDefault="00B50976" w:rsidP="00A061DA">
      <w:pPr>
        <w:spacing w:before="120" w:line="480" w:lineRule="auto"/>
        <w:rPr>
          <w:rFonts w:cs="AdvTTaf7f9f4f.B"/>
          <w:color w:val="000000" w:themeColor="text1"/>
          <w:sz w:val="24"/>
          <w:szCs w:val="24"/>
        </w:rPr>
      </w:pPr>
    </w:p>
    <w:p w14:paraId="2F1F4562" w14:textId="77777777" w:rsidR="00B50976" w:rsidRPr="00390777" w:rsidRDefault="00B50976" w:rsidP="00A061DA">
      <w:pPr>
        <w:spacing w:line="480" w:lineRule="auto"/>
        <w:rPr>
          <w:rFonts w:eastAsia="Times New Roman"/>
          <w:b/>
          <w:bCs/>
          <w:color w:val="000000"/>
          <w:sz w:val="24"/>
          <w:szCs w:val="24"/>
        </w:rPr>
      </w:pPr>
      <w:r w:rsidRPr="00390777">
        <w:rPr>
          <w:b/>
          <w:color w:val="000000"/>
          <w:sz w:val="24"/>
          <w:szCs w:val="24"/>
        </w:rPr>
        <w:t xml:space="preserve">Measurement of affinity against </w:t>
      </w:r>
      <w:r w:rsidRPr="00390777">
        <w:rPr>
          <w:rFonts w:eastAsia="Times New Roman"/>
          <w:b/>
          <w:bCs/>
          <w:color w:val="000000"/>
          <w:sz w:val="24"/>
          <w:szCs w:val="24"/>
        </w:rPr>
        <w:t>FcγRIIb</w:t>
      </w:r>
      <w:r w:rsidRPr="00390777">
        <w:rPr>
          <w:b/>
          <w:bCs/>
          <w:color w:val="000000"/>
          <w:sz w:val="24"/>
          <w:szCs w:val="24"/>
        </w:rPr>
        <w:t>-expressing CHO c</w:t>
      </w:r>
      <w:r w:rsidRPr="00390777">
        <w:rPr>
          <w:rFonts w:eastAsia="Times New Roman"/>
          <w:b/>
          <w:bCs/>
          <w:color w:val="000000"/>
          <w:sz w:val="24"/>
          <w:szCs w:val="24"/>
        </w:rPr>
        <w:t>ells</w:t>
      </w:r>
    </w:p>
    <w:p w14:paraId="5DB588AE" w14:textId="77777777" w:rsidR="00B50976" w:rsidRPr="00390777" w:rsidRDefault="00B50976" w:rsidP="00A061DA">
      <w:pPr>
        <w:spacing w:line="480" w:lineRule="auto"/>
        <w:rPr>
          <w:bCs/>
          <w:color w:val="000000"/>
          <w:sz w:val="24"/>
          <w:szCs w:val="24"/>
          <w:lang w:eastAsia="ja-JP"/>
        </w:rPr>
      </w:pPr>
      <w:r w:rsidRPr="00390777">
        <w:rPr>
          <w:bCs/>
          <w:color w:val="000000"/>
          <w:sz w:val="24"/>
          <w:szCs w:val="24"/>
        </w:rPr>
        <w:t>Human and mouse FcγRIIb-expressing CHO cells were incubated with different concentrations of Alexa Fluor 647 (AF647)-labeled STA551 or AF647-labeled Sta-MB in 4</w:t>
      </w:r>
      <w:r w:rsidRPr="00390777">
        <w:rPr>
          <w:color w:val="000000"/>
          <w:sz w:val="24"/>
          <w:szCs w:val="24"/>
        </w:rPr>
        <w:t>°C</w:t>
      </w:r>
      <w:r w:rsidRPr="00390777">
        <w:rPr>
          <w:bCs/>
          <w:color w:val="000000"/>
          <w:sz w:val="24"/>
          <w:szCs w:val="24"/>
          <w:lang w:eastAsia="ja-JP"/>
        </w:rPr>
        <w:t xml:space="preserve"> for 1 hour. After washing to remove unbound antibodies, cells were fixed with 1% </w:t>
      </w:r>
      <w:r w:rsidRPr="00390777">
        <w:rPr>
          <w:bCs/>
          <w:color w:val="000000"/>
          <w:sz w:val="24"/>
          <w:szCs w:val="24"/>
        </w:rPr>
        <w:t>paraformaldehyde</w:t>
      </w:r>
      <w:r w:rsidRPr="00390777">
        <w:rPr>
          <w:bCs/>
          <w:color w:val="000000"/>
          <w:sz w:val="24"/>
          <w:szCs w:val="24"/>
          <w:lang w:eastAsia="ja-JP"/>
        </w:rPr>
        <w:t xml:space="preserve"> </w:t>
      </w:r>
      <w:r w:rsidRPr="00390777">
        <w:rPr>
          <w:bCs/>
          <w:color w:val="000000"/>
          <w:sz w:val="24"/>
          <w:szCs w:val="24"/>
        </w:rPr>
        <w:t>in 4</w:t>
      </w:r>
      <w:r w:rsidRPr="00390777">
        <w:rPr>
          <w:color w:val="000000"/>
          <w:sz w:val="24"/>
          <w:szCs w:val="24"/>
        </w:rPr>
        <w:t>°C</w:t>
      </w:r>
      <w:r w:rsidRPr="00390777">
        <w:rPr>
          <w:bCs/>
          <w:color w:val="000000"/>
          <w:sz w:val="24"/>
          <w:szCs w:val="24"/>
          <w:lang w:eastAsia="ja-JP"/>
        </w:rPr>
        <w:t xml:space="preserve"> for 10 minutes. AF647 was analyzed by FACS CantoII (BD Bioscience) and geometric </w:t>
      </w:r>
      <w:r w:rsidRPr="00390777">
        <w:rPr>
          <w:bCs/>
          <w:color w:val="000000"/>
          <w:sz w:val="24"/>
          <w:szCs w:val="24"/>
        </w:rPr>
        <w:t>mean fluorescence intensity</w:t>
      </w:r>
      <w:r w:rsidRPr="00390777">
        <w:rPr>
          <w:bCs/>
          <w:color w:val="000000"/>
          <w:sz w:val="24"/>
          <w:szCs w:val="24"/>
          <w:lang w:eastAsia="ja-JP"/>
        </w:rPr>
        <w:t xml:space="preserve"> (MFI) of AF647 was converted to the number of bound molecules per cell using the calibration curve of AF647 standard beads, Quantum™ MESF (Bangs Laboratories) and moles of dye molecule per moles of dyed protein. Dissociation constant (</w:t>
      </w:r>
      <w:r w:rsidRPr="00390777">
        <w:rPr>
          <w:bCs/>
          <w:i/>
          <w:color w:val="000000"/>
          <w:sz w:val="24"/>
          <w:szCs w:val="24"/>
          <w:lang w:eastAsia="ja-JP"/>
        </w:rPr>
        <w:t>K</w:t>
      </w:r>
      <w:r w:rsidRPr="00390777">
        <w:rPr>
          <w:bCs/>
          <w:color w:val="000000"/>
          <w:sz w:val="24"/>
          <w:szCs w:val="24"/>
          <w:vertAlign w:val="subscript"/>
          <w:lang w:eastAsia="ja-JP"/>
        </w:rPr>
        <w:t>D</w:t>
      </w:r>
      <w:r w:rsidRPr="00390777">
        <w:rPr>
          <w:bCs/>
          <w:color w:val="000000"/>
          <w:sz w:val="24"/>
          <w:szCs w:val="24"/>
          <w:lang w:eastAsia="ja-JP"/>
        </w:rPr>
        <w:t>) was estimated</w:t>
      </w:r>
      <w:r w:rsidRPr="00390777">
        <w:rPr>
          <w:color w:val="000000"/>
          <w:sz w:val="24"/>
          <w:szCs w:val="24"/>
          <w:lang w:eastAsia="ja-JP"/>
        </w:rPr>
        <w:t xml:space="preserve"> using</w:t>
      </w:r>
      <w:r w:rsidRPr="00390777">
        <w:rPr>
          <w:bCs/>
          <w:color w:val="000000"/>
          <w:sz w:val="24"/>
          <w:szCs w:val="24"/>
          <w:lang w:eastAsia="ja-JP"/>
        </w:rPr>
        <w:t xml:space="preserve"> </w:t>
      </w:r>
      <w:r w:rsidRPr="00390777">
        <w:rPr>
          <w:bCs/>
          <w:color w:val="000000"/>
          <w:sz w:val="24"/>
          <w:szCs w:val="24"/>
          <w:lang w:eastAsia="ja-JP"/>
        </w:rPr>
        <w:lastRenderedPageBreak/>
        <w:t>Phoenix WinNonlin</w:t>
      </w:r>
      <w:r w:rsidRPr="00390777">
        <w:rPr>
          <w:bCs/>
          <w:color w:val="000000"/>
          <w:sz w:val="24"/>
          <w:szCs w:val="24"/>
          <w:vertAlign w:val="superscript"/>
          <w:lang w:eastAsia="ja-JP"/>
        </w:rPr>
        <w:t>®</w:t>
      </w:r>
      <w:r w:rsidRPr="00390777">
        <w:rPr>
          <w:bCs/>
          <w:color w:val="000000"/>
          <w:sz w:val="24"/>
          <w:szCs w:val="24"/>
          <w:lang w:eastAsia="ja-JP"/>
        </w:rPr>
        <w:t xml:space="preserve"> 8.0 (Certara, Princeton) according to t</w:t>
      </w:r>
      <w:r w:rsidRPr="00390777">
        <w:rPr>
          <w:color w:val="000000"/>
          <w:sz w:val="24"/>
          <w:szCs w:val="24"/>
          <w:lang w:eastAsia="ja-JP"/>
        </w:rPr>
        <w:t>he following formula:</w:t>
      </w:r>
      <w:r w:rsidRPr="00390777">
        <w:rPr>
          <w:bCs/>
          <w:color w:val="000000"/>
          <w:sz w:val="24"/>
          <w:szCs w:val="24"/>
          <w:lang w:eastAsia="ja-JP"/>
        </w:rPr>
        <w:t xml:space="preserve"> Bound molecule (molecules/cell) = B</w:t>
      </w:r>
      <w:r w:rsidRPr="00390777">
        <w:rPr>
          <w:bCs/>
          <w:color w:val="000000"/>
          <w:sz w:val="24"/>
          <w:szCs w:val="24"/>
          <w:vertAlign w:val="subscript"/>
          <w:lang w:eastAsia="ja-JP"/>
        </w:rPr>
        <w:t>max</w:t>
      </w:r>
      <w:r w:rsidRPr="00390777">
        <w:rPr>
          <w:bCs/>
          <w:color w:val="000000"/>
          <w:sz w:val="24"/>
          <w:szCs w:val="24"/>
          <w:lang w:eastAsia="ja-JP"/>
        </w:rPr>
        <w:t xml:space="preserve"> </w:t>
      </w:r>
      <w:r w:rsidRPr="00390777">
        <w:rPr>
          <w:color w:val="000000"/>
          <w:sz w:val="24"/>
          <w:szCs w:val="24"/>
          <w:lang w:eastAsia="ja-JP"/>
        </w:rPr>
        <w:t xml:space="preserve">× </w:t>
      </w:r>
      <w:r w:rsidRPr="00390777">
        <w:rPr>
          <w:bCs/>
          <w:color w:val="000000"/>
          <w:sz w:val="24"/>
          <w:szCs w:val="24"/>
          <w:lang w:eastAsia="ja-JP"/>
        </w:rPr>
        <w:t>C</w:t>
      </w:r>
      <w:r w:rsidRPr="00390777">
        <w:rPr>
          <w:bCs/>
          <w:color w:val="000000"/>
          <w:sz w:val="24"/>
          <w:szCs w:val="24"/>
          <w:vertAlign w:val="subscript"/>
          <w:lang w:eastAsia="ja-JP"/>
        </w:rPr>
        <w:t>total</w:t>
      </w:r>
      <w:r w:rsidRPr="00390777">
        <w:rPr>
          <w:bCs/>
          <w:color w:val="000000"/>
          <w:sz w:val="24"/>
          <w:szCs w:val="24"/>
          <w:lang w:eastAsia="ja-JP"/>
        </w:rPr>
        <w:t>/(C</w:t>
      </w:r>
      <w:r w:rsidRPr="00390777">
        <w:rPr>
          <w:bCs/>
          <w:color w:val="000000"/>
          <w:sz w:val="24"/>
          <w:szCs w:val="24"/>
          <w:vertAlign w:val="subscript"/>
          <w:lang w:eastAsia="ja-JP"/>
        </w:rPr>
        <w:t>total</w:t>
      </w:r>
      <w:r w:rsidRPr="00390777">
        <w:rPr>
          <w:bCs/>
          <w:color w:val="000000"/>
          <w:sz w:val="24"/>
          <w:szCs w:val="24"/>
          <w:lang w:eastAsia="ja-JP"/>
        </w:rPr>
        <w:t>+</w:t>
      </w:r>
      <w:r w:rsidRPr="00390777">
        <w:rPr>
          <w:bCs/>
          <w:i/>
          <w:color w:val="000000"/>
          <w:sz w:val="24"/>
          <w:szCs w:val="24"/>
          <w:lang w:eastAsia="ja-JP"/>
        </w:rPr>
        <w:t xml:space="preserve"> K</w:t>
      </w:r>
      <w:r w:rsidRPr="00390777">
        <w:rPr>
          <w:bCs/>
          <w:color w:val="000000"/>
          <w:sz w:val="24"/>
          <w:szCs w:val="24"/>
          <w:vertAlign w:val="subscript"/>
          <w:lang w:eastAsia="ja-JP"/>
        </w:rPr>
        <w:t>D</w:t>
      </w:r>
      <w:r w:rsidRPr="00390777">
        <w:rPr>
          <w:bCs/>
          <w:color w:val="000000"/>
          <w:sz w:val="24"/>
          <w:szCs w:val="24"/>
          <w:lang w:eastAsia="ja-JP"/>
        </w:rPr>
        <w:t xml:space="preserve">) </w:t>
      </w:r>
      <w:r w:rsidRPr="00390777">
        <w:rPr>
          <w:bCs/>
          <w:noProof/>
          <w:color w:val="000000"/>
          <w:sz w:val="24"/>
          <w:szCs w:val="24"/>
          <w:lang w:eastAsia="ja-JP"/>
        </w:rPr>
        <w:t>(50)</w:t>
      </w:r>
      <w:r w:rsidRPr="00390777">
        <w:rPr>
          <w:bCs/>
          <w:color w:val="000000"/>
          <w:sz w:val="24"/>
          <w:szCs w:val="24"/>
          <w:lang w:eastAsia="ja-JP"/>
        </w:rPr>
        <w:t xml:space="preserve">. </w:t>
      </w:r>
      <w:r w:rsidRPr="00390777">
        <w:rPr>
          <w:bCs/>
          <w:color w:val="000000"/>
          <w:sz w:val="24"/>
          <w:szCs w:val="24"/>
        </w:rPr>
        <w:t>C</w:t>
      </w:r>
      <w:r w:rsidRPr="00390777">
        <w:rPr>
          <w:bCs/>
          <w:color w:val="000000"/>
          <w:sz w:val="24"/>
          <w:szCs w:val="24"/>
          <w:vertAlign w:val="subscript"/>
        </w:rPr>
        <w:t>total</w:t>
      </w:r>
      <w:r w:rsidRPr="00390777">
        <w:rPr>
          <w:bCs/>
          <w:color w:val="000000"/>
          <w:sz w:val="24"/>
          <w:szCs w:val="24"/>
        </w:rPr>
        <w:t xml:space="preserve"> and C</w:t>
      </w:r>
      <w:r w:rsidRPr="00390777">
        <w:rPr>
          <w:bCs/>
          <w:color w:val="000000"/>
          <w:sz w:val="24"/>
          <w:szCs w:val="24"/>
          <w:vertAlign w:val="subscript"/>
        </w:rPr>
        <w:t>free</w:t>
      </w:r>
      <w:r w:rsidRPr="00390777">
        <w:rPr>
          <w:bCs/>
          <w:color w:val="000000"/>
          <w:sz w:val="24"/>
          <w:szCs w:val="24"/>
        </w:rPr>
        <w:t xml:space="preserve"> were confirmed to be almost equal. C</w:t>
      </w:r>
      <w:r w:rsidRPr="00390777">
        <w:rPr>
          <w:bCs/>
          <w:color w:val="000000"/>
          <w:sz w:val="24"/>
          <w:szCs w:val="24"/>
          <w:vertAlign w:val="subscript"/>
        </w:rPr>
        <w:t>total</w:t>
      </w:r>
      <w:r w:rsidRPr="00390777">
        <w:rPr>
          <w:bCs/>
          <w:color w:val="000000"/>
          <w:sz w:val="24"/>
          <w:szCs w:val="24"/>
        </w:rPr>
        <w:t>: concentration of total antibodies, C</w:t>
      </w:r>
      <w:r w:rsidRPr="00390777">
        <w:rPr>
          <w:bCs/>
          <w:color w:val="000000"/>
          <w:sz w:val="24"/>
          <w:szCs w:val="24"/>
          <w:vertAlign w:val="subscript"/>
        </w:rPr>
        <w:t>free</w:t>
      </w:r>
      <w:r w:rsidRPr="00390777">
        <w:rPr>
          <w:bCs/>
          <w:color w:val="000000"/>
          <w:sz w:val="24"/>
          <w:szCs w:val="24"/>
        </w:rPr>
        <w:t>: concentration of free antibodies.</w:t>
      </w:r>
      <w:r w:rsidRPr="00390777">
        <w:rPr>
          <w:bCs/>
          <w:color w:val="000000"/>
          <w:sz w:val="24"/>
          <w:szCs w:val="24"/>
          <w:lang w:eastAsia="ja-JP"/>
        </w:rPr>
        <w:t xml:space="preserve">  </w:t>
      </w:r>
    </w:p>
    <w:p w14:paraId="18497160" w14:textId="77777777" w:rsidR="00B50976" w:rsidRPr="00390777" w:rsidRDefault="00B50976" w:rsidP="00A061DA">
      <w:pPr>
        <w:spacing w:line="480" w:lineRule="auto"/>
        <w:rPr>
          <w:bCs/>
          <w:color w:val="000000"/>
          <w:sz w:val="24"/>
          <w:szCs w:val="24"/>
          <w:lang w:eastAsia="ja-JP"/>
        </w:rPr>
      </w:pPr>
    </w:p>
    <w:p w14:paraId="548F3482" w14:textId="77777777" w:rsidR="00B50976" w:rsidRPr="00390777" w:rsidRDefault="00B50976" w:rsidP="00A061DA">
      <w:pPr>
        <w:spacing w:line="480" w:lineRule="auto"/>
        <w:rPr>
          <w:b/>
          <w:color w:val="000000"/>
          <w:sz w:val="24"/>
          <w:szCs w:val="24"/>
          <w:lang w:eastAsia="ja-JP"/>
        </w:rPr>
      </w:pPr>
      <w:r w:rsidRPr="00390777">
        <w:rPr>
          <w:b/>
          <w:color w:val="000000"/>
          <w:sz w:val="24"/>
          <w:szCs w:val="24"/>
          <w:lang w:eastAsia="ja-JP"/>
        </w:rPr>
        <w:t>Measurement of CD137 dependent internalization</w:t>
      </w:r>
    </w:p>
    <w:p w14:paraId="14DE47C1" w14:textId="77777777" w:rsidR="00B50976" w:rsidRPr="00390777" w:rsidRDefault="00B50976" w:rsidP="00A061DA">
      <w:pPr>
        <w:spacing w:line="480" w:lineRule="auto"/>
        <w:rPr>
          <w:b/>
          <w:color w:val="000000"/>
          <w:sz w:val="24"/>
          <w:szCs w:val="24"/>
          <w:lang w:eastAsia="ja-JP"/>
        </w:rPr>
      </w:pPr>
      <w:r w:rsidRPr="00390777">
        <w:rPr>
          <w:bCs/>
          <w:color w:val="000000"/>
          <w:sz w:val="24"/>
          <w:szCs w:val="24"/>
        </w:rPr>
        <w:t xml:space="preserve">Human CD137-expressing CHO cells were incubated with 0.1 </w:t>
      </w:r>
      <w:r w:rsidRPr="00390777">
        <w:rPr>
          <w:rFonts w:ascii="Symbol" w:hAnsi="Symbol"/>
          <w:bCs/>
          <w:color w:val="000000"/>
          <w:sz w:val="24"/>
          <w:szCs w:val="24"/>
        </w:rPr>
        <w:t></w:t>
      </w:r>
      <w:r w:rsidRPr="00390777">
        <w:rPr>
          <w:bCs/>
          <w:color w:val="000000"/>
          <w:sz w:val="24"/>
          <w:szCs w:val="24"/>
        </w:rPr>
        <w:t>g/mL of AF647-labeled Sta-MB, Ure-MB, or anti-KLH-MB at 4</w:t>
      </w:r>
      <w:r w:rsidRPr="00390777">
        <w:rPr>
          <w:color w:val="000000"/>
          <w:sz w:val="24"/>
          <w:szCs w:val="24"/>
        </w:rPr>
        <w:t>°C</w:t>
      </w:r>
      <w:r w:rsidRPr="00390777">
        <w:rPr>
          <w:bCs/>
          <w:color w:val="000000"/>
          <w:sz w:val="24"/>
          <w:szCs w:val="24"/>
          <w:lang w:eastAsia="ja-JP"/>
        </w:rPr>
        <w:t xml:space="preserve"> or 37</w:t>
      </w:r>
      <w:r w:rsidRPr="00390777">
        <w:rPr>
          <w:color w:val="000000"/>
          <w:sz w:val="24"/>
          <w:szCs w:val="24"/>
        </w:rPr>
        <w:t>°C</w:t>
      </w:r>
      <w:r w:rsidRPr="00390777">
        <w:rPr>
          <w:bCs/>
          <w:color w:val="000000"/>
          <w:sz w:val="24"/>
          <w:szCs w:val="24"/>
          <w:lang w:eastAsia="ja-JP"/>
        </w:rPr>
        <w:t xml:space="preserve"> for 1 hour. After incubation, cells were washed with phosphate-buffered saline. Cells were fixed with 1% </w:t>
      </w:r>
      <w:r w:rsidRPr="00390777">
        <w:rPr>
          <w:bCs/>
          <w:color w:val="000000"/>
          <w:sz w:val="24"/>
          <w:szCs w:val="24"/>
        </w:rPr>
        <w:t>paraformaldehyde</w:t>
      </w:r>
      <w:r w:rsidRPr="00390777">
        <w:rPr>
          <w:bCs/>
          <w:color w:val="000000"/>
          <w:sz w:val="24"/>
          <w:szCs w:val="24"/>
          <w:lang w:eastAsia="ja-JP"/>
        </w:rPr>
        <w:t xml:space="preserve"> </w:t>
      </w:r>
      <w:r w:rsidRPr="00390777">
        <w:rPr>
          <w:bCs/>
          <w:color w:val="000000"/>
          <w:sz w:val="24"/>
          <w:szCs w:val="24"/>
        </w:rPr>
        <w:t>at 4</w:t>
      </w:r>
      <w:r w:rsidRPr="00390777">
        <w:rPr>
          <w:color w:val="000000"/>
          <w:sz w:val="24"/>
          <w:szCs w:val="24"/>
        </w:rPr>
        <w:t>°C</w:t>
      </w:r>
      <w:r w:rsidRPr="00390777">
        <w:rPr>
          <w:bCs/>
          <w:color w:val="000000"/>
          <w:sz w:val="24"/>
          <w:szCs w:val="24"/>
          <w:lang w:eastAsia="ja-JP"/>
        </w:rPr>
        <w:t xml:space="preserve"> for 10 minutes. AF647 was analyzed by FACS CantoII (BD Bioscience) and geometric MFI of AF647 was calculated (n=3). </w:t>
      </w:r>
    </w:p>
    <w:p w14:paraId="2E737980" w14:textId="77777777" w:rsidR="00B50976" w:rsidRPr="00390777" w:rsidRDefault="00B50976" w:rsidP="00A061DA">
      <w:pPr>
        <w:spacing w:line="480" w:lineRule="auto"/>
        <w:rPr>
          <w:bCs/>
          <w:color w:val="000000"/>
          <w:sz w:val="24"/>
          <w:szCs w:val="24"/>
          <w:lang w:eastAsia="ja-JP"/>
        </w:rPr>
      </w:pPr>
    </w:p>
    <w:p w14:paraId="1F08FACB" w14:textId="77777777" w:rsidR="00B50976" w:rsidRPr="00390777" w:rsidRDefault="00B50976" w:rsidP="00A061DA">
      <w:pPr>
        <w:spacing w:line="480" w:lineRule="auto"/>
        <w:rPr>
          <w:b/>
          <w:color w:val="000000"/>
          <w:sz w:val="24"/>
          <w:szCs w:val="24"/>
          <w:lang w:eastAsia="ja-JP"/>
        </w:rPr>
      </w:pPr>
      <w:r w:rsidRPr="00390777">
        <w:rPr>
          <w:b/>
          <w:color w:val="000000"/>
          <w:sz w:val="24"/>
          <w:szCs w:val="24"/>
        </w:rPr>
        <w:t>In vitro CD8</w:t>
      </w:r>
      <w:r w:rsidRPr="00390777">
        <w:rPr>
          <w:b/>
          <w:color w:val="000000"/>
          <w:sz w:val="24"/>
          <w:szCs w:val="24"/>
          <w:vertAlign w:val="superscript"/>
        </w:rPr>
        <w:t>+</w:t>
      </w:r>
      <w:r w:rsidRPr="00390777">
        <w:rPr>
          <w:b/>
          <w:color w:val="000000"/>
          <w:sz w:val="24"/>
          <w:szCs w:val="24"/>
        </w:rPr>
        <w:t xml:space="preserve"> T cell assay with FcγRIIa and FcγRIIb expressing mixed cells</w:t>
      </w:r>
    </w:p>
    <w:p w14:paraId="368A08AD" w14:textId="794F9D26" w:rsidR="00B50976" w:rsidRPr="00390777" w:rsidRDefault="00B50976" w:rsidP="00A061DA">
      <w:pPr>
        <w:spacing w:line="480" w:lineRule="auto"/>
        <w:rPr>
          <w:b/>
          <w:color w:val="000000"/>
          <w:sz w:val="24"/>
          <w:szCs w:val="24"/>
        </w:rPr>
      </w:pPr>
      <w:r w:rsidRPr="00390777">
        <w:rPr>
          <w:color w:val="000000"/>
          <w:sz w:val="24"/>
          <w:szCs w:val="24"/>
        </w:rPr>
        <w:t>All human CD8</w:t>
      </w:r>
      <w:r w:rsidRPr="00390777">
        <w:rPr>
          <w:color w:val="000000"/>
          <w:sz w:val="24"/>
          <w:szCs w:val="24"/>
          <w:vertAlign w:val="superscript"/>
        </w:rPr>
        <w:t>+</w:t>
      </w:r>
      <w:r w:rsidRPr="00390777">
        <w:rPr>
          <w:color w:val="000000"/>
          <w:sz w:val="24"/>
          <w:szCs w:val="24"/>
        </w:rPr>
        <w:t xml:space="preserve"> T cells were purchased from Astarte Biologics. Human FcγRIIa-expressing CHO-DG44 cells (NIG44-hFcγRIIa-H cells) and human FcγRIIb-expressing CHO-DG44 cells (hFc</w:t>
      </w:r>
      <w:r w:rsidR="00FD4718" w:rsidRPr="00390777">
        <w:rPr>
          <w:rFonts w:eastAsiaTheme="minorEastAsia"/>
          <w:color w:val="000000" w:themeColor="text1"/>
          <w:sz w:val="24"/>
          <w:szCs w:val="24"/>
          <w:lang w:eastAsia="ja-JP"/>
        </w:rPr>
        <w:t>γ</w:t>
      </w:r>
      <w:r w:rsidRPr="00390777">
        <w:rPr>
          <w:color w:val="000000"/>
          <w:sz w:val="24"/>
          <w:szCs w:val="24"/>
        </w:rPr>
        <w:t>RIIb2-CHO-NIG44 cells) were established in Chugai Pharmaceutical. Human CD8</w:t>
      </w:r>
      <w:r w:rsidRPr="00390777">
        <w:rPr>
          <w:color w:val="000000"/>
          <w:sz w:val="24"/>
          <w:szCs w:val="24"/>
          <w:vertAlign w:val="superscript"/>
        </w:rPr>
        <w:t>+</w:t>
      </w:r>
      <w:r w:rsidRPr="00390777">
        <w:rPr>
          <w:color w:val="000000"/>
          <w:sz w:val="24"/>
          <w:szCs w:val="24"/>
        </w:rPr>
        <w:t xml:space="preserve"> T cells from three healthy donors were stimulated </w:t>
      </w:r>
      <w:r w:rsidR="007D09BA" w:rsidRPr="00390777">
        <w:rPr>
          <w:color w:val="000000"/>
          <w:sz w:val="24"/>
          <w:szCs w:val="24"/>
        </w:rPr>
        <w:t xml:space="preserve">with </w:t>
      </w:r>
      <w:r w:rsidRPr="00390777">
        <w:rPr>
          <w:color w:val="000000"/>
          <w:sz w:val="24"/>
          <w:szCs w:val="24"/>
        </w:rPr>
        <w:t>a fixed concentration of immobilized anti-human CD3ε (1 μg/mL,</w:t>
      </w:r>
      <w:r w:rsidRPr="00390777">
        <w:rPr>
          <w:rFonts w:cs="AdvTTaf7f9f4f.B"/>
          <w:color w:val="000000"/>
          <w:sz w:val="24"/>
          <w:szCs w:val="24"/>
        </w:rPr>
        <w:t xml:space="preserve"> clone SP34, BD </w:t>
      </w:r>
      <w:r w:rsidRPr="00390777">
        <w:rPr>
          <w:rFonts w:cs="AdvTTaf7f9f4f.B"/>
          <w:color w:val="000000"/>
          <w:sz w:val="24"/>
          <w:szCs w:val="24"/>
        </w:rPr>
        <w:lastRenderedPageBreak/>
        <w:t>Biosciences</w:t>
      </w:r>
      <w:r w:rsidRPr="00390777">
        <w:rPr>
          <w:color w:val="000000"/>
          <w:sz w:val="24"/>
          <w:szCs w:val="24"/>
        </w:rPr>
        <w:t xml:space="preserve">) and anti-human CD28 antibodies (5 μg/mL, </w:t>
      </w:r>
      <w:r w:rsidRPr="00390777">
        <w:rPr>
          <w:rFonts w:cs="AdvTTaf7f9f4f.B"/>
          <w:color w:val="000000"/>
          <w:sz w:val="24"/>
          <w:szCs w:val="24"/>
        </w:rPr>
        <w:t>clone CD28.2, BD Biosciences</w:t>
      </w:r>
      <w:r w:rsidRPr="00390777">
        <w:rPr>
          <w:color w:val="000000"/>
          <w:sz w:val="24"/>
          <w:szCs w:val="24"/>
        </w:rPr>
        <w:t>) for 6 hours, and then variable concentrations of STA551, Ure-hIgG4 or Uto-hIgG2 in the absence or presence of 100 μmol/L ATP with both NIG44-hFcγRIIa-H cells and hFc</w:t>
      </w:r>
      <w:r w:rsidR="00FD4718" w:rsidRPr="00390777">
        <w:rPr>
          <w:rFonts w:eastAsiaTheme="minorEastAsia"/>
          <w:color w:val="000000" w:themeColor="text1"/>
          <w:sz w:val="24"/>
          <w:szCs w:val="24"/>
          <w:lang w:eastAsia="ja-JP"/>
        </w:rPr>
        <w:t>γ</w:t>
      </w:r>
      <w:r w:rsidRPr="00390777">
        <w:rPr>
          <w:color w:val="000000"/>
          <w:sz w:val="24"/>
          <w:szCs w:val="24"/>
        </w:rPr>
        <w:t>RIIb2-CHO-NIG44 cells</w:t>
      </w:r>
      <w:r w:rsidRPr="00390777" w:rsidDel="00594739">
        <w:rPr>
          <w:color w:val="000000"/>
          <w:sz w:val="24"/>
          <w:szCs w:val="24"/>
        </w:rPr>
        <w:t xml:space="preserve"> </w:t>
      </w:r>
      <w:r w:rsidRPr="00390777">
        <w:rPr>
          <w:color w:val="000000"/>
          <w:sz w:val="24"/>
          <w:szCs w:val="24"/>
        </w:rPr>
        <w:t>were added and incubated for 18 hours in AIM-V medium (Thermo Fisher Scientific) supplied with 5% human serum (Sigma-Aldrich). The reason why both NIG44-hFcγRIIa-H and hFc</w:t>
      </w:r>
      <w:r w:rsidR="00FD4718" w:rsidRPr="00390777">
        <w:rPr>
          <w:rFonts w:eastAsiaTheme="minorEastAsia"/>
          <w:color w:val="000000" w:themeColor="text1"/>
          <w:sz w:val="24"/>
          <w:szCs w:val="24"/>
          <w:lang w:eastAsia="ja-JP"/>
        </w:rPr>
        <w:t>γ</w:t>
      </w:r>
      <w:r w:rsidRPr="00390777">
        <w:rPr>
          <w:color w:val="000000"/>
          <w:sz w:val="24"/>
          <w:szCs w:val="24"/>
        </w:rPr>
        <w:t>RIIb2-CHO-NIG44-mixed cells were co-cultured with CD8</w:t>
      </w:r>
      <w:r w:rsidRPr="00390777">
        <w:rPr>
          <w:color w:val="000000"/>
          <w:sz w:val="24"/>
          <w:szCs w:val="24"/>
          <w:vertAlign w:val="superscript"/>
        </w:rPr>
        <w:t>+</w:t>
      </w:r>
      <w:r w:rsidRPr="00390777">
        <w:rPr>
          <w:color w:val="000000"/>
          <w:sz w:val="24"/>
          <w:szCs w:val="24"/>
        </w:rPr>
        <w:t xml:space="preserve"> T cells was to precisely evaluate agonistic activity on different types of IgG including human IgG2, which strongly binds human FcγRIIa. After incubation, the supernatants were harvested and the IFN-gamma (IFN-γ) concentrations in the medium were measured by ELISA.</w:t>
      </w:r>
    </w:p>
    <w:p w14:paraId="687BA0E6" w14:textId="77777777" w:rsidR="00B50976" w:rsidRPr="00390777" w:rsidRDefault="00B50976" w:rsidP="00A061DA">
      <w:pPr>
        <w:spacing w:before="120" w:line="480" w:lineRule="auto"/>
        <w:rPr>
          <w:b/>
          <w:color w:val="000000" w:themeColor="text1"/>
          <w:sz w:val="24"/>
          <w:szCs w:val="24"/>
          <w:lang w:eastAsia="ja-JP"/>
        </w:rPr>
      </w:pPr>
    </w:p>
    <w:p w14:paraId="69D87F67" w14:textId="77777777" w:rsidR="00B50976" w:rsidRPr="00390777" w:rsidRDefault="00B50976" w:rsidP="00A061DA">
      <w:pPr>
        <w:spacing w:before="120" w:line="480" w:lineRule="auto"/>
        <w:rPr>
          <w:b/>
          <w:color w:val="000000"/>
          <w:sz w:val="24"/>
          <w:szCs w:val="24"/>
        </w:rPr>
      </w:pPr>
      <w:r w:rsidRPr="00390777">
        <w:rPr>
          <w:b/>
          <w:color w:val="000000"/>
          <w:sz w:val="24"/>
          <w:szCs w:val="24"/>
        </w:rPr>
        <w:t>Cytokine measurement</w:t>
      </w:r>
    </w:p>
    <w:p w14:paraId="319C892E" w14:textId="77777777" w:rsidR="00B50976" w:rsidRPr="00390777" w:rsidRDefault="00B50976" w:rsidP="00A061DA">
      <w:pPr>
        <w:spacing w:before="120" w:line="480" w:lineRule="auto"/>
        <w:rPr>
          <w:color w:val="000000"/>
          <w:sz w:val="24"/>
          <w:szCs w:val="24"/>
        </w:rPr>
      </w:pPr>
      <w:r w:rsidRPr="00390777">
        <w:rPr>
          <w:color w:val="000000"/>
          <w:sz w:val="24"/>
          <w:szCs w:val="24"/>
        </w:rPr>
        <w:t>Human IFN-γ levels in supernatants were determined using Human IFN-gamma DuoSet ELISA (R&amp;D SYSTEMS), and mouse IFN-γ levels in supernatants using AlphaLISA Mouse IFN-γ immunoassay kit (PerkinElmer). All cytokine measurement assays were carried out according to manufacturer protocols.</w:t>
      </w:r>
    </w:p>
    <w:p w14:paraId="5D477FBA" w14:textId="77777777" w:rsidR="00B50976" w:rsidRPr="00390777" w:rsidRDefault="00B50976" w:rsidP="00A061DA">
      <w:pPr>
        <w:spacing w:before="120" w:line="480" w:lineRule="auto"/>
        <w:rPr>
          <w:b/>
          <w:color w:val="000000"/>
          <w:sz w:val="24"/>
          <w:szCs w:val="24"/>
        </w:rPr>
      </w:pPr>
    </w:p>
    <w:p w14:paraId="1AFBF07E" w14:textId="77777777" w:rsidR="00B50976" w:rsidRPr="00390777" w:rsidRDefault="00B50976" w:rsidP="00A061DA">
      <w:pPr>
        <w:spacing w:before="120" w:line="480" w:lineRule="auto"/>
        <w:rPr>
          <w:b/>
          <w:color w:val="000000"/>
          <w:sz w:val="24"/>
          <w:szCs w:val="24"/>
        </w:rPr>
      </w:pPr>
      <w:r w:rsidRPr="00390777">
        <w:rPr>
          <w:b/>
          <w:color w:val="000000"/>
          <w:sz w:val="24"/>
          <w:szCs w:val="24"/>
        </w:rPr>
        <w:lastRenderedPageBreak/>
        <w:t>Establishment of human CD137 knock-in mice</w:t>
      </w:r>
    </w:p>
    <w:p w14:paraId="4E45D728" w14:textId="77777777" w:rsidR="00B50976" w:rsidRPr="00390777" w:rsidRDefault="00B50976" w:rsidP="00A061DA">
      <w:pPr>
        <w:spacing w:before="120" w:line="480" w:lineRule="auto"/>
        <w:rPr>
          <w:b/>
          <w:color w:val="000000" w:themeColor="text1"/>
          <w:sz w:val="24"/>
          <w:szCs w:val="24"/>
          <w:lang w:eastAsia="ja-JP"/>
        </w:rPr>
      </w:pPr>
      <w:r w:rsidRPr="00390777">
        <w:rPr>
          <w:color w:val="000000"/>
          <w:sz w:val="24"/>
          <w:szCs w:val="24"/>
          <w:lang w:eastAsia="ja-JP"/>
        </w:rPr>
        <w:t xml:space="preserve">Human CD137 knock-in mice were established </w:t>
      </w:r>
      <w:r w:rsidRPr="00390777">
        <w:rPr>
          <w:color w:val="000000" w:themeColor="text1"/>
          <w:sz w:val="24"/>
          <w:szCs w:val="24"/>
        </w:rPr>
        <w:t xml:space="preserve">by replacing endogenous </w:t>
      </w:r>
      <w:r w:rsidRPr="00390777">
        <w:rPr>
          <w:i/>
          <w:color w:val="000000" w:themeColor="text1"/>
          <w:sz w:val="24"/>
          <w:szCs w:val="24"/>
        </w:rPr>
        <w:t>Cd137</w:t>
      </w:r>
      <w:r w:rsidRPr="00390777">
        <w:rPr>
          <w:color w:val="000000" w:themeColor="text1"/>
          <w:sz w:val="24"/>
          <w:szCs w:val="24"/>
        </w:rPr>
        <w:t xml:space="preserve"> genomic DNA from the initial to terminal codon with the human counterpart, </w:t>
      </w:r>
      <w:r w:rsidRPr="00390777">
        <w:rPr>
          <w:i/>
          <w:color w:val="000000" w:themeColor="text1"/>
          <w:sz w:val="24"/>
          <w:szCs w:val="24"/>
        </w:rPr>
        <w:t>CD137.</w:t>
      </w:r>
      <w:r w:rsidRPr="00390777">
        <w:rPr>
          <w:color w:val="000000" w:themeColor="text1"/>
          <w:sz w:val="24"/>
          <w:szCs w:val="24"/>
        </w:rPr>
        <w:t xml:space="preserve"> </w:t>
      </w:r>
      <w:r w:rsidRPr="00390777">
        <w:rPr>
          <w:color w:val="000000"/>
          <w:sz w:val="24"/>
          <w:szCs w:val="24"/>
        </w:rPr>
        <w:t xml:space="preserve">A bacterial artificial chromosome (BAC) genomic DNA clone carrying the human </w:t>
      </w:r>
      <w:r w:rsidRPr="00390777">
        <w:rPr>
          <w:i/>
          <w:color w:val="000000"/>
          <w:sz w:val="24"/>
          <w:szCs w:val="24"/>
        </w:rPr>
        <w:t>CD137</w:t>
      </w:r>
      <w:r w:rsidRPr="00390777">
        <w:rPr>
          <w:color w:val="000000"/>
          <w:sz w:val="24"/>
          <w:szCs w:val="24"/>
        </w:rPr>
        <w:t xml:space="preserve"> region was purchased from Thermo Fisher Scientific (Invitrogen Clones, RPCI11.C., Clone#902J21) </w:t>
      </w:r>
      <w:r w:rsidRPr="00390777">
        <w:rPr>
          <w:noProof/>
          <w:color w:val="000000"/>
          <w:sz w:val="24"/>
          <w:szCs w:val="24"/>
        </w:rPr>
        <w:t>(51)</w:t>
      </w:r>
      <w:r w:rsidRPr="00390777">
        <w:rPr>
          <w:color w:val="000000"/>
          <w:sz w:val="24"/>
          <w:szCs w:val="24"/>
        </w:rPr>
        <w:t xml:space="preserve">. Human CD137 knock-in vector was constructed with this clone using Red/ET recombination technology (Gene Bridges) </w:t>
      </w:r>
      <w:r w:rsidRPr="00390777">
        <w:rPr>
          <w:noProof/>
          <w:color w:val="000000"/>
          <w:sz w:val="24"/>
          <w:szCs w:val="24"/>
        </w:rPr>
        <w:t>(52)</w:t>
      </w:r>
      <w:r w:rsidRPr="00390777">
        <w:rPr>
          <w:color w:val="000000"/>
          <w:sz w:val="24"/>
          <w:szCs w:val="24"/>
        </w:rPr>
        <w:t xml:space="preserve">. As shown in Fig. S7A, 5’ upstream region of the initial codon (ATG) and 3’ downstream region of the terminal codon (TGA) of mouse </w:t>
      </w:r>
      <w:r w:rsidRPr="00390777">
        <w:rPr>
          <w:i/>
          <w:color w:val="000000"/>
          <w:sz w:val="24"/>
          <w:szCs w:val="24"/>
        </w:rPr>
        <w:t>Cd137</w:t>
      </w:r>
      <w:r w:rsidRPr="00390777">
        <w:rPr>
          <w:color w:val="000000"/>
          <w:sz w:val="24"/>
          <w:szCs w:val="24"/>
        </w:rPr>
        <w:t xml:space="preserve"> genome were seamlessly inserted into each end of the human </w:t>
      </w:r>
      <w:r w:rsidRPr="00390777">
        <w:rPr>
          <w:i/>
          <w:color w:val="000000"/>
          <w:sz w:val="24"/>
          <w:szCs w:val="24"/>
        </w:rPr>
        <w:t>CD137</w:t>
      </w:r>
      <w:r w:rsidRPr="00390777">
        <w:rPr>
          <w:color w:val="000000"/>
          <w:sz w:val="24"/>
          <w:szCs w:val="24"/>
        </w:rPr>
        <w:t xml:space="preserve"> genomic regions, respectively, in the knock-in vector. Neomycin resistance (NeoR) cassette flanked by two loxP sites was inserted into the 2</w:t>
      </w:r>
      <w:r w:rsidRPr="00390777">
        <w:rPr>
          <w:color w:val="000000"/>
          <w:sz w:val="24"/>
          <w:szCs w:val="24"/>
          <w:vertAlign w:val="superscript"/>
        </w:rPr>
        <w:t>nd</w:t>
      </w:r>
      <w:r w:rsidRPr="00390777">
        <w:rPr>
          <w:color w:val="000000"/>
          <w:sz w:val="24"/>
          <w:szCs w:val="24"/>
        </w:rPr>
        <w:t xml:space="preserve"> intron of the human </w:t>
      </w:r>
      <w:r w:rsidRPr="00390777">
        <w:rPr>
          <w:i/>
          <w:color w:val="000000"/>
          <w:sz w:val="24"/>
          <w:szCs w:val="24"/>
        </w:rPr>
        <w:t>CD137</w:t>
      </w:r>
      <w:r w:rsidRPr="00390777">
        <w:rPr>
          <w:color w:val="000000"/>
          <w:sz w:val="24"/>
          <w:szCs w:val="24"/>
        </w:rPr>
        <w:t xml:space="preserve"> gene.</w:t>
      </w:r>
      <w:r w:rsidRPr="00390777">
        <w:rPr>
          <w:rFonts w:hint="eastAsia"/>
          <w:b/>
          <w:color w:val="000000"/>
          <w:sz w:val="24"/>
          <w:szCs w:val="24"/>
          <w:lang w:eastAsia="ja-JP"/>
        </w:rPr>
        <w:t xml:space="preserve"> </w:t>
      </w:r>
      <w:r w:rsidRPr="00390777">
        <w:rPr>
          <w:color w:val="000000"/>
          <w:sz w:val="24"/>
          <w:szCs w:val="24"/>
        </w:rPr>
        <w:t xml:space="preserve">The human </w:t>
      </w:r>
      <w:r w:rsidRPr="00390777">
        <w:rPr>
          <w:i/>
          <w:color w:val="000000"/>
          <w:sz w:val="24"/>
          <w:szCs w:val="24"/>
        </w:rPr>
        <w:t>CD137</w:t>
      </w:r>
      <w:r w:rsidRPr="00390777">
        <w:rPr>
          <w:color w:val="000000"/>
          <w:sz w:val="24"/>
          <w:szCs w:val="24"/>
        </w:rPr>
        <w:t xml:space="preserve"> knock-in vector and 2 pairs of ZFN mRNA (designed by SIGMA Aldrich) targeting exon 2 and exon 8 of mouse endogenous </w:t>
      </w:r>
      <w:r w:rsidRPr="00390777">
        <w:rPr>
          <w:i/>
          <w:color w:val="000000"/>
          <w:sz w:val="24"/>
          <w:szCs w:val="24"/>
        </w:rPr>
        <w:t>Cd137</w:t>
      </w:r>
      <w:r w:rsidRPr="00390777">
        <w:rPr>
          <w:color w:val="000000"/>
          <w:sz w:val="24"/>
          <w:szCs w:val="24"/>
        </w:rPr>
        <w:t xml:space="preserve"> were co-transfected into a C57BL/6N mouse embryonic stem (ES) cell line by using </w:t>
      </w:r>
      <w:r w:rsidRPr="00390777">
        <w:rPr>
          <w:i/>
          <w:color w:val="000000"/>
          <w:sz w:val="24"/>
          <w:szCs w:val="24"/>
        </w:rPr>
        <w:t>Trans</w:t>
      </w:r>
      <w:r w:rsidRPr="00390777">
        <w:rPr>
          <w:color w:val="000000"/>
          <w:sz w:val="24"/>
          <w:szCs w:val="24"/>
        </w:rPr>
        <w:t xml:space="preserve">IT-mRNA Transfection Kit (Mirus Bio). The ES cells were selected in a culture medium containing G418 (Geneticin, Thermo Fisher Scientific). The homologous recombinant ES cell clone was injected into ICR or BALB/cA mouse (CLEA Japan) 8-cell or blastocyst embryos to generate chimera mice. The male chimera </w:t>
      </w:r>
      <w:r w:rsidRPr="00390777">
        <w:rPr>
          <w:color w:val="000000"/>
          <w:sz w:val="24"/>
          <w:szCs w:val="24"/>
        </w:rPr>
        <w:lastRenderedPageBreak/>
        <w:t xml:space="preserve">mice were bred with C57BL/6N female mice to obtain heterozygous knock-in mice which had floxed NeoR cassette. To remove the NeoR cassette, Cre recombinase mRNA was injected into the fertilized eggs of the heterozygous knock-in mice. After removal of the NeoR cassette, heterozygous mice were intercrossed to produce homozygous knock-in mice. Genotypes were analyzed by genomic PCR with the following primers: </w:t>
      </w:r>
      <w:r w:rsidRPr="00390777">
        <w:rPr>
          <w:rFonts w:eastAsia="ＭＳ Ｐゴシック"/>
          <w:color w:val="000000"/>
          <w:sz w:val="24"/>
          <w:szCs w:val="24"/>
        </w:rPr>
        <w:t xml:space="preserve">m137_25260F (5’- TGTCCTGTGCATGTGACATTTCGC -3’) and h137-3736R (5’- TATCTTGATTGATGTAGGAGATGA -3’) for knock-in allele; m137_25260F (5’- TGTCCTGTGCATGTGACATTTCGC -3’) and m137-r264R (5’- TGCAGACTGGATTGTATTTTCTGCA -3’) for wild allele </w:t>
      </w:r>
      <w:r w:rsidRPr="00390777">
        <w:rPr>
          <w:color w:val="000000"/>
          <w:sz w:val="24"/>
          <w:szCs w:val="24"/>
        </w:rPr>
        <w:t xml:space="preserve">(Fig. S7B). RT-PCR analysis was performed to determine </w:t>
      </w:r>
      <w:r w:rsidRPr="00390777">
        <w:rPr>
          <w:iCs/>
          <w:color w:val="000000"/>
          <w:sz w:val="24"/>
          <w:szCs w:val="24"/>
        </w:rPr>
        <w:t xml:space="preserve">mouse </w:t>
      </w:r>
      <w:r w:rsidRPr="00390777">
        <w:rPr>
          <w:i/>
          <w:iCs/>
          <w:color w:val="000000"/>
          <w:sz w:val="24"/>
          <w:szCs w:val="24"/>
        </w:rPr>
        <w:t xml:space="preserve">Cd137 </w:t>
      </w:r>
      <w:r w:rsidRPr="00390777">
        <w:rPr>
          <w:color w:val="000000"/>
          <w:sz w:val="24"/>
          <w:szCs w:val="24"/>
        </w:rPr>
        <w:t>and</w:t>
      </w:r>
      <w:r w:rsidRPr="00390777">
        <w:rPr>
          <w:iCs/>
          <w:color w:val="000000"/>
          <w:sz w:val="24"/>
          <w:szCs w:val="24"/>
        </w:rPr>
        <w:t xml:space="preserve"> </w:t>
      </w:r>
      <w:r w:rsidRPr="00390777">
        <w:rPr>
          <w:color w:val="000000"/>
          <w:sz w:val="24"/>
          <w:szCs w:val="24"/>
        </w:rPr>
        <w:t>human </w:t>
      </w:r>
      <w:r w:rsidRPr="00390777">
        <w:rPr>
          <w:i/>
          <w:iCs/>
          <w:color w:val="000000"/>
          <w:sz w:val="24"/>
          <w:szCs w:val="24"/>
        </w:rPr>
        <w:t>CD137</w:t>
      </w:r>
      <w:r w:rsidRPr="00390777">
        <w:rPr>
          <w:iCs/>
          <w:color w:val="000000"/>
          <w:sz w:val="24"/>
          <w:szCs w:val="24"/>
        </w:rPr>
        <w:t xml:space="preserve"> gene expression</w:t>
      </w:r>
      <w:r w:rsidRPr="00390777">
        <w:rPr>
          <w:color w:val="000000"/>
          <w:sz w:val="24"/>
          <w:szCs w:val="24"/>
        </w:rPr>
        <w:t xml:space="preserve">. </w:t>
      </w:r>
      <w:r w:rsidRPr="00390777">
        <w:rPr>
          <w:bCs/>
          <w:color w:val="000000"/>
          <w:sz w:val="24"/>
          <w:szCs w:val="24"/>
        </w:rPr>
        <w:t>Primary spleen cells were cultured in complete RPMI1640 medium (</w:t>
      </w:r>
      <w:r w:rsidRPr="00390777">
        <w:rPr>
          <w:color w:val="000000"/>
          <w:sz w:val="24"/>
          <w:szCs w:val="24"/>
        </w:rPr>
        <w:t>Thermo Fisher Scientific</w:t>
      </w:r>
      <w:r w:rsidRPr="00390777">
        <w:rPr>
          <w:bCs/>
          <w:color w:val="000000"/>
          <w:sz w:val="24"/>
          <w:szCs w:val="24"/>
        </w:rPr>
        <w:t>) containing 10% fetal bovine serum and supplemented with the Cell Stimulation Cocktail (</w:t>
      </w:r>
      <w:r w:rsidRPr="00390777">
        <w:rPr>
          <w:color w:val="000000"/>
          <w:sz w:val="24"/>
          <w:szCs w:val="24"/>
        </w:rPr>
        <w:t>eBioscience</w:t>
      </w:r>
      <w:r w:rsidRPr="00390777">
        <w:rPr>
          <w:bCs/>
          <w:color w:val="000000"/>
          <w:sz w:val="24"/>
          <w:szCs w:val="24"/>
        </w:rPr>
        <w:t xml:space="preserve">) containing phorbol 12-myristate 13-acetate (PMA) and ionomycin. </w:t>
      </w:r>
      <w:r w:rsidRPr="00390777">
        <w:rPr>
          <w:color w:val="000000"/>
          <w:sz w:val="24"/>
          <w:szCs w:val="24"/>
        </w:rPr>
        <w:t xml:space="preserve">Total RNA samples prepared from stimulated spleen cells with RNeasy Mini Kit (QIAGEN) were reverse-transcribed with SuperScript III reverse-transcriptase (Thermo Fisher Scientific) to synthesize cDNA. PCRs were performed with the following gene-specific primers: </w:t>
      </w:r>
      <w:r w:rsidRPr="00390777">
        <w:rPr>
          <w:rFonts w:eastAsia="ＭＳ Ｐゴシック"/>
          <w:color w:val="000000"/>
          <w:sz w:val="24"/>
          <w:szCs w:val="24"/>
        </w:rPr>
        <w:t xml:space="preserve">h137_r293F (5’- CTCTGTTGCTGGTCCTCAA -3’) and h137-r792R (5’- AGGGGCAGGCGGGGTCACAGAGGATGCTCCC -3’) for </w:t>
      </w:r>
      <w:r w:rsidRPr="00390777">
        <w:rPr>
          <w:rFonts w:eastAsia="ＭＳ Ｐゴシック"/>
          <w:color w:val="000000"/>
          <w:sz w:val="24"/>
          <w:szCs w:val="24"/>
        </w:rPr>
        <w:lastRenderedPageBreak/>
        <w:t xml:space="preserve">human </w:t>
      </w:r>
      <w:r w:rsidRPr="00390777">
        <w:rPr>
          <w:rFonts w:eastAsia="ＭＳ Ｐゴシック"/>
          <w:i/>
          <w:color w:val="000000"/>
          <w:sz w:val="24"/>
          <w:szCs w:val="24"/>
        </w:rPr>
        <w:t>CD137</w:t>
      </w:r>
      <w:r w:rsidRPr="00390777">
        <w:rPr>
          <w:rFonts w:eastAsia="ＭＳ Ｐゴシック"/>
          <w:color w:val="000000"/>
          <w:sz w:val="24"/>
          <w:szCs w:val="24"/>
        </w:rPr>
        <w:t xml:space="preserve">; m137_r163F (5’- TTGTGCTGCTGCTAGTGGG -3’) and m137-r655R (5’- GGAGTCACAGAAATGGTGGTACTG -3’) for mouse </w:t>
      </w:r>
      <w:r w:rsidRPr="00390777">
        <w:rPr>
          <w:rFonts w:eastAsia="ＭＳ Ｐゴシック"/>
          <w:i/>
          <w:color w:val="000000"/>
          <w:sz w:val="24"/>
          <w:szCs w:val="24"/>
        </w:rPr>
        <w:t>Cd137</w:t>
      </w:r>
      <w:r w:rsidRPr="00390777">
        <w:rPr>
          <w:rFonts w:eastAsia="ＭＳ Ｐゴシック"/>
          <w:color w:val="000000"/>
          <w:sz w:val="24"/>
          <w:szCs w:val="24"/>
        </w:rPr>
        <w:t xml:space="preserve"> (Fig. S7C).</w:t>
      </w:r>
      <w:r w:rsidRPr="00390777">
        <w:rPr>
          <w:rFonts w:hint="eastAsia"/>
          <w:b/>
          <w:color w:val="000000"/>
          <w:sz w:val="24"/>
          <w:szCs w:val="24"/>
          <w:lang w:eastAsia="ja-JP"/>
        </w:rPr>
        <w:t xml:space="preserve"> </w:t>
      </w:r>
      <w:r w:rsidRPr="00390777">
        <w:rPr>
          <w:color w:val="000000"/>
          <w:sz w:val="24"/>
          <w:szCs w:val="24"/>
        </w:rPr>
        <w:t xml:space="preserve">To confirm human CD137 expression and cell activation by human CD137 agonist antibody, human CD137 expression on spleen cells was analyzed by flow cytometry and cell activation induced by anti-human CD137 agonist antibody was analyzed by IFN-γ ELISA as described in Fig. S7D and Fig. S8C. For flow cytometry analysis, spleen cells derived from wild type or </w:t>
      </w:r>
      <w:r w:rsidRPr="00390777">
        <w:rPr>
          <w:color w:val="000000"/>
          <w:spacing w:val="3"/>
          <w:sz w:val="24"/>
          <w:szCs w:val="24"/>
        </w:rPr>
        <w:t>human </w:t>
      </w:r>
      <w:r w:rsidRPr="00390777">
        <w:rPr>
          <w:iCs/>
          <w:color w:val="000000"/>
          <w:spacing w:val="3"/>
          <w:sz w:val="24"/>
          <w:szCs w:val="24"/>
        </w:rPr>
        <w:t>CD137</w:t>
      </w:r>
      <w:r w:rsidRPr="00390777">
        <w:rPr>
          <w:color w:val="000000"/>
          <w:spacing w:val="3"/>
          <w:sz w:val="24"/>
          <w:szCs w:val="24"/>
        </w:rPr>
        <w:t xml:space="preserve"> knock-in mice</w:t>
      </w:r>
      <w:r w:rsidRPr="00390777">
        <w:rPr>
          <w:color w:val="000000"/>
          <w:sz w:val="24"/>
          <w:szCs w:val="24"/>
        </w:rPr>
        <w:t xml:space="preserve"> were stimulated with Dynabeads Mouse T-Activator CD3/CD28 (Thermo Fisher Scientific) for 24 hours in RPMI1640 medium (Sigma-Aldrich) containing 10% fetal bovine serum (Sigma-Aldrich). After incubation, beads were removed from spleen cells by magnetic separation. Antibodies to CD3ε (clone 145-2C11), CD8α (clone 53-6.7), CD4 (clone RM4-5), CD19 (clone 1D8/CD19), CD279 (clone 29F.A12), mouse IgG1 (clone RMG1-1), mouse CD137 (clone 17B5) </w:t>
      </w:r>
      <w:r w:rsidRPr="00390777">
        <w:rPr>
          <w:noProof/>
          <w:color w:val="000000"/>
          <w:sz w:val="24"/>
          <w:szCs w:val="24"/>
        </w:rPr>
        <w:t>(16)</w:t>
      </w:r>
      <w:r w:rsidRPr="00390777">
        <w:rPr>
          <w:color w:val="000000"/>
          <w:sz w:val="24"/>
          <w:szCs w:val="24"/>
        </w:rPr>
        <w:t xml:space="preserve">, and human CD137 (clone 4B4-1) were purchased from BioLegend. The activated spleen cells were incubated in 100 μmol/L ATP buffer containing each antibody for 30 minutes at 4°C after treatment with mouse Fc receptor blocking reagent (Miltenyi Biotec). Cells were washed using 100 μmol/L ATP buffer and then incubated in 100 μmol/L ATP buffer containing secondary anti-mouse IgG1 antibody for 30 minutes at 4°C. Dead cells were stained by Zombie Aqua </w:t>
      </w:r>
      <w:r w:rsidRPr="00390777">
        <w:rPr>
          <w:color w:val="000000"/>
          <w:sz w:val="24"/>
          <w:szCs w:val="24"/>
        </w:rPr>
        <w:lastRenderedPageBreak/>
        <w:t xml:space="preserve">Fixable Viability Kit (BioLegend). Cells in 100 μmol/L ATP buffer were analyzed by FACSLyric (BD Bioscience). For cell activation analysis, spleen cells derived from wild type or </w:t>
      </w:r>
      <w:r w:rsidRPr="00390777">
        <w:rPr>
          <w:color w:val="000000"/>
          <w:spacing w:val="3"/>
          <w:sz w:val="24"/>
          <w:szCs w:val="24"/>
        </w:rPr>
        <w:t>human </w:t>
      </w:r>
      <w:r w:rsidRPr="00390777">
        <w:rPr>
          <w:iCs/>
          <w:color w:val="000000"/>
          <w:spacing w:val="3"/>
          <w:sz w:val="24"/>
          <w:szCs w:val="24"/>
        </w:rPr>
        <w:t>CD137</w:t>
      </w:r>
      <w:r w:rsidRPr="00390777">
        <w:rPr>
          <w:color w:val="000000"/>
          <w:spacing w:val="3"/>
          <w:sz w:val="24"/>
          <w:szCs w:val="24"/>
        </w:rPr>
        <w:t xml:space="preserve"> knock-in mice</w:t>
      </w:r>
      <w:r w:rsidRPr="00390777">
        <w:rPr>
          <w:color w:val="000000"/>
          <w:sz w:val="24"/>
          <w:szCs w:val="24"/>
        </w:rPr>
        <w:t xml:space="preserve"> were stimulated with Dynabeads Mouse T-Activator CD3/CD28 for 6 hours and then variable concentrations of each anti-mouse or anti-human CD137 antibody in the absence or presence of 250 μmol/L ATP. After incubation, the supernatants were harvested and the IFN-γ concentrations in the medium were measured by ELISA.</w:t>
      </w:r>
      <w:r w:rsidRPr="00390777">
        <w:rPr>
          <w:color w:val="000000"/>
          <w:sz w:val="24"/>
          <w:szCs w:val="24"/>
          <w:lang w:eastAsia="ja-JP"/>
        </w:rPr>
        <w:t xml:space="preserve"> Although human CD137 does not bind to mouse CD137 ligand, </w:t>
      </w:r>
      <w:r w:rsidRPr="00390777">
        <w:rPr>
          <w:color w:val="000000"/>
          <w:spacing w:val="3"/>
          <w:sz w:val="24"/>
          <w:szCs w:val="24"/>
        </w:rPr>
        <w:t>no gross abnormalities were observed in the human </w:t>
      </w:r>
      <w:r w:rsidRPr="00390777">
        <w:rPr>
          <w:iCs/>
          <w:color w:val="000000"/>
          <w:spacing w:val="3"/>
          <w:sz w:val="24"/>
          <w:szCs w:val="24"/>
        </w:rPr>
        <w:t>CD137</w:t>
      </w:r>
      <w:r w:rsidRPr="00390777">
        <w:rPr>
          <w:color w:val="000000"/>
          <w:spacing w:val="3"/>
          <w:sz w:val="24"/>
          <w:szCs w:val="24"/>
        </w:rPr>
        <w:t xml:space="preserve"> knock-in mice. </w:t>
      </w:r>
      <w:r w:rsidRPr="00390777">
        <w:rPr>
          <w:color w:val="000000"/>
          <w:sz w:val="24"/>
          <w:szCs w:val="24"/>
        </w:rPr>
        <w:t xml:space="preserve">After several assessments using basic immunological tests, we established human </w:t>
      </w:r>
      <w:r w:rsidRPr="00390777">
        <w:rPr>
          <w:iCs/>
          <w:color w:val="000000"/>
          <w:sz w:val="24"/>
          <w:szCs w:val="24"/>
        </w:rPr>
        <w:t>CD137</w:t>
      </w:r>
      <w:r w:rsidRPr="00390777">
        <w:rPr>
          <w:i/>
          <w:iCs/>
          <w:color w:val="000000"/>
          <w:sz w:val="24"/>
          <w:szCs w:val="24"/>
        </w:rPr>
        <w:t xml:space="preserve"> </w:t>
      </w:r>
      <w:r w:rsidRPr="00390777">
        <w:rPr>
          <w:color w:val="000000"/>
          <w:sz w:val="24"/>
          <w:szCs w:val="24"/>
        </w:rPr>
        <w:t>knock-in mice (officially named C57BL/6N-</w:t>
      </w:r>
      <w:r w:rsidRPr="00390777">
        <w:rPr>
          <w:i/>
          <w:color w:val="000000"/>
          <w:sz w:val="24"/>
          <w:szCs w:val="24"/>
        </w:rPr>
        <w:t xml:space="preserve"> Tnfrsf9</w:t>
      </w:r>
      <w:r w:rsidRPr="00390777">
        <w:rPr>
          <w:i/>
          <w:color w:val="000000"/>
          <w:sz w:val="24"/>
          <w:szCs w:val="24"/>
          <w:vertAlign w:val="superscript"/>
        </w:rPr>
        <w:t>em1(TNFRSF9)Csk</w:t>
      </w:r>
      <w:r w:rsidRPr="00390777">
        <w:rPr>
          <w:bCs/>
          <w:iCs/>
          <w:color w:val="000000"/>
          <w:sz w:val="24"/>
          <w:szCs w:val="24"/>
        </w:rPr>
        <w:t xml:space="preserve"> mice</w:t>
      </w:r>
      <w:r w:rsidRPr="00390777">
        <w:rPr>
          <w:color w:val="000000"/>
          <w:sz w:val="24"/>
          <w:szCs w:val="24"/>
        </w:rPr>
        <w:t>).</w:t>
      </w:r>
    </w:p>
    <w:p w14:paraId="685BFB03" w14:textId="77777777" w:rsidR="00B50976" w:rsidRPr="00390777" w:rsidRDefault="00B50976" w:rsidP="00A061DA">
      <w:pPr>
        <w:spacing w:line="480" w:lineRule="auto"/>
        <w:rPr>
          <w:color w:val="000000"/>
          <w:sz w:val="24"/>
          <w:szCs w:val="24"/>
        </w:rPr>
      </w:pPr>
    </w:p>
    <w:p w14:paraId="2BB987FE" w14:textId="77777777" w:rsidR="00B50976" w:rsidRPr="00390777" w:rsidRDefault="00B50976" w:rsidP="00A061DA">
      <w:pPr>
        <w:pStyle w:val="a6"/>
        <w:spacing w:line="480" w:lineRule="auto"/>
        <w:rPr>
          <w:rFonts w:eastAsiaTheme="minorEastAsia"/>
          <w:b/>
          <w:color w:val="000000" w:themeColor="text1"/>
          <w:sz w:val="24"/>
          <w:szCs w:val="24"/>
          <w:lang w:eastAsia="ja-JP"/>
        </w:rPr>
      </w:pPr>
      <w:r w:rsidRPr="00390777">
        <w:rPr>
          <w:b/>
          <w:color w:val="000000" w:themeColor="text1"/>
          <w:sz w:val="24"/>
          <w:szCs w:val="24"/>
        </w:rPr>
        <w:t>In vivo lung metastasis model</w:t>
      </w:r>
    </w:p>
    <w:p w14:paraId="07A2F651" w14:textId="77777777" w:rsidR="00B50976" w:rsidRPr="00390777" w:rsidRDefault="00B50976" w:rsidP="00A061DA">
      <w:pPr>
        <w:spacing w:line="480" w:lineRule="auto"/>
        <w:rPr>
          <w:rFonts w:cs="AdvTTaf7f9f4f.B"/>
          <w:color w:val="000000" w:themeColor="text1"/>
          <w:sz w:val="24"/>
          <w:szCs w:val="24"/>
          <w:lang w:eastAsia="ja-JP"/>
        </w:rPr>
      </w:pPr>
      <w:r w:rsidRPr="00390777">
        <w:rPr>
          <w:rFonts w:cs="AdvTTaf7f9f4f.B"/>
          <w:color w:val="000000" w:themeColor="text1"/>
          <w:sz w:val="24"/>
          <w:szCs w:val="24"/>
          <w:lang w:eastAsia="ja-JP"/>
        </w:rPr>
        <w:t>The LLC1/OVA cells were inoculated intravenously into the tail vein of human CD137 knock-in mice. On day 7 and 14 after tumor inoculation, Sta-MB or vehicle were intravenously</w:t>
      </w:r>
      <w:r w:rsidRPr="00390777">
        <w:rPr>
          <w:rFonts w:cs="AdvTTaf7f9f4f.B" w:hint="eastAsia"/>
          <w:color w:val="000000" w:themeColor="text1"/>
          <w:sz w:val="24"/>
          <w:szCs w:val="24"/>
          <w:lang w:eastAsia="ja-JP"/>
        </w:rPr>
        <w:t xml:space="preserve"> </w:t>
      </w:r>
      <w:r w:rsidRPr="00390777">
        <w:rPr>
          <w:rFonts w:cs="AdvTTaf7f9f4f.B"/>
          <w:color w:val="000000" w:themeColor="text1"/>
          <w:sz w:val="24"/>
          <w:szCs w:val="24"/>
          <w:lang w:eastAsia="ja-JP"/>
        </w:rPr>
        <w:t xml:space="preserve">administered. Lungs were harvested and the </w:t>
      </w:r>
      <w:r w:rsidRPr="00390777">
        <w:rPr>
          <w:bCs/>
          <w:sz w:val="24"/>
          <w:szCs w:val="24"/>
        </w:rPr>
        <w:t>weight of metastatic nodules</w:t>
      </w:r>
      <w:r w:rsidRPr="00390777">
        <w:rPr>
          <w:rFonts w:cs="AdvTTaf7f9f4f.B"/>
          <w:color w:val="000000" w:themeColor="text1"/>
          <w:sz w:val="24"/>
          <w:szCs w:val="24"/>
          <w:lang w:eastAsia="ja-JP"/>
        </w:rPr>
        <w:t xml:space="preserve"> was measured on day 18. </w:t>
      </w:r>
    </w:p>
    <w:p w14:paraId="11D02924" w14:textId="77777777" w:rsidR="00B50976" w:rsidRPr="00390777" w:rsidRDefault="00B50976" w:rsidP="00A061DA">
      <w:pPr>
        <w:spacing w:line="480" w:lineRule="auto"/>
        <w:rPr>
          <w:color w:val="000000"/>
          <w:sz w:val="24"/>
          <w:szCs w:val="24"/>
        </w:rPr>
      </w:pPr>
    </w:p>
    <w:p w14:paraId="79C707E4" w14:textId="77777777" w:rsidR="00B50976" w:rsidRPr="00390777" w:rsidRDefault="00B50976" w:rsidP="00A061DA">
      <w:pPr>
        <w:pStyle w:val="a6"/>
        <w:spacing w:line="480" w:lineRule="auto"/>
        <w:rPr>
          <w:rFonts w:eastAsiaTheme="minorEastAsia"/>
          <w:b/>
          <w:sz w:val="24"/>
          <w:szCs w:val="24"/>
          <w:lang w:eastAsia="ja-JP"/>
        </w:rPr>
      </w:pPr>
      <w:r w:rsidRPr="00390777">
        <w:rPr>
          <w:rFonts w:eastAsiaTheme="minorEastAsia" w:hint="eastAsia"/>
          <w:b/>
          <w:sz w:val="24"/>
          <w:szCs w:val="24"/>
          <w:lang w:eastAsia="ja-JP"/>
        </w:rPr>
        <w:t>Hematology analysis</w:t>
      </w:r>
    </w:p>
    <w:p w14:paraId="6386B069" w14:textId="77777777" w:rsidR="00B50976" w:rsidRPr="00390777" w:rsidRDefault="00B50976" w:rsidP="00A061DA">
      <w:pPr>
        <w:spacing w:line="480" w:lineRule="auto"/>
        <w:rPr>
          <w:color w:val="000000"/>
          <w:sz w:val="24"/>
          <w:szCs w:val="24"/>
        </w:rPr>
      </w:pPr>
      <w:r w:rsidRPr="00390777">
        <w:rPr>
          <w:rFonts w:eastAsiaTheme="minorEastAsia" w:hint="eastAsia"/>
          <w:sz w:val="24"/>
          <w:szCs w:val="24"/>
          <w:lang w:eastAsia="ja-JP"/>
        </w:rPr>
        <w:lastRenderedPageBreak/>
        <w:t xml:space="preserve">Blood </w:t>
      </w:r>
      <w:r w:rsidRPr="00390777">
        <w:rPr>
          <w:rFonts w:eastAsiaTheme="minorEastAsia"/>
          <w:sz w:val="24"/>
          <w:szCs w:val="24"/>
          <w:lang w:eastAsia="ja-JP"/>
        </w:rPr>
        <w:t xml:space="preserve">with heparin </w:t>
      </w:r>
      <w:r w:rsidRPr="00390777">
        <w:rPr>
          <w:rFonts w:eastAsiaTheme="minorEastAsia" w:hint="eastAsia"/>
          <w:sz w:val="24"/>
          <w:szCs w:val="24"/>
          <w:lang w:eastAsia="ja-JP"/>
        </w:rPr>
        <w:t xml:space="preserve">was </w:t>
      </w:r>
      <w:r w:rsidRPr="00390777">
        <w:rPr>
          <w:rFonts w:eastAsiaTheme="minorEastAsia"/>
          <w:sz w:val="24"/>
          <w:szCs w:val="24"/>
          <w:lang w:eastAsia="ja-JP"/>
        </w:rPr>
        <w:t xml:space="preserve">collected via inferior vena cava in </w:t>
      </w:r>
      <w:r w:rsidRPr="00390777">
        <w:rPr>
          <w:rFonts w:cs="AdvTTaf7f9f4f.B"/>
          <w:color w:val="000000" w:themeColor="text1"/>
          <w:sz w:val="24"/>
          <w:szCs w:val="24"/>
          <w:lang w:eastAsia="ja-JP"/>
        </w:rPr>
        <w:t>human CD137 knock-in mice</w:t>
      </w:r>
      <w:r w:rsidRPr="00390777">
        <w:rPr>
          <w:rFonts w:eastAsiaTheme="minorEastAsia"/>
          <w:sz w:val="24"/>
          <w:szCs w:val="24"/>
          <w:lang w:eastAsia="ja-JP"/>
        </w:rPr>
        <w:t xml:space="preserve">. The counts of </w:t>
      </w:r>
      <w:r w:rsidRPr="00390777">
        <w:rPr>
          <w:rFonts w:eastAsiaTheme="minorEastAsia" w:hint="eastAsia"/>
          <w:sz w:val="24"/>
          <w:szCs w:val="24"/>
          <w:lang w:eastAsia="ja-JP"/>
        </w:rPr>
        <w:t>w</w:t>
      </w:r>
      <w:r w:rsidRPr="00390777">
        <w:rPr>
          <w:rFonts w:eastAsiaTheme="minorEastAsia"/>
          <w:sz w:val="24"/>
          <w:szCs w:val="24"/>
          <w:lang w:eastAsia="ja-JP"/>
        </w:rPr>
        <w:t>hite blood cells (WBC), lymphocytes and platelets in blood were analyzed by XT-2000iV, automatic hematology analyzer (Sysmex).</w:t>
      </w:r>
      <w:r w:rsidRPr="00390777">
        <w:rPr>
          <w:rFonts w:cs="AdvTTaf7f9f4f.B"/>
          <w:color w:val="000000" w:themeColor="text1"/>
          <w:sz w:val="24"/>
          <w:szCs w:val="24"/>
          <w:lang w:eastAsia="ja-JP"/>
        </w:rPr>
        <w:t xml:space="preserve"> </w:t>
      </w:r>
    </w:p>
    <w:p w14:paraId="412A8C47" w14:textId="77777777" w:rsidR="00B50976" w:rsidRPr="00390777" w:rsidRDefault="00B50976" w:rsidP="00A061DA">
      <w:pPr>
        <w:spacing w:line="480" w:lineRule="auto"/>
        <w:rPr>
          <w:b/>
          <w:color w:val="000000"/>
          <w:sz w:val="24"/>
          <w:szCs w:val="24"/>
          <w:lang w:eastAsia="ja-JP"/>
        </w:rPr>
      </w:pPr>
    </w:p>
    <w:p w14:paraId="18545B5C" w14:textId="77777777" w:rsidR="00B50976" w:rsidRPr="00390777" w:rsidRDefault="00B50976" w:rsidP="00A061DA">
      <w:pPr>
        <w:spacing w:line="480" w:lineRule="auto"/>
        <w:rPr>
          <w:b/>
          <w:color w:val="000000"/>
          <w:sz w:val="24"/>
          <w:szCs w:val="24"/>
        </w:rPr>
      </w:pPr>
      <w:r w:rsidRPr="00390777">
        <w:rPr>
          <w:b/>
          <w:color w:val="000000"/>
          <w:sz w:val="24"/>
          <w:szCs w:val="24"/>
        </w:rPr>
        <w:t>In vivo humanized</w:t>
      </w:r>
      <w:r w:rsidRPr="00390777">
        <w:rPr>
          <w:rFonts w:hint="eastAsia"/>
          <w:b/>
          <w:color w:val="000000"/>
          <w:sz w:val="24"/>
          <w:szCs w:val="24"/>
        </w:rPr>
        <w:t xml:space="preserve"> </w:t>
      </w:r>
      <w:r w:rsidRPr="00390777">
        <w:rPr>
          <w:b/>
          <w:color w:val="000000"/>
          <w:sz w:val="24"/>
          <w:szCs w:val="24"/>
        </w:rPr>
        <w:t>NOG mouse model</w:t>
      </w:r>
    </w:p>
    <w:p w14:paraId="77418A8C" w14:textId="77777777" w:rsidR="00B50976" w:rsidRPr="00390777" w:rsidRDefault="00B50976" w:rsidP="00A061DA">
      <w:pPr>
        <w:spacing w:line="480" w:lineRule="auto"/>
        <w:rPr>
          <w:b/>
          <w:color w:val="000000"/>
          <w:sz w:val="24"/>
          <w:szCs w:val="24"/>
        </w:rPr>
      </w:pPr>
      <w:r w:rsidRPr="00390777">
        <w:rPr>
          <w:color w:val="000000"/>
          <w:sz w:val="24"/>
          <w:szCs w:val="24"/>
        </w:rPr>
        <w:t>NOD/Shi-scid,IL-2RγKO Jic (NOG) mice (In-Vivo Science International) were irradiated 1 day before transplantation. Hematopoietic stem cells (HSC, ALLCELLS) were intravenously injected into NOG mice (1×10</w:t>
      </w:r>
      <w:r w:rsidRPr="00390777">
        <w:rPr>
          <w:color w:val="000000"/>
          <w:sz w:val="24"/>
          <w:szCs w:val="24"/>
          <w:vertAlign w:val="superscript"/>
        </w:rPr>
        <w:t>5</w:t>
      </w:r>
      <w:r w:rsidRPr="00390777">
        <w:rPr>
          <w:color w:val="000000"/>
          <w:sz w:val="24"/>
          <w:szCs w:val="24"/>
        </w:rPr>
        <w:t xml:space="preserve"> cells/mouse). Approximately 100 days after transplantation of HSCs, the establishment of humanized NOG (huNOG) mice was confirmed by assessing the presence of human CD45</w:t>
      </w:r>
      <w:r w:rsidRPr="00390777">
        <w:rPr>
          <w:color w:val="000000"/>
          <w:sz w:val="24"/>
          <w:szCs w:val="24"/>
          <w:vertAlign w:val="superscript"/>
        </w:rPr>
        <w:t>+</w:t>
      </w:r>
      <w:r w:rsidRPr="00390777">
        <w:rPr>
          <w:color w:val="000000"/>
          <w:sz w:val="24"/>
          <w:szCs w:val="24"/>
        </w:rPr>
        <w:t xml:space="preserve"> and human CD3</w:t>
      </w:r>
      <w:r w:rsidRPr="00390777">
        <w:rPr>
          <w:color w:val="000000"/>
          <w:sz w:val="24"/>
          <w:szCs w:val="24"/>
          <w:vertAlign w:val="superscript"/>
        </w:rPr>
        <w:t>+</w:t>
      </w:r>
      <w:r w:rsidRPr="00390777">
        <w:rPr>
          <w:color w:val="000000"/>
          <w:sz w:val="24"/>
          <w:szCs w:val="24"/>
        </w:rPr>
        <w:t xml:space="preserve"> cells in blood. NCI-H446 cancer cells were inoculated subcutaneously and tumor growth was monitored as previously described. After palpable tumors were established, animals were randomized, and antibodies were intravenously administered. </w:t>
      </w:r>
    </w:p>
    <w:p w14:paraId="286D0A8E" w14:textId="77777777" w:rsidR="00B50976" w:rsidRPr="00390777" w:rsidRDefault="00B50976" w:rsidP="00A061DA">
      <w:pPr>
        <w:spacing w:line="480" w:lineRule="auto"/>
        <w:rPr>
          <w:b/>
          <w:color w:val="000000"/>
          <w:sz w:val="24"/>
          <w:szCs w:val="24"/>
        </w:rPr>
      </w:pPr>
    </w:p>
    <w:p w14:paraId="7A3AC06D" w14:textId="1F1524C6" w:rsidR="00B50976" w:rsidRPr="00390777" w:rsidRDefault="00B50976" w:rsidP="00A061DA">
      <w:pPr>
        <w:spacing w:line="480" w:lineRule="auto"/>
        <w:rPr>
          <w:b/>
          <w:color w:val="000000"/>
          <w:sz w:val="24"/>
          <w:szCs w:val="24"/>
          <w:lang w:eastAsia="ja-JP"/>
        </w:rPr>
      </w:pPr>
      <w:r w:rsidRPr="00390777">
        <w:rPr>
          <w:b/>
          <w:color w:val="000000"/>
          <w:sz w:val="24"/>
          <w:szCs w:val="24"/>
        </w:rPr>
        <w:t>NanoString and RNA seq</w:t>
      </w:r>
      <w:r w:rsidR="007D5525" w:rsidRPr="00390777">
        <w:rPr>
          <w:b/>
          <w:color w:val="000000"/>
          <w:sz w:val="24"/>
          <w:szCs w:val="24"/>
        </w:rPr>
        <w:t>u</w:t>
      </w:r>
      <w:r w:rsidRPr="00390777">
        <w:rPr>
          <w:b/>
          <w:color w:val="000000"/>
          <w:sz w:val="24"/>
          <w:szCs w:val="24"/>
        </w:rPr>
        <w:t>encing assay</w:t>
      </w:r>
    </w:p>
    <w:p w14:paraId="3AF50371" w14:textId="4EDEB7E0" w:rsidR="00B50976" w:rsidRPr="00390777" w:rsidRDefault="00B50976" w:rsidP="00A061DA">
      <w:pPr>
        <w:spacing w:line="480" w:lineRule="auto"/>
        <w:rPr>
          <w:b/>
          <w:color w:val="000000"/>
          <w:sz w:val="24"/>
          <w:szCs w:val="24"/>
        </w:rPr>
      </w:pPr>
      <w:r w:rsidRPr="00390777">
        <w:rPr>
          <w:color w:val="000000"/>
          <w:sz w:val="24"/>
          <w:szCs w:val="24"/>
        </w:rPr>
        <w:t>LLC1/OVA/hGPC3, Colon38, LLC1/hGPC3</w:t>
      </w:r>
      <w:r w:rsidRPr="00390777">
        <w:rPr>
          <w:sz w:val="24"/>
          <w:szCs w:val="24"/>
        </w:rPr>
        <w:t xml:space="preserve">, Hepa1-6/hGPC3, or LLC/OVA cells were inoculated subcutaneously into the flanks of human CD137 knock-in mice and C57BL/6 mice. After the tumors were established, tumors were removed from mice </w:t>
      </w:r>
      <w:r w:rsidRPr="00390777">
        <w:rPr>
          <w:sz w:val="24"/>
          <w:szCs w:val="24"/>
        </w:rPr>
        <w:lastRenderedPageBreak/>
        <w:t>before the treatment</w:t>
      </w:r>
      <w:r w:rsidRPr="00390777">
        <w:rPr>
          <w:rFonts w:hint="eastAsia"/>
          <w:sz w:val="24"/>
          <w:szCs w:val="24"/>
          <w:lang w:eastAsia="ja-JP"/>
        </w:rPr>
        <w:t xml:space="preserve"> and</w:t>
      </w:r>
      <w:r w:rsidRPr="00390777">
        <w:rPr>
          <w:sz w:val="24"/>
          <w:szCs w:val="24"/>
        </w:rPr>
        <w:t xml:space="preserve"> </w:t>
      </w:r>
      <w:r w:rsidRPr="00390777">
        <w:rPr>
          <w:sz w:val="24"/>
          <w:szCs w:val="24"/>
          <w:lang w:val="en-GB"/>
        </w:rPr>
        <w:t>on day 3 (LLC1/hGPC3) or day 4 (LLC1/OVA/hGPC3 and Colon38) after the first dose</w:t>
      </w:r>
      <w:r w:rsidRPr="00390777">
        <w:rPr>
          <w:sz w:val="24"/>
          <w:szCs w:val="24"/>
        </w:rPr>
        <w:t xml:space="preserve"> and </w:t>
      </w:r>
      <w:r w:rsidRPr="00390777">
        <w:rPr>
          <w:color w:val="000000"/>
          <w:sz w:val="24"/>
          <w:szCs w:val="24"/>
        </w:rPr>
        <w:t>placed in RNAlater RNA Stabilization Reagent (QIAGEN). RNA was extracted from each tumor using the NucleoSpin RNA kit (Macherey-Nagel) or RNeasy Mini kit (QIAGEN).</w:t>
      </w:r>
      <w:r w:rsidRPr="00390777">
        <w:rPr>
          <w:color w:val="000000"/>
          <w:sz w:val="24"/>
          <w:szCs w:val="24"/>
          <w:lang w:eastAsia="ja-JP"/>
        </w:rPr>
        <w:t xml:space="preserve"> </w:t>
      </w:r>
      <w:r w:rsidRPr="00390777">
        <w:rPr>
          <w:color w:val="000000"/>
          <w:sz w:val="24"/>
          <w:szCs w:val="24"/>
        </w:rPr>
        <w:t xml:space="preserve">Gene-expression levels were assessed using PanCancer Mouse Immune Profiling (NanoString Technologies), which consists of 770 mouse immune-related genes, according to the manufacturer’s protocol. Digital counts of nCounter-based gene expression were performed with the nCounter </w:t>
      </w:r>
      <w:r w:rsidRPr="00390777">
        <w:rPr>
          <w:i/>
          <w:color w:val="000000"/>
          <w:sz w:val="24"/>
          <w:szCs w:val="24"/>
        </w:rPr>
        <w:t>MAX</w:t>
      </w:r>
      <w:r w:rsidRPr="00390777">
        <w:rPr>
          <w:color w:val="000000"/>
          <w:sz w:val="24"/>
          <w:szCs w:val="24"/>
        </w:rPr>
        <w:t xml:space="preserve"> Analysis System (NanoString Technologies) and the Field of View (FOV) was set at 550. Normalization and data analysis was conducted with nSolver Analysis Software ver3.0 (nSolver 3.0, NanoString Technologies)</w:t>
      </w:r>
      <w:r w:rsidRPr="00390777">
        <w:rPr>
          <w:rFonts w:eastAsia="ＭＳ ゴシック"/>
          <w:color w:val="000000"/>
          <w:sz w:val="24"/>
          <w:szCs w:val="24"/>
        </w:rPr>
        <w:t>. For data analysis, immune-related genes were selected for their relevance to the CD8</w:t>
      </w:r>
      <w:r w:rsidRPr="00390777">
        <w:rPr>
          <w:rFonts w:eastAsia="ＭＳ ゴシック"/>
          <w:color w:val="000000"/>
          <w:sz w:val="24"/>
          <w:szCs w:val="24"/>
          <w:vertAlign w:val="superscript"/>
        </w:rPr>
        <w:t>+</w:t>
      </w:r>
      <w:r w:rsidRPr="00390777">
        <w:rPr>
          <w:rFonts w:eastAsia="ＭＳ ゴシック"/>
          <w:color w:val="000000"/>
          <w:sz w:val="24"/>
          <w:szCs w:val="24"/>
        </w:rPr>
        <w:t xml:space="preserve"> effector population (Cd8b1, Gzmb, Ifng, Prf1, and Cd3e). Normalization of RNA loading was performed with all positive control probes and housekeeping genes included in the panel.</w:t>
      </w:r>
      <w:r w:rsidRPr="00390777">
        <w:rPr>
          <w:color w:val="000000"/>
          <w:sz w:val="24"/>
          <w:szCs w:val="24"/>
        </w:rPr>
        <w:t xml:space="preserve"> For immune cell profiling analysis, each immune cell score was calculated using the Advanced Analysis mode of nSolver 3.0. For RNA seqencing (RNA-seq) analysis, the RNA-seq reads were mapped to GRCm38 transcripts, and fragments per kilobase per million mapped </w:t>
      </w:r>
      <w:r w:rsidRPr="00390777">
        <w:rPr>
          <w:rFonts w:hint="eastAsia"/>
          <w:color w:val="000000"/>
          <w:sz w:val="24"/>
          <w:szCs w:val="24"/>
        </w:rPr>
        <w:t>read</w:t>
      </w:r>
      <w:r w:rsidRPr="00390777">
        <w:rPr>
          <w:color w:val="000000"/>
          <w:sz w:val="24"/>
          <w:szCs w:val="24"/>
        </w:rPr>
        <w:t xml:space="preserve">s (FPKM) was calculated based on RNA-seq by Expectation-Maximization (RSEM), version 1.2.31 </w:t>
      </w:r>
      <w:r w:rsidRPr="00390777">
        <w:rPr>
          <w:noProof/>
          <w:color w:val="000000"/>
          <w:sz w:val="24"/>
          <w:szCs w:val="24"/>
        </w:rPr>
        <w:t>(53)</w:t>
      </w:r>
      <w:r w:rsidRPr="00390777">
        <w:rPr>
          <w:color w:val="000000"/>
          <w:sz w:val="24"/>
          <w:szCs w:val="24"/>
        </w:rPr>
        <w:t xml:space="preserve">. A group of exATP-related genes were selected based on previous reports </w:t>
      </w:r>
      <w:r w:rsidRPr="00390777">
        <w:rPr>
          <w:noProof/>
          <w:color w:val="000000"/>
          <w:sz w:val="24"/>
          <w:szCs w:val="24"/>
        </w:rPr>
        <w:lastRenderedPageBreak/>
        <w:t>(39,54-56)</w:t>
      </w:r>
      <w:r w:rsidRPr="00390777">
        <w:rPr>
          <w:color w:val="000000"/>
          <w:sz w:val="24"/>
          <w:szCs w:val="24"/>
        </w:rPr>
        <w:t>. The gene sets included markers of purinergic receptors (P2RX7 etc.), hypoxia (HIF-1</w:t>
      </w:r>
      <w:r w:rsidRPr="00390777">
        <w:rPr>
          <w:rFonts w:ascii="Symbol" w:hAnsi="Symbol"/>
          <w:color w:val="000000"/>
          <w:sz w:val="24"/>
          <w:szCs w:val="24"/>
        </w:rPr>
        <w:t></w:t>
      </w:r>
      <w:r w:rsidRPr="00390777">
        <w:rPr>
          <w:rFonts w:ascii="Symbol" w:hAnsi="Symbol"/>
          <w:color w:val="000000"/>
          <w:sz w:val="24"/>
          <w:szCs w:val="24"/>
        </w:rPr>
        <w:t></w:t>
      </w:r>
      <w:r w:rsidRPr="00390777">
        <w:rPr>
          <w:color w:val="000000"/>
          <w:sz w:val="24"/>
          <w:szCs w:val="24"/>
        </w:rPr>
        <w:t>etc.), signature of CD39 inhibition (RPL38 etc.), and EMT (SNAIl etc.) (Table S</w:t>
      </w:r>
      <w:r w:rsidR="00E43DB5" w:rsidRPr="00390777">
        <w:rPr>
          <w:color w:val="000000"/>
          <w:sz w:val="24"/>
          <w:szCs w:val="24"/>
          <w:lang w:eastAsia="ja-JP"/>
        </w:rPr>
        <w:t>6</w:t>
      </w:r>
      <w:r w:rsidRPr="00390777">
        <w:rPr>
          <w:color w:val="000000"/>
          <w:sz w:val="24"/>
          <w:szCs w:val="24"/>
        </w:rPr>
        <w:t xml:space="preserve">). FASTQ files of RNA-seq of normal tissues were referenced in the literature </w:t>
      </w:r>
      <w:r w:rsidRPr="00390777">
        <w:rPr>
          <w:noProof/>
          <w:color w:val="000000"/>
          <w:sz w:val="24"/>
          <w:szCs w:val="24"/>
        </w:rPr>
        <w:t>(57)</w:t>
      </w:r>
      <w:r w:rsidRPr="00390777">
        <w:rPr>
          <w:color w:val="000000"/>
          <w:sz w:val="24"/>
          <w:szCs w:val="24"/>
        </w:rPr>
        <w:t xml:space="preserve">, and expression profile (FPKM) was calculated with RSEM. </w:t>
      </w:r>
      <w:r w:rsidRPr="00390777">
        <w:rPr>
          <w:rFonts w:hint="eastAsia"/>
          <w:color w:val="000000"/>
          <w:sz w:val="24"/>
          <w:szCs w:val="24"/>
        </w:rPr>
        <w:t>We selected the genes up-regulated in tumor compared to normal tissues. T-test was con</w:t>
      </w:r>
      <w:r w:rsidR="00F34C1D" w:rsidRPr="00390777">
        <w:rPr>
          <w:rFonts w:hint="eastAsia"/>
          <w:color w:val="000000"/>
          <w:sz w:val="24"/>
          <w:szCs w:val="24"/>
        </w:rPr>
        <w:t>ducted for each tumor cell line</w:t>
      </w:r>
      <w:r w:rsidRPr="00390777">
        <w:rPr>
          <w:rFonts w:hint="eastAsia"/>
          <w:color w:val="000000"/>
          <w:sz w:val="24"/>
          <w:szCs w:val="24"/>
        </w:rPr>
        <w:t xml:space="preserve"> comparing the triplicates of the cell line and all normal tissue samples</w:t>
      </w:r>
      <w:r w:rsidRPr="00390777">
        <w:rPr>
          <w:rFonts w:hint="eastAsia"/>
          <w:color w:val="000000"/>
          <w:sz w:val="24"/>
          <w:szCs w:val="24"/>
          <w:lang w:eastAsia="ja-JP"/>
        </w:rPr>
        <w:t xml:space="preserve">, and we selected </w:t>
      </w:r>
      <w:r w:rsidRPr="00390777">
        <w:rPr>
          <w:color w:val="000000"/>
          <w:sz w:val="24"/>
          <w:szCs w:val="24"/>
        </w:rPr>
        <w:t xml:space="preserve">genes for which p-values of any t-test were less than 0.05, as shown in Fig. S11. A group of immune-related genes were selected based on previous reports in cancer immunotherapies </w:t>
      </w:r>
      <w:r w:rsidRPr="00390777">
        <w:rPr>
          <w:noProof/>
          <w:color w:val="000000"/>
          <w:sz w:val="24"/>
          <w:szCs w:val="24"/>
        </w:rPr>
        <w:t>(58,59)</w:t>
      </w:r>
      <w:r w:rsidRPr="00390777">
        <w:rPr>
          <w:color w:val="000000"/>
          <w:sz w:val="24"/>
          <w:szCs w:val="24"/>
        </w:rPr>
        <w:t>. The gene sets included markers of CD8</w:t>
      </w:r>
      <w:r w:rsidRPr="00390777">
        <w:rPr>
          <w:color w:val="000000"/>
          <w:sz w:val="24"/>
          <w:szCs w:val="24"/>
          <w:vertAlign w:val="superscript"/>
        </w:rPr>
        <w:t>+</w:t>
      </w:r>
      <w:r w:rsidRPr="00390777">
        <w:rPr>
          <w:color w:val="000000"/>
          <w:sz w:val="24"/>
          <w:szCs w:val="24"/>
        </w:rPr>
        <w:t xml:space="preserve"> effector population (CD8, CD278, KLRG-1, and Granzyme A etc.), antigen presentation (TAP1 and TAP2 etc.), mediators of immune checkpoint (PD-L1 and CTLA-4 etc.), and IFN-γ signature (IFN-γ etc.) (Table S</w:t>
      </w:r>
      <w:r w:rsidRPr="00390777">
        <w:rPr>
          <w:color w:val="000000"/>
          <w:sz w:val="24"/>
          <w:szCs w:val="24"/>
          <w:lang w:eastAsia="ja-JP"/>
        </w:rPr>
        <w:t>8</w:t>
      </w:r>
      <w:r w:rsidRPr="00390777">
        <w:rPr>
          <w:color w:val="000000"/>
          <w:sz w:val="24"/>
          <w:szCs w:val="24"/>
        </w:rPr>
        <w:t>). Z-scores were calculated using log</w:t>
      </w:r>
      <w:r w:rsidRPr="00390777">
        <w:rPr>
          <w:color w:val="000000"/>
          <w:sz w:val="24"/>
          <w:szCs w:val="24"/>
          <w:vertAlign w:val="subscript"/>
        </w:rPr>
        <w:t>2</w:t>
      </w:r>
      <w:r w:rsidRPr="00390777">
        <w:rPr>
          <w:color w:val="000000"/>
          <w:sz w:val="24"/>
          <w:szCs w:val="24"/>
        </w:rPr>
        <w:t xml:space="preserve"> transformed FPKM values. A heat map was drawn using NMF (development version downloaded on Aug. 1</w:t>
      </w:r>
      <w:r w:rsidRPr="00390777">
        <w:rPr>
          <w:color w:val="000000"/>
          <w:sz w:val="24"/>
          <w:szCs w:val="24"/>
          <w:vertAlign w:val="superscript"/>
        </w:rPr>
        <w:t>st</w:t>
      </w:r>
      <w:r w:rsidRPr="00390777">
        <w:rPr>
          <w:color w:val="000000"/>
          <w:sz w:val="24"/>
          <w:szCs w:val="24"/>
        </w:rPr>
        <w:t xml:space="preserve">, 2019) packaged in R (version 3.4.4, </w:t>
      </w:r>
      <w:hyperlink r:id="rId41" w:history="1">
        <w:r w:rsidRPr="00390777">
          <w:rPr>
            <w:rStyle w:val="af4"/>
            <w:color w:val="000000"/>
            <w:sz w:val="24"/>
            <w:szCs w:val="24"/>
          </w:rPr>
          <w:t>https://www.r-project.org/</w:t>
        </w:r>
      </w:hyperlink>
      <w:r w:rsidRPr="00390777">
        <w:rPr>
          <w:color w:val="000000"/>
          <w:sz w:val="24"/>
          <w:szCs w:val="24"/>
        </w:rPr>
        <w:t>).</w:t>
      </w:r>
    </w:p>
    <w:p w14:paraId="6491EAFA" w14:textId="77777777" w:rsidR="00B50976" w:rsidRPr="00390777" w:rsidRDefault="00B50976" w:rsidP="00A061DA">
      <w:pPr>
        <w:spacing w:line="480" w:lineRule="auto"/>
        <w:rPr>
          <w:color w:val="000000"/>
          <w:sz w:val="24"/>
          <w:szCs w:val="24"/>
        </w:rPr>
      </w:pPr>
    </w:p>
    <w:p w14:paraId="4CF06C5C" w14:textId="77777777" w:rsidR="00B50976" w:rsidRPr="00390777" w:rsidRDefault="00B50976" w:rsidP="00A061DA">
      <w:pPr>
        <w:spacing w:line="480" w:lineRule="auto"/>
        <w:rPr>
          <w:b/>
          <w:color w:val="000000"/>
          <w:sz w:val="24"/>
          <w:szCs w:val="24"/>
        </w:rPr>
      </w:pPr>
      <w:r w:rsidRPr="00390777">
        <w:rPr>
          <w:b/>
          <w:color w:val="000000"/>
          <w:sz w:val="24"/>
          <w:szCs w:val="24"/>
        </w:rPr>
        <w:t>Immunohistochemistry</w:t>
      </w:r>
    </w:p>
    <w:p w14:paraId="3E79E2B5" w14:textId="77777777" w:rsidR="00B50976" w:rsidRPr="00390777" w:rsidRDefault="00B50976" w:rsidP="00A061DA">
      <w:pPr>
        <w:spacing w:line="480" w:lineRule="auto"/>
        <w:rPr>
          <w:bCs/>
          <w:color w:val="000000"/>
          <w:sz w:val="24"/>
          <w:szCs w:val="24"/>
        </w:rPr>
      </w:pPr>
      <w:r w:rsidRPr="00390777">
        <w:rPr>
          <w:bCs/>
          <w:color w:val="000000"/>
          <w:sz w:val="24"/>
          <w:szCs w:val="24"/>
        </w:rPr>
        <w:lastRenderedPageBreak/>
        <w:t>On day 2 after the first dose, tumors were excised, fixed in 10% neutral buffered formalin for 24 hours, embedded in paraffin, and sectioned to 4 μm thickness by Sliding Microtome SM2010R (Leica Microsystems). CD8 was stained by anti-CD8 alpha antibody (clone D4W2Z, Cell Signaling Technology) with OptiView DAB kit (Ventana Medical Systems) and PD-L1 was stained by polyclonal goat PD-L1 antibody (R&amp;D systems) with ultraView DAB kit (Ventana Medical Systems) by a BenchMark XT auto-stainer (Ventana Medical Systems). Secondary antibodies (Ventana Medical Systems) were replaced with anti-rabbit-HQ and anti-HQ-HRP for CD8 and anti-goat-HRP for PD-L1. All the immunohistochemistry stained slides were digitally scanned at 20-fold objective magnification as a high-resolution digital image of the whole tissue using a pathology scanner (Aperio scanner console, version 102.0.4.6, Leica Biosystems) system fo</w:t>
      </w:r>
      <w:r w:rsidRPr="00390777">
        <w:rPr>
          <w:rFonts w:hint="eastAsia"/>
          <w:bCs/>
          <w:color w:val="000000"/>
          <w:sz w:val="24"/>
          <w:szCs w:val="24"/>
        </w:rPr>
        <w:t xml:space="preserve">r bright field microscopy. The number of </w:t>
      </w:r>
      <w:r w:rsidRPr="00390777">
        <w:rPr>
          <w:bCs/>
          <w:color w:val="000000"/>
          <w:sz w:val="24"/>
          <w:szCs w:val="24"/>
        </w:rPr>
        <w:t>immunohistochemistry</w:t>
      </w:r>
      <w:r w:rsidRPr="00390777">
        <w:rPr>
          <w:rFonts w:hint="eastAsia"/>
          <w:bCs/>
          <w:color w:val="000000"/>
          <w:sz w:val="24"/>
          <w:szCs w:val="24"/>
        </w:rPr>
        <w:t xml:space="preserve">-positive cells in tumor was calculated using the </w:t>
      </w:r>
      <w:r w:rsidRPr="00390777">
        <w:rPr>
          <w:bCs/>
          <w:color w:val="000000"/>
          <w:sz w:val="24"/>
          <w:szCs w:val="24"/>
        </w:rPr>
        <w:t>‘</w:t>
      </w:r>
      <w:r w:rsidRPr="00390777">
        <w:rPr>
          <w:rFonts w:hint="eastAsia"/>
          <w:bCs/>
          <w:color w:val="000000"/>
          <w:sz w:val="24"/>
          <w:szCs w:val="24"/>
        </w:rPr>
        <w:t>Immune Cell v1.3</w:t>
      </w:r>
      <w:r w:rsidRPr="00390777">
        <w:rPr>
          <w:bCs/>
          <w:color w:val="000000"/>
          <w:sz w:val="24"/>
          <w:szCs w:val="24"/>
        </w:rPr>
        <w:t>’</w:t>
      </w:r>
      <w:r w:rsidRPr="00390777">
        <w:rPr>
          <w:rFonts w:hint="eastAsia"/>
          <w:bCs/>
          <w:color w:val="000000"/>
          <w:sz w:val="24"/>
          <w:szCs w:val="24"/>
        </w:rPr>
        <w:t xml:space="preserve"> algorithm for CD8 and </w:t>
      </w:r>
      <w:r w:rsidRPr="00390777">
        <w:rPr>
          <w:bCs/>
          <w:color w:val="000000"/>
          <w:sz w:val="24"/>
          <w:szCs w:val="24"/>
        </w:rPr>
        <w:t>‘</w:t>
      </w:r>
      <w:r w:rsidRPr="00390777">
        <w:rPr>
          <w:rFonts w:hint="eastAsia"/>
          <w:bCs/>
          <w:color w:val="000000"/>
          <w:sz w:val="24"/>
          <w:szCs w:val="24"/>
        </w:rPr>
        <w:t>Membrane v1.7</w:t>
      </w:r>
      <w:r w:rsidRPr="00390777">
        <w:rPr>
          <w:bCs/>
          <w:color w:val="000000"/>
          <w:sz w:val="24"/>
          <w:szCs w:val="24"/>
        </w:rPr>
        <w:t>’</w:t>
      </w:r>
      <w:r w:rsidRPr="00390777">
        <w:rPr>
          <w:rFonts w:hint="eastAsia"/>
          <w:bCs/>
          <w:color w:val="000000"/>
          <w:sz w:val="24"/>
          <w:szCs w:val="24"/>
        </w:rPr>
        <w:t xml:space="preserve"> algorithm for PD-L1 within the HALO</w:t>
      </w:r>
      <w:r w:rsidRPr="00390777">
        <w:rPr>
          <w:rFonts w:hint="eastAsia"/>
          <w:bCs/>
          <w:color w:val="000000"/>
          <w:sz w:val="24"/>
          <w:szCs w:val="24"/>
          <w:vertAlign w:val="superscript"/>
        </w:rPr>
        <w:t>TM</w:t>
      </w:r>
      <w:r w:rsidRPr="00390777">
        <w:rPr>
          <w:rFonts w:hint="eastAsia"/>
          <w:bCs/>
          <w:color w:val="000000"/>
          <w:sz w:val="24"/>
          <w:szCs w:val="24"/>
        </w:rPr>
        <w:t xml:space="preserve"> image analysis software (Indica Labs, v2.3). </w:t>
      </w:r>
      <w:r w:rsidRPr="00390777">
        <w:rPr>
          <w:bCs/>
          <w:color w:val="000000"/>
          <w:sz w:val="24"/>
          <w:szCs w:val="24"/>
        </w:rPr>
        <w:t>A</w:t>
      </w:r>
      <w:r w:rsidRPr="00390777">
        <w:rPr>
          <w:rFonts w:hint="eastAsia"/>
          <w:bCs/>
          <w:color w:val="000000"/>
          <w:sz w:val="24"/>
          <w:szCs w:val="24"/>
        </w:rPr>
        <w:t>ll tumo</w:t>
      </w:r>
      <w:r w:rsidRPr="00390777">
        <w:rPr>
          <w:bCs/>
          <w:color w:val="000000"/>
          <w:sz w:val="24"/>
          <w:szCs w:val="24"/>
        </w:rPr>
        <w:t>r areas in each specimen were manually annotated and evaluated by a pathologist. The number of positive cells for each marker was expressed in the number per tumor area (mm</w:t>
      </w:r>
      <w:r w:rsidRPr="00390777">
        <w:rPr>
          <w:bCs/>
          <w:color w:val="000000"/>
          <w:sz w:val="24"/>
          <w:szCs w:val="24"/>
          <w:vertAlign w:val="superscript"/>
        </w:rPr>
        <w:t>2</w:t>
      </w:r>
      <w:r w:rsidRPr="00390777">
        <w:rPr>
          <w:bCs/>
          <w:color w:val="000000"/>
          <w:sz w:val="24"/>
          <w:szCs w:val="24"/>
        </w:rPr>
        <w:t>). Quality of positivity threshold by the digital image analysis was monitored by visual inspection.</w:t>
      </w:r>
    </w:p>
    <w:p w14:paraId="64FB1910" w14:textId="77777777" w:rsidR="00B50976" w:rsidRPr="00390777" w:rsidRDefault="00B50976" w:rsidP="00A061DA">
      <w:pPr>
        <w:spacing w:line="480" w:lineRule="auto"/>
        <w:rPr>
          <w:color w:val="000000"/>
          <w:sz w:val="24"/>
          <w:szCs w:val="24"/>
        </w:rPr>
      </w:pPr>
    </w:p>
    <w:p w14:paraId="0FFD5674" w14:textId="77777777" w:rsidR="00B50976" w:rsidRPr="00390777" w:rsidRDefault="00B50976" w:rsidP="00A061DA">
      <w:pPr>
        <w:spacing w:line="480" w:lineRule="auto"/>
        <w:rPr>
          <w:b/>
          <w:color w:val="000000"/>
          <w:sz w:val="24"/>
          <w:szCs w:val="24"/>
          <w:lang w:eastAsia="ja-JP"/>
        </w:rPr>
      </w:pPr>
      <w:r w:rsidRPr="00390777">
        <w:rPr>
          <w:b/>
          <w:color w:val="000000"/>
          <w:sz w:val="24"/>
          <w:szCs w:val="24"/>
          <w:lang w:eastAsia="ja-JP"/>
        </w:rPr>
        <w:t xml:space="preserve">Antibody distribution </w:t>
      </w:r>
    </w:p>
    <w:p w14:paraId="04EA593D" w14:textId="16AD46B7" w:rsidR="00B50976" w:rsidRPr="00390777" w:rsidRDefault="00B50976" w:rsidP="00A061DA">
      <w:pPr>
        <w:spacing w:line="480" w:lineRule="auto"/>
        <w:rPr>
          <w:color w:val="000000"/>
          <w:sz w:val="24"/>
          <w:szCs w:val="24"/>
          <w:lang w:eastAsia="ja-JP"/>
        </w:rPr>
      </w:pPr>
      <w:r w:rsidRPr="00390777">
        <w:rPr>
          <w:color w:val="000000"/>
          <w:sz w:val="24"/>
          <w:szCs w:val="24"/>
          <w:lang w:eastAsia="ja-JP"/>
        </w:rPr>
        <w:t>Colon38 were inoculated subcutaneously into the flanks of human CD137 knock-in mice. After the tumor</w:t>
      </w:r>
      <w:r w:rsidR="009F6BE3" w:rsidRPr="00390777">
        <w:rPr>
          <w:color w:val="000000"/>
          <w:sz w:val="24"/>
          <w:szCs w:val="24"/>
          <w:lang w:eastAsia="ja-JP"/>
        </w:rPr>
        <w:t>s were</w:t>
      </w:r>
      <w:r w:rsidRPr="00390777">
        <w:rPr>
          <w:color w:val="000000"/>
          <w:sz w:val="24"/>
          <w:szCs w:val="24"/>
          <w:lang w:eastAsia="ja-JP"/>
        </w:rPr>
        <w:t xml:space="preserve"> established, tumors, livers, and spleens were removed from mice treated with Alexa Fluor 488 labeled anti-human CD137 antibodies or control antibody on day 1 after the treatment. Antibody labeling by Alexa Fluor 488 Antibody Labeling Kit (Thermo Fisher Scientific) was conducted according to the manufacturer’s protocol. Tumors or livers were digested, processed, and enriched into single cell suspensions with tumor or liver dissociation kit followed by red blood-cell lysis. All reagents in cell dissociation and blood-cell lysis were used in the presence of 100 μM ATP. Single cell suspensions from spleen were obtained with nylon mesh followed by red blood-cell lysis. AutoMACS Rinsing Solution (Miltenyi Biotec) containing 100 </w:t>
      </w:r>
      <w:r w:rsidRPr="00390777">
        <w:rPr>
          <w:rFonts w:ascii="Symbol" w:hAnsi="Symbol"/>
          <w:color w:val="000000"/>
          <w:sz w:val="24"/>
          <w:szCs w:val="24"/>
          <w:lang w:eastAsia="ja-JP"/>
        </w:rPr>
        <w:t></w:t>
      </w:r>
      <w:r w:rsidRPr="00390777">
        <w:rPr>
          <w:color w:val="000000"/>
          <w:sz w:val="24"/>
          <w:szCs w:val="24"/>
          <w:lang w:eastAsia="ja-JP"/>
        </w:rPr>
        <w:t>M ATP and MACS BSA Stock Solution (Miltenyi Biotec) was used as buffer for staining. Cells were analyzed by LSRFortessa™ X-20.</w:t>
      </w:r>
    </w:p>
    <w:p w14:paraId="2D6E3C5F" w14:textId="77777777" w:rsidR="00B50976" w:rsidRPr="00390777" w:rsidRDefault="00B50976" w:rsidP="00A061DA">
      <w:pPr>
        <w:spacing w:line="480" w:lineRule="auto"/>
        <w:rPr>
          <w:color w:val="000000"/>
          <w:sz w:val="24"/>
          <w:szCs w:val="24"/>
          <w:lang w:eastAsia="ja-JP"/>
        </w:rPr>
      </w:pPr>
    </w:p>
    <w:p w14:paraId="790EDFBA" w14:textId="77777777" w:rsidR="00B50976" w:rsidRPr="00390777" w:rsidRDefault="00B50976" w:rsidP="00A061DA">
      <w:pPr>
        <w:spacing w:line="480" w:lineRule="auto"/>
        <w:rPr>
          <w:b/>
          <w:color w:val="000000"/>
          <w:sz w:val="24"/>
          <w:szCs w:val="24"/>
        </w:rPr>
      </w:pPr>
      <w:r w:rsidRPr="00390777">
        <w:rPr>
          <w:b/>
          <w:color w:val="000000"/>
          <w:sz w:val="24"/>
          <w:szCs w:val="24"/>
        </w:rPr>
        <w:t>Repeat dose toxicity study in cynomolgus monkeys</w:t>
      </w:r>
    </w:p>
    <w:p w14:paraId="4AA9CCE5" w14:textId="5E139713" w:rsidR="00B50976" w:rsidRPr="00390777" w:rsidRDefault="00B50976" w:rsidP="00A061DA">
      <w:pPr>
        <w:spacing w:line="480" w:lineRule="auto"/>
        <w:rPr>
          <w:b/>
          <w:color w:val="000000"/>
          <w:sz w:val="24"/>
          <w:szCs w:val="24"/>
        </w:rPr>
      </w:pPr>
      <w:r w:rsidRPr="00390777">
        <w:rPr>
          <w:color w:val="000000"/>
          <w:sz w:val="24"/>
          <w:szCs w:val="24"/>
        </w:rPr>
        <w:t xml:space="preserve">All cynomolgus monkey studies were conducted according to the </w:t>
      </w:r>
      <w:r w:rsidRPr="00390777">
        <w:rPr>
          <w:color w:val="000000"/>
          <w:sz w:val="24"/>
          <w:szCs w:val="24"/>
          <w:lang w:eastAsia="ja-JP"/>
        </w:rPr>
        <w:t>policies</w:t>
      </w:r>
      <w:r w:rsidR="00F46547" w:rsidRPr="00390777">
        <w:rPr>
          <w:color w:val="000000"/>
          <w:sz w:val="24"/>
          <w:szCs w:val="24"/>
        </w:rPr>
        <w:t xml:space="preserve"> of the IACUC</w:t>
      </w:r>
      <w:r w:rsidRPr="00390777">
        <w:rPr>
          <w:color w:val="000000"/>
          <w:sz w:val="24"/>
          <w:szCs w:val="24"/>
        </w:rPr>
        <w:t xml:space="preserve"> using purpose-bred, naïve, cynomolgus monkeys of </w:t>
      </w:r>
      <w:r w:rsidRPr="00390777">
        <w:rPr>
          <w:rFonts w:hint="eastAsia"/>
          <w:color w:val="000000"/>
          <w:sz w:val="24"/>
          <w:szCs w:val="24"/>
          <w:lang w:eastAsia="ja-JP"/>
        </w:rPr>
        <w:t>Cambodia</w:t>
      </w:r>
      <w:r w:rsidRPr="00390777">
        <w:rPr>
          <w:color w:val="000000"/>
          <w:sz w:val="24"/>
          <w:szCs w:val="24"/>
          <w:lang w:eastAsia="ja-JP"/>
        </w:rPr>
        <w:t>n</w:t>
      </w:r>
      <w:r w:rsidRPr="00390777">
        <w:rPr>
          <w:color w:val="000000"/>
          <w:sz w:val="24"/>
          <w:szCs w:val="24"/>
        </w:rPr>
        <w:t xml:space="preserve"> origin. </w:t>
      </w:r>
      <w:r w:rsidRPr="00390777">
        <w:rPr>
          <w:color w:val="000000"/>
          <w:sz w:val="24"/>
          <w:szCs w:val="24"/>
        </w:rPr>
        <w:lastRenderedPageBreak/>
        <w:t>STA551 was administered intravenously at dose levels of 0 (control), 5, 30, and 150 mg/kg/week to male and female cynomolgus monkeys (3 males and 3 females per group) for 4 weeks. Comprehensive toxicity evaluation, including pathology, was completed. A detailed toxicity profile of STA551 is not described here, since it is beyond the scope of this report.</w:t>
      </w:r>
    </w:p>
    <w:p w14:paraId="6F263D70" w14:textId="77777777" w:rsidR="00B50976" w:rsidRPr="00390777" w:rsidRDefault="00B50976" w:rsidP="00A061DA">
      <w:pPr>
        <w:spacing w:line="480" w:lineRule="auto"/>
        <w:rPr>
          <w:color w:val="000000"/>
          <w:sz w:val="24"/>
          <w:szCs w:val="24"/>
        </w:rPr>
      </w:pPr>
    </w:p>
    <w:p w14:paraId="290FE022" w14:textId="77777777" w:rsidR="00B50976" w:rsidRPr="00390777" w:rsidRDefault="00B50976" w:rsidP="00A061DA">
      <w:pPr>
        <w:autoSpaceDE w:val="0"/>
        <w:autoSpaceDN w:val="0"/>
        <w:adjustRightInd w:val="0"/>
        <w:spacing w:line="480" w:lineRule="auto"/>
        <w:rPr>
          <w:b/>
          <w:color w:val="000000"/>
          <w:sz w:val="24"/>
          <w:szCs w:val="24"/>
        </w:rPr>
      </w:pPr>
      <w:r w:rsidRPr="00390777">
        <w:rPr>
          <w:b/>
          <w:color w:val="000000"/>
          <w:sz w:val="24"/>
          <w:szCs w:val="24"/>
        </w:rPr>
        <w:t>Pharmacokinetic studies</w:t>
      </w:r>
    </w:p>
    <w:p w14:paraId="6116484C" w14:textId="7E8E04E2" w:rsidR="00B50976" w:rsidRPr="00390777" w:rsidRDefault="00B50976" w:rsidP="00A061DA">
      <w:pPr>
        <w:autoSpaceDE w:val="0"/>
        <w:autoSpaceDN w:val="0"/>
        <w:adjustRightInd w:val="0"/>
        <w:spacing w:line="480" w:lineRule="auto"/>
        <w:rPr>
          <w:b/>
          <w:color w:val="000000"/>
          <w:sz w:val="24"/>
          <w:szCs w:val="24"/>
        </w:rPr>
      </w:pPr>
      <w:r w:rsidRPr="00390777">
        <w:rPr>
          <w:color w:val="000000"/>
          <w:sz w:val="24"/>
          <w:szCs w:val="24"/>
        </w:rPr>
        <w:t xml:space="preserve">All mouse and cynomolgus monkey studies were conducted </w:t>
      </w:r>
      <w:r w:rsidRPr="00390777">
        <w:rPr>
          <w:color w:val="000000"/>
          <w:sz w:val="24"/>
          <w:szCs w:val="24"/>
          <w:lang w:eastAsia="ja-JP"/>
        </w:rPr>
        <w:t>according to the policies of the IACUC.</w:t>
      </w:r>
      <w:r w:rsidRPr="00390777">
        <w:rPr>
          <w:rFonts w:hint="eastAsia"/>
          <w:b/>
          <w:color w:val="000000"/>
          <w:sz w:val="24"/>
          <w:szCs w:val="24"/>
          <w:lang w:eastAsia="ja-JP"/>
        </w:rPr>
        <w:t xml:space="preserve"> </w:t>
      </w:r>
      <w:r w:rsidRPr="00390777">
        <w:rPr>
          <w:color w:val="000000" w:themeColor="text1"/>
          <w:sz w:val="24"/>
          <w:szCs w:val="24"/>
        </w:rPr>
        <w:t>All mice received 7.5 mg/kg of Ure-</w:t>
      </w:r>
      <w:r w:rsidR="00F31E68" w:rsidRPr="00390777">
        <w:rPr>
          <w:color w:val="000000" w:themeColor="text1"/>
          <w:sz w:val="24"/>
          <w:szCs w:val="24"/>
        </w:rPr>
        <w:t>MB or Sta-MB (Fig.3</w:t>
      </w:r>
      <w:r w:rsidRPr="00390777">
        <w:rPr>
          <w:color w:val="000000" w:themeColor="text1"/>
          <w:sz w:val="24"/>
          <w:szCs w:val="24"/>
        </w:rPr>
        <w:t>D)</w:t>
      </w:r>
      <w:r w:rsidRPr="00390777">
        <w:rPr>
          <w:color w:val="000000" w:themeColor="text1"/>
          <w:sz w:val="24"/>
          <w:szCs w:val="24"/>
          <w:lang w:eastAsia="ja-JP"/>
        </w:rPr>
        <w:t xml:space="preserve">. Tumor bearing or non-tumor bearing human CD137 knock-in mice </w:t>
      </w:r>
      <w:r w:rsidRPr="00390777">
        <w:rPr>
          <w:color w:val="000000" w:themeColor="text1"/>
          <w:sz w:val="24"/>
          <w:szCs w:val="24"/>
        </w:rPr>
        <w:t>received 0.3 mg/kg of Ure-MB or Sta-MB (Fig.S14</w:t>
      </w:r>
      <w:r w:rsidR="0086180A" w:rsidRPr="00390777">
        <w:rPr>
          <w:color w:val="000000" w:themeColor="text1"/>
          <w:sz w:val="24"/>
          <w:szCs w:val="24"/>
        </w:rPr>
        <w:t>A-B</w:t>
      </w:r>
      <w:r w:rsidRPr="00390777">
        <w:rPr>
          <w:color w:val="000000" w:themeColor="text1"/>
          <w:sz w:val="24"/>
          <w:szCs w:val="24"/>
        </w:rPr>
        <w:t>)</w:t>
      </w:r>
      <w:r w:rsidRPr="00390777">
        <w:rPr>
          <w:color w:val="000000" w:themeColor="text1"/>
          <w:sz w:val="24"/>
          <w:szCs w:val="24"/>
          <w:lang w:eastAsia="ja-JP"/>
        </w:rPr>
        <w:t xml:space="preserve">. </w:t>
      </w:r>
      <w:r w:rsidRPr="00390777">
        <w:rPr>
          <w:color w:val="000000"/>
          <w:sz w:val="24"/>
          <w:szCs w:val="24"/>
        </w:rPr>
        <w:t xml:space="preserve">The concentration of Sta-MB and Ure-MB in plasma in wild type mice and human CD137 knock-in mice was measured by an electrochemiluminescence immunoassay (ECLIA). Ure-MB was captured on a plate coated with human CD137 and detected using biotinylated anti-mouse IgG antibody and SULFO-TAG labeled streptavidin. Sta-MB was captured and detected in the presence of ADP in the same manner as Ure-MB. The concentration of STA551 in cynomolgus monkey plasma was </w:t>
      </w:r>
      <w:r w:rsidRPr="00390777">
        <w:rPr>
          <w:color w:val="000000"/>
          <w:sz w:val="24"/>
          <w:szCs w:val="24"/>
          <w:lang w:eastAsia="ja-JP"/>
        </w:rPr>
        <w:t>measured</w:t>
      </w:r>
      <w:r w:rsidRPr="00390777">
        <w:rPr>
          <w:color w:val="000000"/>
          <w:sz w:val="24"/>
          <w:szCs w:val="24"/>
        </w:rPr>
        <w:t xml:space="preserve"> by an ELISA. STA551 was captured on a plate coated with human CD137 in the presence of ADP and detected with anti-human IgG </w:t>
      </w:r>
      <w:r w:rsidRPr="00390777">
        <w:rPr>
          <w:color w:val="000000"/>
          <w:sz w:val="24"/>
          <w:szCs w:val="24"/>
        </w:rPr>
        <w:lastRenderedPageBreak/>
        <w:t>horseradish peroxidase conjugated antibody. Anti-STA551 antibodies in cynomolgus monkey plasma were detected by ELISA using biotin-labeled STA551 and digoxigenin-labeled STA551.</w:t>
      </w:r>
      <w:r w:rsidRPr="00390777">
        <w:rPr>
          <w:color w:val="000000"/>
          <w:sz w:val="24"/>
          <w:szCs w:val="24"/>
          <w:lang w:eastAsia="ja-JP"/>
        </w:rPr>
        <w:t xml:space="preserve"> </w:t>
      </w:r>
      <w:r w:rsidRPr="00390777">
        <w:rPr>
          <w:color w:val="000000"/>
          <w:sz w:val="24"/>
          <w:szCs w:val="24"/>
        </w:rPr>
        <w:t>P</w:t>
      </w:r>
      <w:r w:rsidRPr="00390777">
        <w:rPr>
          <w:color w:val="000000" w:themeColor="text1"/>
          <w:sz w:val="24"/>
          <w:szCs w:val="24"/>
        </w:rPr>
        <w:t>harmacokinetics</w:t>
      </w:r>
      <w:r w:rsidRPr="00390777">
        <w:rPr>
          <w:color w:val="000000"/>
          <w:sz w:val="24"/>
          <w:szCs w:val="24"/>
        </w:rPr>
        <w:t xml:space="preserve"> parameters were estimated using non-compartmental analysis (Phoenix WinNonlin</w:t>
      </w:r>
      <w:r w:rsidRPr="00390777">
        <w:rPr>
          <w:color w:val="000000"/>
          <w:sz w:val="24"/>
          <w:szCs w:val="24"/>
          <w:vertAlign w:val="superscript"/>
        </w:rPr>
        <w:t>®</w:t>
      </w:r>
      <w:r w:rsidRPr="00390777">
        <w:rPr>
          <w:color w:val="000000"/>
          <w:sz w:val="24"/>
          <w:szCs w:val="24"/>
        </w:rPr>
        <w:t xml:space="preserve"> </w:t>
      </w:r>
      <w:r w:rsidRPr="00390777">
        <w:rPr>
          <w:color w:val="000000"/>
          <w:sz w:val="24"/>
          <w:szCs w:val="24"/>
          <w:lang w:eastAsia="ja-JP"/>
        </w:rPr>
        <w:t>6.4</w:t>
      </w:r>
      <w:r w:rsidRPr="00390777">
        <w:rPr>
          <w:color w:val="000000"/>
          <w:sz w:val="24"/>
          <w:szCs w:val="24"/>
        </w:rPr>
        <w:t xml:space="preserve"> Certara).</w:t>
      </w:r>
    </w:p>
    <w:p w14:paraId="2EE0848C" w14:textId="77777777" w:rsidR="00B50976" w:rsidRPr="00390777" w:rsidRDefault="00B50976" w:rsidP="00A061DA">
      <w:pPr>
        <w:spacing w:line="480" w:lineRule="auto"/>
        <w:rPr>
          <w:rFonts w:eastAsiaTheme="minorEastAsia"/>
          <w:b/>
          <w:color w:val="000000" w:themeColor="text1"/>
          <w:sz w:val="24"/>
          <w:szCs w:val="24"/>
          <w:lang w:eastAsia="ja-JP"/>
        </w:rPr>
      </w:pPr>
    </w:p>
    <w:p w14:paraId="7649A8C7" w14:textId="77777777" w:rsidR="00B50976" w:rsidRPr="00390777" w:rsidRDefault="00B50976" w:rsidP="00A061DA">
      <w:pPr>
        <w:spacing w:line="480" w:lineRule="auto"/>
        <w:rPr>
          <w:b/>
          <w:color w:val="000000"/>
          <w:sz w:val="24"/>
          <w:szCs w:val="24"/>
          <w:lang w:eastAsia="ja-JP"/>
        </w:rPr>
      </w:pPr>
      <w:r w:rsidRPr="00390777">
        <w:rPr>
          <w:b/>
          <w:color w:val="000000"/>
          <w:sz w:val="24"/>
          <w:szCs w:val="24"/>
        </w:rPr>
        <w:t>Antibody-mediated cell depletions</w:t>
      </w:r>
    </w:p>
    <w:p w14:paraId="02DCC3CC" w14:textId="77777777" w:rsidR="00B50976" w:rsidRPr="00390777" w:rsidRDefault="00B50976" w:rsidP="00A061DA">
      <w:pPr>
        <w:spacing w:line="480" w:lineRule="auto"/>
        <w:rPr>
          <w:b/>
          <w:color w:val="000000"/>
          <w:sz w:val="24"/>
          <w:szCs w:val="24"/>
        </w:rPr>
      </w:pPr>
      <w:r w:rsidRPr="00390777">
        <w:rPr>
          <w:color w:val="000000"/>
          <w:sz w:val="24"/>
          <w:szCs w:val="24"/>
        </w:rPr>
        <w:t>Cell subsets were depleted by intravenous administration of cell depleting antibody beginning one day before the first treatment of Sta-MB. CD8</w:t>
      </w:r>
      <w:r w:rsidRPr="00390777">
        <w:rPr>
          <w:color w:val="000000"/>
          <w:sz w:val="24"/>
          <w:szCs w:val="24"/>
          <w:vertAlign w:val="superscript"/>
        </w:rPr>
        <w:t>+</w:t>
      </w:r>
      <w:r w:rsidRPr="00390777">
        <w:rPr>
          <w:color w:val="000000"/>
          <w:sz w:val="24"/>
          <w:szCs w:val="24"/>
        </w:rPr>
        <w:t xml:space="preserve"> T cells, CD4</w:t>
      </w:r>
      <w:r w:rsidRPr="00390777">
        <w:rPr>
          <w:color w:val="000000"/>
          <w:sz w:val="24"/>
          <w:szCs w:val="24"/>
          <w:vertAlign w:val="superscript"/>
        </w:rPr>
        <w:t>+</w:t>
      </w:r>
      <w:r w:rsidRPr="00390777">
        <w:rPr>
          <w:color w:val="000000"/>
          <w:sz w:val="24"/>
          <w:szCs w:val="24"/>
        </w:rPr>
        <w:t xml:space="preserve"> T cells, NK cells, neutrophils, or macrophages were depleted with 500 μg of anti-CD8 antibody (clone 2.43), anti-CD4 antibody (clone GK1.5), anti-NK1.1 antibody (clone PK136), and anti-Ly-6G antibody (clone 1A8), twice a week. B cells were depleted with 250 μg of anti-CD20 antibody (clone SA271G2) once before the first treatment with Sta-MB. Macrophages were depleted with 300 μL of clodronate liposomes (Liposoma). Antibodies to CD8, CD4, NK1.1 and Ly-6G were purchased from BioXcell, and antibody to CD20 was purchased from BioLegend.</w:t>
      </w:r>
    </w:p>
    <w:p w14:paraId="6A5012FE" w14:textId="77777777" w:rsidR="00B50976" w:rsidRPr="00390777" w:rsidRDefault="00B50976" w:rsidP="00A061DA">
      <w:pPr>
        <w:spacing w:line="480" w:lineRule="auto"/>
        <w:rPr>
          <w:color w:val="000000"/>
          <w:sz w:val="24"/>
          <w:szCs w:val="24"/>
        </w:rPr>
      </w:pPr>
    </w:p>
    <w:p w14:paraId="1CF588B9" w14:textId="77777777" w:rsidR="00B50976" w:rsidRPr="00390777" w:rsidRDefault="00B50976" w:rsidP="00A061DA">
      <w:pPr>
        <w:spacing w:line="480" w:lineRule="auto"/>
        <w:rPr>
          <w:b/>
          <w:color w:val="000000"/>
          <w:sz w:val="24"/>
          <w:szCs w:val="24"/>
        </w:rPr>
      </w:pPr>
      <w:r w:rsidRPr="00390777">
        <w:rPr>
          <w:b/>
          <w:color w:val="000000"/>
          <w:sz w:val="24"/>
          <w:szCs w:val="24"/>
        </w:rPr>
        <w:t>Liver enzyme analysis</w:t>
      </w:r>
    </w:p>
    <w:p w14:paraId="128AE1A6" w14:textId="77777777" w:rsidR="00B50976" w:rsidRPr="00390777" w:rsidRDefault="00B50976" w:rsidP="00A061DA">
      <w:pPr>
        <w:spacing w:line="480" w:lineRule="auto"/>
        <w:rPr>
          <w:color w:val="000000"/>
          <w:sz w:val="24"/>
          <w:szCs w:val="24"/>
        </w:rPr>
      </w:pPr>
      <w:r w:rsidRPr="00390777">
        <w:rPr>
          <w:color w:val="000000"/>
          <w:sz w:val="24"/>
          <w:szCs w:val="24"/>
        </w:rPr>
        <w:lastRenderedPageBreak/>
        <w:t>After the tumors were established, mice were intravenously administered Sta-MB and intraperitoneally administered anti-PD-L1 antibody at day 0 and day 3. Four days after initiating treatment, blood was drawn and serum levels of alanine transaminase (ALT) and aspartate transaminase (AST) were measured by Automatic analyzer TBA-120FR (Canon Medical Systems).</w:t>
      </w:r>
    </w:p>
    <w:p w14:paraId="74FF58DF" w14:textId="77777777" w:rsidR="00B50976" w:rsidRPr="00390777" w:rsidRDefault="00B50976" w:rsidP="00A061DA">
      <w:pPr>
        <w:spacing w:line="480" w:lineRule="auto"/>
        <w:rPr>
          <w:b/>
          <w:color w:val="000000"/>
          <w:sz w:val="24"/>
          <w:szCs w:val="24"/>
        </w:rPr>
      </w:pPr>
    </w:p>
    <w:p w14:paraId="5DF1AFD5" w14:textId="069C1B88" w:rsidR="00A061DA" w:rsidRPr="00390777" w:rsidRDefault="006E242B" w:rsidP="00A061DA">
      <w:pPr>
        <w:spacing w:line="480" w:lineRule="auto"/>
        <w:rPr>
          <w:rFonts w:eastAsiaTheme="minorEastAsia"/>
          <w:b/>
          <w:color w:val="000000" w:themeColor="text1"/>
          <w:sz w:val="24"/>
          <w:szCs w:val="24"/>
          <w:lang w:eastAsia="ja-JP"/>
        </w:rPr>
      </w:pPr>
      <w:r w:rsidRPr="00390777">
        <w:rPr>
          <w:rFonts w:eastAsiaTheme="minorEastAsia"/>
          <w:b/>
          <w:color w:val="000000" w:themeColor="text1"/>
          <w:sz w:val="24"/>
          <w:szCs w:val="24"/>
          <w:lang w:eastAsia="ja-JP"/>
        </w:rPr>
        <w:t xml:space="preserve">Supplementary </w:t>
      </w:r>
      <w:r w:rsidR="00A061DA" w:rsidRPr="00390777">
        <w:rPr>
          <w:rFonts w:eastAsiaTheme="minorEastAsia"/>
          <w:b/>
          <w:color w:val="000000" w:themeColor="text1"/>
          <w:sz w:val="24"/>
          <w:szCs w:val="24"/>
          <w:lang w:eastAsia="ja-JP"/>
        </w:rPr>
        <w:t>References.</w:t>
      </w:r>
    </w:p>
    <w:p w14:paraId="2AC27369" w14:textId="7773D342" w:rsidR="00342DFE" w:rsidRPr="00390777" w:rsidRDefault="00342DFE" w:rsidP="00342DFE">
      <w:pPr>
        <w:pStyle w:val="EndNoteBibliography"/>
        <w:ind w:left="720" w:hanging="720"/>
      </w:pPr>
      <w:r w:rsidRPr="00390777">
        <w:t>49.</w:t>
      </w:r>
      <w:r w:rsidRPr="00390777">
        <w:tab/>
        <w:t>Mimoto F, Igawa T, Kuramochi T, Katada H, Kadono S, Kamikawa T</w:t>
      </w:r>
      <w:r w:rsidRPr="00390777">
        <w:rPr>
          <w:i/>
        </w:rPr>
        <w:t>, et al.</w:t>
      </w:r>
      <w:r w:rsidRPr="00390777">
        <w:t xml:space="preserve"> Novel asymmetrically engineered antibody Fc variant with superior FcγR binding affinity and specificity compared with afucosylated Fc variant. MAbs </w:t>
      </w:r>
      <w:r w:rsidRPr="00390777">
        <w:rPr>
          <w:b/>
        </w:rPr>
        <w:t>2013</w:t>
      </w:r>
      <w:r w:rsidRPr="00390777">
        <w:t>;5(2):229-36.</w:t>
      </w:r>
    </w:p>
    <w:p w14:paraId="00D248AF" w14:textId="317C7633" w:rsidR="00342DFE" w:rsidRPr="00390777" w:rsidRDefault="00342DFE" w:rsidP="00342DFE">
      <w:pPr>
        <w:pStyle w:val="EndNoteBibliography"/>
        <w:ind w:left="720" w:hanging="720"/>
      </w:pPr>
      <w:r w:rsidRPr="00390777">
        <w:t>50.</w:t>
      </w:r>
      <w:r w:rsidRPr="00390777">
        <w:tab/>
        <w:t xml:space="preserve">Hulme EC, Trevethick MA. Ligand binding assays at equilibrium: validation and interpretation. Br J Pharmacol </w:t>
      </w:r>
      <w:r w:rsidRPr="00390777">
        <w:rPr>
          <w:b/>
        </w:rPr>
        <w:t>2010</w:t>
      </w:r>
      <w:r w:rsidRPr="00390777">
        <w:t>;161(6):1219-37.</w:t>
      </w:r>
    </w:p>
    <w:p w14:paraId="1790CDDE" w14:textId="4600DAD2" w:rsidR="00A061DA" w:rsidRPr="00390777" w:rsidRDefault="00A061DA" w:rsidP="00A061DA">
      <w:pPr>
        <w:pStyle w:val="EndNoteBibliography"/>
        <w:ind w:left="720" w:hanging="720"/>
      </w:pPr>
      <w:r w:rsidRPr="00390777">
        <w:t>51.</w:t>
      </w:r>
      <w:r w:rsidRPr="00390777">
        <w:tab/>
        <w:t>Osoegawa K, Mammoser AG, Wu C, Frengen E, Zeng C, Catanese JJ</w:t>
      </w:r>
      <w:r w:rsidRPr="00390777">
        <w:rPr>
          <w:i/>
        </w:rPr>
        <w:t>, et al.</w:t>
      </w:r>
      <w:r w:rsidRPr="00390777">
        <w:t xml:space="preserve"> A bacterial artificial chromosome library for sequencing the complete human genome. Genome Res </w:t>
      </w:r>
      <w:r w:rsidRPr="00390777">
        <w:rPr>
          <w:b/>
        </w:rPr>
        <w:t>2001</w:t>
      </w:r>
      <w:r w:rsidRPr="00390777">
        <w:t>;11</w:t>
      </w:r>
      <w:r w:rsidR="00BE1CE8" w:rsidRPr="00390777">
        <w:t>(3):483-96</w:t>
      </w:r>
      <w:r w:rsidRPr="00390777">
        <w:t>.</w:t>
      </w:r>
    </w:p>
    <w:p w14:paraId="2936765F" w14:textId="0C3DD12D" w:rsidR="00A061DA" w:rsidRPr="00390777" w:rsidRDefault="00A061DA" w:rsidP="00A061DA">
      <w:pPr>
        <w:pStyle w:val="EndNoteBibliography"/>
        <w:ind w:left="720" w:hanging="720"/>
      </w:pPr>
      <w:r w:rsidRPr="00390777">
        <w:t>52.</w:t>
      </w:r>
      <w:r w:rsidRPr="00390777">
        <w:tab/>
        <w:t xml:space="preserve">Zhang Y, Buchholz F, Muyrers JP, Stewart AF. A new logic for DNA engineering using recombination in Escherichia coli. Nat Genet </w:t>
      </w:r>
      <w:r w:rsidRPr="00390777">
        <w:rPr>
          <w:b/>
        </w:rPr>
        <w:t>1998</w:t>
      </w:r>
      <w:r w:rsidR="00BE1CE8" w:rsidRPr="00390777">
        <w:t>;20(2):123-8</w:t>
      </w:r>
      <w:r w:rsidRPr="00390777">
        <w:t>.</w:t>
      </w:r>
    </w:p>
    <w:p w14:paraId="2967E13F" w14:textId="0231DDD4" w:rsidR="00A061DA" w:rsidRPr="00390777" w:rsidRDefault="00A061DA" w:rsidP="00A061DA">
      <w:pPr>
        <w:pStyle w:val="EndNoteBibliography"/>
        <w:ind w:left="720" w:hanging="720"/>
      </w:pPr>
      <w:r w:rsidRPr="00390777">
        <w:t>53.</w:t>
      </w:r>
      <w:r w:rsidRPr="00390777">
        <w:tab/>
        <w:t xml:space="preserve">Li B, Dewey CN. RSEM: accurate transcript quantification from RNA-Seq data with or without a reference genome. BMC Bioinformatics </w:t>
      </w:r>
      <w:r w:rsidRPr="00390777">
        <w:rPr>
          <w:b/>
        </w:rPr>
        <w:t>2011</w:t>
      </w:r>
      <w:r w:rsidRPr="00390777">
        <w:t>;12:</w:t>
      </w:r>
      <w:r w:rsidR="00BE1CE8" w:rsidRPr="00390777">
        <w:t>323</w:t>
      </w:r>
      <w:r w:rsidRPr="00390777">
        <w:t>.</w:t>
      </w:r>
    </w:p>
    <w:p w14:paraId="1138F359" w14:textId="4953C514" w:rsidR="00A061DA" w:rsidRPr="00390777" w:rsidRDefault="00A061DA" w:rsidP="00A061DA">
      <w:pPr>
        <w:pStyle w:val="EndNoteBibliography"/>
        <w:ind w:left="720" w:hanging="720"/>
      </w:pPr>
      <w:r w:rsidRPr="00390777">
        <w:t>54.</w:t>
      </w:r>
      <w:r w:rsidRPr="00390777">
        <w:tab/>
        <w:t>Li X-Y, Moesta AK, Xiao C, Nakamura K, Casey M, Zhang H</w:t>
      </w:r>
      <w:r w:rsidRPr="00390777">
        <w:rPr>
          <w:i/>
        </w:rPr>
        <w:t>, et al.</w:t>
      </w:r>
      <w:r w:rsidRPr="00390777">
        <w:t xml:space="preserve"> Targeting CD39 in Cancer Reveals an Extracellular ATP- and Inflammasome-Driven Tumor Immunity. Cancer Discov </w:t>
      </w:r>
      <w:r w:rsidRPr="00390777">
        <w:rPr>
          <w:b/>
        </w:rPr>
        <w:t>2019</w:t>
      </w:r>
      <w:r w:rsidR="008D513C" w:rsidRPr="00390777">
        <w:t>;12:1754-1773</w:t>
      </w:r>
      <w:r w:rsidRPr="00390777">
        <w:t>.</w:t>
      </w:r>
    </w:p>
    <w:p w14:paraId="50DC5F6B" w14:textId="60987086" w:rsidR="00A061DA" w:rsidRPr="00390777" w:rsidRDefault="00A061DA" w:rsidP="00A061DA">
      <w:pPr>
        <w:pStyle w:val="EndNoteBibliography"/>
        <w:ind w:left="720" w:hanging="720"/>
      </w:pPr>
      <w:r w:rsidRPr="00390777">
        <w:t>55.</w:t>
      </w:r>
      <w:r w:rsidRPr="00390777">
        <w:tab/>
        <w:t>Yang H, Geng Y-H, Wang P, Zhou Y-T, Yang H, Huo Y-F</w:t>
      </w:r>
      <w:r w:rsidRPr="00390777">
        <w:rPr>
          <w:i/>
        </w:rPr>
        <w:t>, et al.</w:t>
      </w:r>
      <w:r w:rsidRPr="00390777">
        <w:t xml:space="preserve"> Extracellular ATP promotes breast cancer invasion and epithelial-mesenchymal transition via hypoxia-inducible factor 2α signaling. Cancer Sci </w:t>
      </w:r>
      <w:r w:rsidRPr="00390777">
        <w:rPr>
          <w:b/>
        </w:rPr>
        <w:t>2019</w:t>
      </w:r>
      <w:r w:rsidRPr="00390777">
        <w:t>;110(8):2456-70.</w:t>
      </w:r>
    </w:p>
    <w:p w14:paraId="31456DA7" w14:textId="335284E3" w:rsidR="00A061DA" w:rsidRPr="00390777" w:rsidRDefault="00A061DA" w:rsidP="00A061DA">
      <w:pPr>
        <w:pStyle w:val="EndNoteBibliography"/>
        <w:ind w:left="720" w:hanging="720"/>
      </w:pPr>
      <w:r w:rsidRPr="00390777">
        <w:t>56.</w:t>
      </w:r>
      <w:r w:rsidRPr="00390777">
        <w:tab/>
        <w:t xml:space="preserve">Gombault A, Baron L, Couillin I. ATP release and purinergic signaling in NLRP3 inflammasome activation. Front Immunol </w:t>
      </w:r>
      <w:r w:rsidRPr="00390777">
        <w:rPr>
          <w:b/>
        </w:rPr>
        <w:t>2012</w:t>
      </w:r>
      <w:r w:rsidRPr="00390777">
        <w:t>;3:414.</w:t>
      </w:r>
    </w:p>
    <w:p w14:paraId="4F8C7B14" w14:textId="215F8262" w:rsidR="00A061DA" w:rsidRPr="00390777" w:rsidRDefault="00A061DA" w:rsidP="00A061DA">
      <w:pPr>
        <w:pStyle w:val="EndNoteBibliography"/>
        <w:ind w:left="720" w:hanging="720"/>
      </w:pPr>
      <w:r w:rsidRPr="00390777">
        <w:t>57.</w:t>
      </w:r>
      <w:r w:rsidRPr="00390777">
        <w:tab/>
        <w:t>Söllner JF, Leparc G, Hildebrandt T, Klein H, Thomas L, Stupka E</w:t>
      </w:r>
      <w:r w:rsidRPr="00390777">
        <w:rPr>
          <w:i/>
        </w:rPr>
        <w:t>, et al.</w:t>
      </w:r>
      <w:r w:rsidRPr="00390777">
        <w:t xml:space="preserve"> An RNA-Seq atlas of gene expression in mouse and rat normal tissues. Scientific Data </w:t>
      </w:r>
      <w:r w:rsidRPr="00390777">
        <w:rPr>
          <w:b/>
        </w:rPr>
        <w:t>2017</w:t>
      </w:r>
      <w:r w:rsidRPr="00390777">
        <w:t>;4(1):1</w:t>
      </w:r>
      <w:r w:rsidR="00BE1CE8" w:rsidRPr="00390777">
        <w:t>70185</w:t>
      </w:r>
      <w:r w:rsidRPr="00390777">
        <w:t>.</w:t>
      </w:r>
    </w:p>
    <w:p w14:paraId="5B5A9F2E" w14:textId="1285089B" w:rsidR="00A061DA" w:rsidRPr="00390777" w:rsidRDefault="00A061DA" w:rsidP="00A061DA">
      <w:pPr>
        <w:pStyle w:val="EndNoteBibliography"/>
        <w:ind w:left="720" w:hanging="720"/>
        <w:rPr>
          <w:lang w:eastAsia="ja-JP"/>
        </w:rPr>
      </w:pPr>
      <w:r w:rsidRPr="00390777">
        <w:lastRenderedPageBreak/>
        <w:t>58.</w:t>
      </w:r>
      <w:r w:rsidRPr="00390777">
        <w:tab/>
        <w:t>Mariathasan S, Turley SJ, Nickles D, Castiglioni A, Yuen K, Wang Y</w:t>
      </w:r>
      <w:r w:rsidRPr="00390777">
        <w:rPr>
          <w:i/>
        </w:rPr>
        <w:t>, et al.</w:t>
      </w:r>
      <w:r w:rsidRPr="00390777">
        <w:t xml:space="preserve"> TGFβ attenuates tumour response to PD-L1 blockade by contributing to exclusion of T cells. Nature </w:t>
      </w:r>
      <w:r w:rsidRPr="00390777">
        <w:rPr>
          <w:b/>
        </w:rPr>
        <w:t>2018</w:t>
      </w:r>
      <w:r w:rsidRPr="00390777">
        <w:t>;554:544</w:t>
      </w:r>
      <w:r w:rsidR="00BE1CE8" w:rsidRPr="00390777">
        <w:rPr>
          <w:rFonts w:hint="eastAsia"/>
          <w:lang w:eastAsia="ja-JP"/>
        </w:rPr>
        <w:t>.</w:t>
      </w:r>
    </w:p>
    <w:p w14:paraId="63DB4E3F" w14:textId="14A7EE83" w:rsidR="00A061DA" w:rsidRPr="00D23307" w:rsidRDefault="00A061DA" w:rsidP="00D23307">
      <w:pPr>
        <w:pStyle w:val="EndNoteBibliography"/>
        <w:ind w:left="720" w:hanging="720"/>
      </w:pPr>
      <w:r w:rsidRPr="00390777">
        <w:t>59.</w:t>
      </w:r>
      <w:r w:rsidRPr="00390777">
        <w:tab/>
        <w:t>McDermott DF, Huseni MA, Atkins MB, Motzer RJ, Rini BI, Escudier B</w:t>
      </w:r>
      <w:r w:rsidRPr="00390777">
        <w:rPr>
          <w:i/>
        </w:rPr>
        <w:t>, et al.</w:t>
      </w:r>
      <w:r w:rsidRPr="00390777">
        <w:t xml:space="preserve"> Clinical activity and molecular correlates of response to atezolizumab alone or in combination with bevacizumab versus sunitinib in renal cell carcinoma. Nat Med </w:t>
      </w:r>
      <w:r w:rsidRPr="00390777">
        <w:rPr>
          <w:b/>
        </w:rPr>
        <w:t>2018</w:t>
      </w:r>
      <w:r w:rsidRPr="00390777">
        <w:t>;24(6):749-57.</w:t>
      </w:r>
    </w:p>
    <w:sectPr w:rsidR="00A061DA" w:rsidRPr="00D23307" w:rsidSect="00742B01">
      <w:footerReference w:type="default" r:id="rId42"/>
      <w:headerReference w:type="first" r:id="rId43"/>
      <w:footerReference w:type="first" r:id="rId44"/>
      <w:pgSz w:w="11906" w:h="16838"/>
      <w:pgMar w:top="1985" w:right="1701" w:bottom="1701" w:left="1701" w:header="851" w:footer="992" w:gutter="0"/>
      <w:lnNumType w:countBy="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33759B" w14:textId="77777777" w:rsidR="00824541" w:rsidRDefault="00824541" w:rsidP="00554D43">
      <w:r>
        <w:separator/>
      </w:r>
    </w:p>
  </w:endnote>
  <w:endnote w:type="continuationSeparator" w:id="0">
    <w:p w14:paraId="255D93ED" w14:textId="77777777" w:rsidR="00824541" w:rsidRDefault="00824541" w:rsidP="00554D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notTrueType/>
    <w:pitch w:val="fixed"/>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BlissRegular">
    <w:altName w:val="Times New Roman"/>
    <w:panose1 w:val="00000000000000000000"/>
    <w:charset w:val="00"/>
    <w:family w:val="roman"/>
    <w:notTrueType/>
    <w:pitch w:val="variable"/>
    <w:sig w:usb0="00000003" w:usb1="00000000" w:usb2="00000000" w:usb3="00000000" w:csb0="00000001" w:csb1="00000000"/>
  </w:font>
  <w:font w:name="BlissMedium">
    <w:altName w:val="Times New Roman"/>
    <w:panose1 w:val="00000000000000000000"/>
    <w:charset w:val="00"/>
    <w:family w:val="roman"/>
    <w:notTrueType/>
    <w:pitch w:val="variable"/>
    <w:sig w:usb0="00000003" w:usb1="00000000" w:usb2="00000000" w:usb3="00000000" w:csb0="00000001" w:csb1="00000000"/>
  </w:font>
  <w:font w:name="BlissBold">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dvTTaf7f9f4f.B">
    <w:altName w:val="Arial"/>
    <w:panose1 w:val="00000000000000000000"/>
    <w:charset w:val="00"/>
    <w:family w:val="swiss"/>
    <w:notTrueType/>
    <w:pitch w:val="default"/>
    <w:sig w:usb0="00000003" w:usb1="00000000" w:usb2="00000000" w:usb3="00000000" w:csb0="0000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sz w:val="28"/>
        <w:szCs w:val="28"/>
        <w:lang w:val="ja-JP" w:eastAsia="ja-JP"/>
      </w:rPr>
      <w:id w:val="1914279155"/>
      <w:docPartObj>
        <w:docPartGallery w:val="Page Numbers (Bottom of Page)"/>
        <w:docPartUnique/>
      </w:docPartObj>
    </w:sdtPr>
    <w:sdtEndPr>
      <w:rPr>
        <w:lang w:val="en-US" w:eastAsia="en-US"/>
      </w:rPr>
    </w:sdtEndPr>
    <w:sdtContent>
      <w:p w14:paraId="43B9871A" w14:textId="77777777" w:rsidR="00A061DA" w:rsidRDefault="00A061DA">
        <w:pPr>
          <w:pStyle w:val="af"/>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lang w:val="ja-JP" w:eastAsia="ja-JP"/>
          </w:rPr>
          <w:t xml:space="preserve">p. </w:t>
        </w: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sidR="00390777" w:rsidRPr="00390777">
          <w:rPr>
            <w:rFonts w:asciiTheme="majorHAnsi" w:eastAsiaTheme="majorEastAsia" w:hAnsiTheme="majorHAnsi" w:cstheme="majorBidi"/>
            <w:noProof/>
            <w:sz w:val="28"/>
            <w:szCs w:val="28"/>
            <w:lang w:val="ja-JP" w:eastAsia="ja-JP"/>
          </w:rPr>
          <w:t>51</w:t>
        </w:r>
        <w:r>
          <w:rPr>
            <w:rFonts w:asciiTheme="majorHAnsi" w:eastAsiaTheme="majorEastAsia" w:hAnsiTheme="majorHAnsi" w:cstheme="majorBidi"/>
            <w:sz w:val="28"/>
            <w:szCs w:val="28"/>
          </w:rPr>
          <w:fldChar w:fldCharType="end"/>
        </w:r>
      </w:p>
    </w:sdtContent>
  </w:sdt>
  <w:p w14:paraId="3F80C11B" w14:textId="77777777" w:rsidR="00A061DA" w:rsidRDefault="00A061DA">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sz w:val="28"/>
        <w:szCs w:val="28"/>
        <w:lang w:val="ja-JP" w:eastAsia="ja-JP"/>
      </w:rPr>
      <w:id w:val="-372073572"/>
      <w:docPartObj>
        <w:docPartGallery w:val="Page Numbers (Bottom of Page)"/>
        <w:docPartUnique/>
      </w:docPartObj>
    </w:sdtPr>
    <w:sdtEndPr>
      <w:rPr>
        <w:lang w:val="en-US" w:eastAsia="en-US"/>
      </w:rPr>
    </w:sdtEndPr>
    <w:sdtContent>
      <w:p w14:paraId="35F76D64" w14:textId="77777777" w:rsidR="00A061DA" w:rsidRDefault="00A061DA">
        <w:pPr>
          <w:pStyle w:val="af"/>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lang w:val="ja-JP" w:eastAsia="ja-JP"/>
          </w:rPr>
          <w:t xml:space="preserve">p. </w:t>
        </w: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sidRPr="0088064A">
          <w:rPr>
            <w:rFonts w:asciiTheme="majorHAnsi" w:eastAsiaTheme="majorEastAsia" w:hAnsiTheme="majorHAnsi" w:cstheme="majorBidi"/>
            <w:noProof/>
            <w:sz w:val="28"/>
            <w:szCs w:val="28"/>
            <w:lang w:val="ja-JP" w:eastAsia="ja-JP"/>
          </w:rPr>
          <w:t>1</w:t>
        </w:r>
        <w:r>
          <w:rPr>
            <w:rFonts w:asciiTheme="majorHAnsi" w:eastAsiaTheme="majorEastAsia" w:hAnsiTheme="majorHAnsi" w:cstheme="majorBidi"/>
            <w:sz w:val="28"/>
            <w:szCs w:val="28"/>
          </w:rPr>
          <w:fldChar w:fldCharType="end"/>
        </w:r>
      </w:p>
    </w:sdtContent>
  </w:sdt>
  <w:p w14:paraId="702C748F" w14:textId="77777777" w:rsidR="00A061DA" w:rsidRDefault="00A061DA" w:rsidP="00A061DA">
    <w:pPr>
      <w:pStyle w:val="af"/>
      <w:tabs>
        <w:tab w:val="clear" w:pos="4320"/>
        <w:tab w:val="clear" w:pos="8640"/>
        <w:tab w:val="left" w:pos="1392"/>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DC618B" w14:textId="77777777" w:rsidR="00824541" w:rsidRDefault="00824541" w:rsidP="00554D43">
      <w:r>
        <w:separator/>
      </w:r>
    </w:p>
  </w:footnote>
  <w:footnote w:type="continuationSeparator" w:id="0">
    <w:p w14:paraId="0C73C619" w14:textId="77777777" w:rsidR="00824541" w:rsidRDefault="00824541" w:rsidP="00554D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120985" w14:textId="77777777" w:rsidR="00A061DA" w:rsidRDefault="00A061DA" w:rsidP="00A061DA">
    <w:pPr>
      <w:pStyle w:val="af2"/>
    </w:pPr>
    <w:r>
      <w:tab/>
    </w:r>
  </w:p>
  <w:p w14:paraId="3B040B22" w14:textId="77777777" w:rsidR="00A061DA" w:rsidRDefault="00A061DA" w:rsidP="00A061DA">
    <w:pPr>
      <w:pStyle w:val="af2"/>
    </w:pPr>
  </w:p>
  <w:p w14:paraId="252BECB2" w14:textId="77777777" w:rsidR="00A061DA" w:rsidRPr="00204015" w:rsidRDefault="00A061DA" w:rsidP="00A061DA">
    <w:pPr>
      <w:pStyle w:val="af2"/>
    </w:pPr>
    <w:r>
      <w:tab/>
    </w:r>
    <w:r w:rsidRPr="00204015">
      <w:t>Submitted Manuscript:  Confidential</w:t>
    </w:r>
    <w:r>
      <w:tab/>
      <w:t xml:space="preserve">             </w:t>
    </w:r>
  </w:p>
  <w:p w14:paraId="21243E3C" w14:textId="77777777" w:rsidR="00A061DA" w:rsidRDefault="00A061DA" w:rsidP="00A061DA">
    <w:pPr>
      <w:pStyle w:val="af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C8306B6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2C0A9C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FF8797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7B8ABE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8FC955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C76FFC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C34C55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C06808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50088B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C8A39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F5345A"/>
    <w:multiLevelType w:val="hybridMultilevel"/>
    <w:tmpl w:val="4BB49520"/>
    <w:lvl w:ilvl="0" w:tplc="51EC4DE0">
      <w:start w:val="1"/>
      <w:numFmt w:val="upperLetter"/>
      <w:lvlText w:val="%1."/>
      <w:lvlJc w:val="left"/>
      <w:pPr>
        <w:tabs>
          <w:tab w:val="num" w:pos="720"/>
        </w:tabs>
        <w:ind w:left="720" w:hanging="360"/>
      </w:pPr>
    </w:lvl>
    <w:lvl w:ilvl="1" w:tplc="21AE7722" w:tentative="1">
      <w:start w:val="1"/>
      <w:numFmt w:val="upperLetter"/>
      <w:lvlText w:val="%2."/>
      <w:lvlJc w:val="left"/>
      <w:pPr>
        <w:tabs>
          <w:tab w:val="num" w:pos="1440"/>
        </w:tabs>
        <w:ind w:left="1440" w:hanging="360"/>
      </w:pPr>
    </w:lvl>
    <w:lvl w:ilvl="2" w:tplc="B418788A" w:tentative="1">
      <w:start w:val="1"/>
      <w:numFmt w:val="upperLetter"/>
      <w:lvlText w:val="%3."/>
      <w:lvlJc w:val="left"/>
      <w:pPr>
        <w:tabs>
          <w:tab w:val="num" w:pos="2160"/>
        </w:tabs>
        <w:ind w:left="2160" w:hanging="360"/>
      </w:pPr>
    </w:lvl>
    <w:lvl w:ilvl="3" w:tplc="D74ADD88" w:tentative="1">
      <w:start w:val="1"/>
      <w:numFmt w:val="upperLetter"/>
      <w:lvlText w:val="%4."/>
      <w:lvlJc w:val="left"/>
      <w:pPr>
        <w:tabs>
          <w:tab w:val="num" w:pos="2880"/>
        </w:tabs>
        <w:ind w:left="2880" w:hanging="360"/>
      </w:pPr>
    </w:lvl>
    <w:lvl w:ilvl="4" w:tplc="231C3578" w:tentative="1">
      <w:start w:val="1"/>
      <w:numFmt w:val="upperLetter"/>
      <w:lvlText w:val="%5."/>
      <w:lvlJc w:val="left"/>
      <w:pPr>
        <w:tabs>
          <w:tab w:val="num" w:pos="3600"/>
        </w:tabs>
        <w:ind w:left="3600" w:hanging="360"/>
      </w:pPr>
    </w:lvl>
    <w:lvl w:ilvl="5" w:tplc="BFB28548" w:tentative="1">
      <w:start w:val="1"/>
      <w:numFmt w:val="upperLetter"/>
      <w:lvlText w:val="%6."/>
      <w:lvlJc w:val="left"/>
      <w:pPr>
        <w:tabs>
          <w:tab w:val="num" w:pos="4320"/>
        </w:tabs>
        <w:ind w:left="4320" w:hanging="360"/>
      </w:pPr>
    </w:lvl>
    <w:lvl w:ilvl="6" w:tplc="963CFC40" w:tentative="1">
      <w:start w:val="1"/>
      <w:numFmt w:val="upperLetter"/>
      <w:lvlText w:val="%7."/>
      <w:lvlJc w:val="left"/>
      <w:pPr>
        <w:tabs>
          <w:tab w:val="num" w:pos="5040"/>
        </w:tabs>
        <w:ind w:left="5040" w:hanging="360"/>
      </w:pPr>
    </w:lvl>
    <w:lvl w:ilvl="7" w:tplc="A642E1B0" w:tentative="1">
      <w:start w:val="1"/>
      <w:numFmt w:val="upperLetter"/>
      <w:lvlText w:val="%8."/>
      <w:lvlJc w:val="left"/>
      <w:pPr>
        <w:tabs>
          <w:tab w:val="num" w:pos="5760"/>
        </w:tabs>
        <w:ind w:left="5760" w:hanging="360"/>
      </w:pPr>
    </w:lvl>
    <w:lvl w:ilvl="8" w:tplc="DD7EB97C" w:tentative="1">
      <w:start w:val="1"/>
      <w:numFmt w:val="upperLetter"/>
      <w:lvlText w:val="%9."/>
      <w:lvlJc w:val="left"/>
      <w:pPr>
        <w:tabs>
          <w:tab w:val="num" w:pos="6480"/>
        </w:tabs>
        <w:ind w:left="6480" w:hanging="360"/>
      </w:pPr>
    </w:lvl>
  </w:abstractNum>
  <w:abstractNum w:abstractNumId="11" w15:restartNumberingAfterBreak="0">
    <w:nsid w:val="1478067D"/>
    <w:multiLevelType w:val="hybridMultilevel"/>
    <w:tmpl w:val="9FB67F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6A14BBB"/>
    <w:multiLevelType w:val="multilevel"/>
    <w:tmpl w:val="15AE0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8122159"/>
    <w:multiLevelType w:val="multilevel"/>
    <w:tmpl w:val="01F0D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8741C55"/>
    <w:multiLevelType w:val="hybridMultilevel"/>
    <w:tmpl w:val="8834AA24"/>
    <w:lvl w:ilvl="0" w:tplc="07E2C296">
      <w:start w:val="1"/>
      <w:numFmt w:val="decimalFullWidth"/>
      <w:lvlText w:val="%1）"/>
      <w:lvlJc w:val="left"/>
      <w:pPr>
        <w:ind w:left="432" w:hanging="432"/>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2FF44D96"/>
    <w:multiLevelType w:val="multilevel"/>
    <w:tmpl w:val="6F0E0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125746F"/>
    <w:multiLevelType w:val="hybridMultilevel"/>
    <w:tmpl w:val="9FB67F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6"/>
  </w:num>
  <w:num w:numId="13">
    <w:abstractNumId w:val="12"/>
  </w:num>
  <w:num w:numId="14">
    <w:abstractNumId w:val="13"/>
  </w:num>
  <w:num w:numId="15">
    <w:abstractNumId w:val="15"/>
  </w:num>
  <w:num w:numId="16">
    <w:abstractNumId w:val="10"/>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5"/>
  <w:bordersDoNotSurroundHeader/>
  <w:bordersDoNotSurroundFooter/>
  <w:defaultTabStop w:val="840"/>
  <w:drawingGridHorizontalSpacing w:val="10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B50976"/>
    <w:rsid w:val="00034BF4"/>
    <w:rsid w:val="0011077D"/>
    <w:rsid w:val="0014309F"/>
    <w:rsid w:val="00183A2E"/>
    <w:rsid w:val="001D662D"/>
    <w:rsid w:val="001E3E1B"/>
    <w:rsid w:val="00212183"/>
    <w:rsid w:val="00241438"/>
    <w:rsid w:val="00276ACF"/>
    <w:rsid w:val="00297019"/>
    <w:rsid w:val="00297B42"/>
    <w:rsid w:val="002A5F86"/>
    <w:rsid w:val="002B40B9"/>
    <w:rsid w:val="002B7416"/>
    <w:rsid w:val="002C14FC"/>
    <w:rsid w:val="002D2DA2"/>
    <w:rsid w:val="002D577C"/>
    <w:rsid w:val="00342DFE"/>
    <w:rsid w:val="00374F15"/>
    <w:rsid w:val="00390777"/>
    <w:rsid w:val="00395426"/>
    <w:rsid w:val="003A6740"/>
    <w:rsid w:val="00413D99"/>
    <w:rsid w:val="00420EC8"/>
    <w:rsid w:val="0042125E"/>
    <w:rsid w:val="00431F12"/>
    <w:rsid w:val="00451E54"/>
    <w:rsid w:val="00465890"/>
    <w:rsid w:val="00470CA5"/>
    <w:rsid w:val="004A4900"/>
    <w:rsid w:val="004B692B"/>
    <w:rsid w:val="004C7625"/>
    <w:rsid w:val="00521F80"/>
    <w:rsid w:val="005374C6"/>
    <w:rsid w:val="00554D43"/>
    <w:rsid w:val="005659DE"/>
    <w:rsid w:val="0057006D"/>
    <w:rsid w:val="0059175B"/>
    <w:rsid w:val="00594987"/>
    <w:rsid w:val="005961EB"/>
    <w:rsid w:val="00596462"/>
    <w:rsid w:val="005A0E96"/>
    <w:rsid w:val="005B17AE"/>
    <w:rsid w:val="005B593D"/>
    <w:rsid w:val="005C6F14"/>
    <w:rsid w:val="00600D9F"/>
    <w:rsid w:val="00623358"/>
    <w:rsid w:val="00666376"/>
    <w:rsid w:val="00673F49"/>
    <w:rsid w:val="006E242B"/>
    <w:rsid w:val="00726694"/>
    <w:rsid w:val="00731F59"/>
    <w:rsid w:val="007426B7"/>
    <w:rsid w:val="00742B01"/>
    <w:rsid w:val="007869B3"/>
    <w:rsid w:val="00792645"/>
    <w:rsid w:val="007B681D"/>
    <w:rsid w:val="007B6ABA"/>
    <w:rsid w:val="007D09BA"/>
    <w:rsid w:val="007D5525"/>
    <w:rsid w:val="0080000A"/>
    <w:rsid w:val="00824541"/>
    <w:rsid w:val="00852929"/>
    <w:rsid w:val="0086180A"/>
    <w:rsid w:val="00880725"/>
    <w:rsid w:val="008C1CFA"/>
    <w:rsid w:val="008C46A7"/>
    <w:rsid w:val="008D513C"/>
    <w:rsid w:val="00902CCC"/>
    <w:rsid w:val="009175BB"/>
    <w:rsid w:val="00920D13"/>
    <w:rsid w:val="00937D59"/>
    <w:rsid w:val="009C66A2"/>
    <w:rsid w:val="009F6BE3"/>
    <w:rsid w:val="00A021BD"/>
    <w:rsid w:val="00A061DA"/>
    <w:rsid w:val="00A333D4"/>
    <w:rsid w:val="00A52371"/>
    <w:rsid w:val="00A762B0"/>
    <w:rsid w:val="00A95538"/>
    <w:rsid w:val="00AB1E8E"/>
    <w:rsid w:val="00AC2D03"/>
    <w:rsid w:val="00AD10A0"/>
    <w:rsid w:val="00AD6FFE"/>
    <w:rsid w:val="00B103B0"/>
    <w:rsid w:val="00B16ABD"/>
    <w:rsid w:val="00B50976"/>
    <w:rsid w:val="00B7593B"/>
    <w:rsid w:val="00BD19B2"/>
    <w:rsid w:val="00BE1CE8"/>
    <w:rsid w:val="00BF0DEC"/>
    <w:rsid w:val="00BF308A"/>
    <w:rsid w:val="00C03D32"/>
    <w:rsid w:val="00C0412F"/>
    <w:rsid w:val="00C1075B"/>
    <w:rsid w:val="00C354D2"/>
    <w:rsid w:val="00C358B2"/>
    <w:rsid w:val="00C86A85"/>
    <w:rsid w:val="00CD60C7"/>
    <w:rsid w:val="00D14177"/>
    <w:rsid w:val="00D23307"/>
    <w:rsid w:val="00D54E1C"/>
    <w:rsid w:val="00DA7B75"/>
    <w:rsid w:val="00DE4D07"/>
    <w:rsid w:val="00E341FC"/>
    <w:rsid w:val="00E424A2"/>
    <w:rsid w:val="00E43DB5"/>
    <w:rsid w:val="00E65E52"/>
    <w:rsid w:val="00EA441A"/>
    <w:rsid w:val="00EC61CB"/>
    <w:rsid w:val="00EE1A32"/>
    <w:rsid w:val="00EF597B"/>
    <w:rsid w:val="00F23621"/>
    <w:rsid w:val="00F31E68"/>
    <w:rsid w:val="00F34C1D"/>
    <w:rsid w:val="00F366B6"/>
    <w:rsid w:val="00F46547"/>
    <w:rsid w:val="00F5536B"/>
    <w:rsid w:val="00FA76F5"/>
    <w:rsid w:val="00FC5180"/>
    <w:rsid w:val="00FD4718"/>
    <w:rsid w:val="00FE333F"/>
    <w:rsid w:val="00FE572C"/>
    <w:rsid w:val="00FF04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201A406"/>
  <w15:chartTrackingRefBased/>
  <w15:docId w15:val="{99E665A9-589D-4CC2-ABF8-4337B3689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50976"/>
    <w:rPr>
      <w:rFonts w:ascii="Times New Roman" w:eastAsia="ＭＳ 明朝" w:hAnsi="Times New Roman" w:cs="Times New Roman"/>
      <w:kern w:val="0"/>
      <w:sz w:val="20"/>
      <w:szCs w:val="20"/>
      <w:lang w:eastAsia="en-US"/>
    </w:rPr>
  </w:style>
  <w:style w:type="paragraph" w:styleId="3">
    <w:name w:val="heading 3"/>
    <w:basedOn w:val="a"/>
    <w:link w:val="30"/>
    <w:uiPriority w:val="9"/>
    <w:qFormat/>
    <w:rsid w:val="00B50976"/>
    <w:pPr>
      <w:spacing w:before="100" w:beforeAutospacing="1" w:after="100" w:afterAutospacing="1"/>
      <w:outlineLvl w:val="2"/>
    </w:pPr>
    <w:rPr>
      <w:rFonts w:ascii="ＭＳ Ｐゴシック" w:eastAsia="ＭＳ Ｐゴシック" w:hAnsi="ＭＳ Ｐゴシック" w:cs="ＭＳ Ｐゴシック"/>
      <w:b/>
      <w:bCs/>
      <w:sz w:val="27"/>
      <w:szCs w:val="27"/>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見出し 3 (文字)"/>
    <w:basedOn w:val="a0"/>
    <w:link w:val="3"/>
    <w:uiPriority w:val="9"/>
    <w:rsid w:val="00B50976"/>
    <w:rPr>
      <w:rFonts w:ascii="ＭＳ Ｐゴシック" w:eastAsia="ＭＳ Ｐゴシック" w:hAnsi="ＭＳ Ｐゴシック" w:cs="ＭＳ Ｐゴシック"/>
      <w:b/>
      <w:bCs/>
      <w:kern w:val="0"/>
      <w:sz w:val="27"/>
      <w:szCs w:val="27"/>
    </w:rPr>
  </w:style>
  <w:style w:type="paragraph" w:customStyle="1" w:styleId="BaseText">
    <w:name w:val="Base_Text"/>
    <w:rsid w:val="00B50976"/>
    <w:pPr>
      <w:spacing w:before="120"/>
    </w:pPr>
    <w:rPr>
      <w:rFonts w:ascii="Times New Roman" w:eastAsia="Times New Roman" w:hAnsi="Times New Roman" w:cs="Times New Roman"/>
      <w:kern w:val="0"/>
      <w:sz w:val="24"/>
      <w:szCs w:val="24"/>
      <w:lang w:eastAsia="en-US"/>
    </w:rPr>
  </w:style>
  <w:style w:type="paragraph" w:customStyle="1" w:styleId="1stparatext">
    <w:name w:val="1st para text"/>
    <w:basedOn w:val="BaseText"/>
    <w:rsid w:val="00B50976"/>
  </w:style>
  <w:style w:type="paragraph" w:customStyle="1" w:styleId="BaseHeading">
    <w:name w:val="Base_Heading"/>
    <w:rsid w:val="00B50976"/>
    <w:pPr>
      <w:keepNext/>
      <w:spacing w:before="240"/>
      <w:outlineLvl w:val="0"/>
    </w:pPr>
    <w:rPr>
      <w:rFonts w:ascii="Times New Roman" w:eastAsia="Times New Roman" w:hAnsi="Times New Roman" w:cs="Times New Roman"/>
      <w:kern w:val="28"/>
      <w:sz w:val="28"/>
      <w:szCs w:val="28"/>
      <w:lang w:eastAsia="en-US"/>
    </w:rPr>
  </w:style>
  <w:style w:type="paragraph" w:customStyle="1" w:styleId="AbstractHead">
    <w:name w:val="Abstract Head"/>
    <w:basedOn w:val="BaseHeading"/>
    <w:rsid w:val="00B50976"/>
  </w:style>
  <w:style w:type="paragraph" w:customStyle="1" w:styleId="AbstractSummary">
    <w:name w:val="Abstract/Summary"/>
    <w:basedOn w:val="BaseText"/>
    <w:rsid w:val="00B50976"/>
  </w:style>
  <w:style w:type="paragraph" w:customStyle="1" w:styleId="Referencesandnotes">
    <w:name w:val="References and notes"/>
    <w:basedOn w:val="BaseText"/>
    <w:rsid w:val="00B50976"/>
    <w:pPr>
      <w:ind w:left="720" w:hanging="720"/>
    </w:pPr>
  </w:style>
  <w:style w:type="paragraph" w:customStyle="1" w:styleId="Acknowledgement">
    <w:name w:val="Acknowledgement"/>
    <w:basedOn w:val="Referencesandnotes"/>
    <w:rsid w:val="00B50976"/>
  </w:style>
  <w:style w:type="paragraph" w:customStyle="1" w:styleId="Subhead">
    <w:name w:val="Subhead"/>
    <w:basedOn w:val="BaseHeading"/>
    <w:rsid w:val="00B50976"/>
    <w:rPr>
      <w:b/>
      <w:bCs/>
      <w:sz w:val="24"/>
      <w:szCs w:val="24"/>
    </w:rPr>
  </w:style>
  <w:style w:type="paragraph" w:customStyle="1" w:styleId="AppendixHead">
    <w:name w:val="AppendixHead"/>
    <w:basedOn w:val="Subhead"/>
    <w:rsid w:val="00B50976"/>
  </w:style>
  <w:style w:type="paragraph" w:customStyle="1" w:styleId="AppendixSubhead">
    <w:name w:val="AppendixSubhead"/>
    <w:basedOn w:val="Subhead"/>
    <w:rsid w:val="00B50976"/>
  </w:style>
  <w:style w:type="paragraph" w:customStyle="1" w:styleId="Articletype">
    <w:name w:val="Article type"/>
    <w:basedOn w:val="BaseText"/>
    <w:rsid w:val="00B50976"/>
  </w:style>
  <w:style w:type="character" w:customStyle="1" w:styleId="aubase">
    <w:name w:val="au_base"/>
    <w:rsid w:val="00B50976"/>
    <w:rPr>
      <w:sz w:val="24"/>
    </w:rPr>
  </w:style>
  <w:style w:type="character" w:customStyle="1" w:styleId="aucollab">
    <w:name w:val="au_collab"/>
    <w:rsid w:val="00B50976"/>
    <w:rPr>
      <w:sz w:val="24"/>
      <w:bdr w:val="none" w:sz="0" w:space="0" w:color="auto"/>
      <w:shd w:val="clear" w:color="auto" w:fill="C0C0C0"/>
    </w:rPr>
  </w:style>
  <w:style w:type="character" w:customStyle="1" w:styleId="audeg">
    <w:name w:val="au_deg"/>
    <w:rsid w:val="00B50976"/>
    <w:rPr>
      <w:sz w:val="24"/>
      <w:bdr w:val="none" w:sz="0" w:space="0" w:color="auto"/>
      <w:shd w:val="clear" w:color="auto" w:fill="FFFF00"/>
    </w:rPr>
  </w:style>
  <w:style w:type="character" w:customStyle="1" w:styleId="aufname">
    <w:name w:val="au_fname"/>
    <w:rsid w:val="00B50976"/>
    <w:rPr>
      <w:sz w:val="24"/>
      <w:bdr w:val="none" w:sz="0" w:space="0" w:color="auto"/>
      <w:shd w:val="clear" w:color="auto" w:fill="00FFFF"/>
    </w:rPr>
  </w:style>
  <w:style w:type="character" w:customStyle="1" w:styleId="aurole">
    <w:name w:val="au_role"/>
    <w:rsid w:val="00B50976"/>
    <w:rPr>
      <w:sz w:val="24"/>
      <w:bdr w:val="none" w:sz="0" w:space="0" w:color="auto"/>
      <w:shd w:val="clear" w:color="auto" w:fill="808000"/>
    </w:rPr>
  </w:style>
  <w:style w:type="character" w:customStyle="1" w:styleId="ausuffix">
    <w:name w:val="au_suffix"/>
    <w:rsid w:val="00B50976"/>
    <w:rPr>
      <w:sz w:val="24"/>
      <w:bdr w:val="none" w:sz="0" w:space="0" w:color="auto"/>
      <w:shd w:val="clear" w:color="auto" w:fill="FF00FF"/>
    </w:rPr>
  </w:style>
  <w:style w:type="character" w:customStyle="1" w:styleId="ausurname">
    <w:name w:val="au_surname"/>
    <w:rsid w:val="00B50976"/>
    <w:rPr>
      <w:sz w:val="24"/>
      <w:bdr w:val="none" w:sz="0" w:space="0" w:color="auto"/>
      <w:shd w:val="clear" w:color="auto" w:fill="00FF00"/>
    </w:rPr>
  </w:style>
  <w:style w:type="paragraph" w:customStyle="1" w:styleId="AuthorAttribute">
    <w:name w:val="Author Attribute"/>
    <w:basedOn w:val="BaseText"/>
    <w:rsid w:val="00B50976"/>
    <w:pPr>
      <w:spacing w:before="480"/>
    </w:pPr>
  </w:style>
  <w:style w:type="paragraph" w:customStyle="1" w:styleId="Footnote">
    <w:name w:val="Footnote"/>
    <w:basedOn w:val="BaseText"/>
    <w:rsid w:val="00B50976"/>
  </w:style>
  <w:style w:type="paragraph" w:customStyle="1" w:styleId="AuthorFootnote">
    <w:name w:val="AuthorFootnote"/>
    <w:basedOn w:val="Footnote"/>
    <w:rsid w:val="00B50976"/>
    <w:pPr>
      <w:autoSpaceDE w:val="0"/>
      <w:autoSpaceDN w:val="0"/>
      <w:adjustRightInd w:val="0"/>
    </w:pPr>
    <w:rPr>
      <w:lang w:bidi="he-IL"/>
    </w:rPr>
  </w:style>
  <w:style w:type="paragraph" w:customStyle="1" w:styleId="Authors">
    <w:name w:val="Authors"/>
    <w:basedOn w:val="BaseText"/>
    <w:rsid w:val="00B50976"/>
    <w:pPr>
      <w:spacing w:after="360"/>
      <w:jc w:val="center"/>
    </w:pPr>
  </w:style>
  <w:style w:type="paragraph" w:styleId="a3">
    <w:name w:val="Balloon Text"/>
    <w:basedOn w:val="a"/>
    <w:link w:val="a4"/>
    <w:uiPriority w:val="99"/>
    <w:semiHidden/>
    <w:rsid w:val="00B50976"/>
    <w:rPr>
      <w:rFonts w:ascii="Lucida Grande" w:eastAsia="Times New Roman" w:hAnsi="Lucida Grande"/>
      <w:sz w:val="18"/>
      <w:szCs w:val="18"/>
    </w:rPr>
  </w:style>
  <w:style w:type="character" w:customStyle="1" w:styleId="a4">
    <w:name w:val="吹き出し (文字)"/>
    <w:link w:val="a3"/>
    <w:uiPriority w:val="99"/>
    <w:semiHidden/>
    <w:rsid w:val="00B50976"/>
    <w:rPr>
      <w:rFonts w:ascii="Lucida Grande" w:eastAsia="Times New Roman" w:hAnsi="Lucida Grande" w:cs="Times New Roman"/>
      <w:kern w:val="0"/>
      <w:sz w:val="18"/>
      <w:szCs w:val="18"/>
      <w:lang w:eastAsia="en-US"/>
    </w:rPr>
  </w:style>
  <w:style w:type="character" w:customStyle="1" w:styleId="bibarticle">
    <w:name w:val="bib_article"/>
    <w:rsid w:val="00B50976"/>
    <w:rPr>
      <w:sz w:val="24"/>
      <w:bdr w:val="none" w:sz="0" w:space="0" w:color="auto"/>
      <w:shd w:val="clear" w:color="auto" w:fill="00FFFF"/>
    </w:rPr>
  </w:style>
  <w:style w:type="character" w:customStyle="1" w:styleId="bibbase">
    <w:name w:val="bib_base"/>
    <w:rsid w:val="00B50976"/>
    <w:rPr>
      <w:sz w:val="24"/>
    </w:rPr>
  </w:style>
  <w:style w:type="character" w:customStyle="1" w:styleId="bibcomment">
    <w:name w:val="bib_comment"/>
    <w:basedOn w:val="bibbase"/>
    <w:rsid w:val="00B50976"/>
    <w:rPr>
      <w:sz w:val="24"/>
    </w:rPr>
  </w:style>
  <w:style w:type="character" w:customStyle="1" w:styleId="bibdeg">
    <w:name w:val="bib_deg"/>
    <w:basedOn w:val="bibbase"/>
    <w:rsid w:val="00B50976"/>
    <w:rPr>
      <w:sz w:val="24"/>
    </w:rPr>
  </w:style>
  <w:style w:type="character" w:customStyle="1" w:styleId="bibdoi">
    <w:name w:val="bib_doi"/>
    <w:rsid w:val="00B50976"/>
    <w:rPr>
      <w:sz w:val="24"/>
      <w:bdr w:val="none" w:sz="0" w:space="0" w:color="auto"/>
      <w:shd w:val="clear" w:color="auto" w:fill="00FF00"/>
    </w:rPr>
  </w:style>
  <w:style w:type="character" w:customStyle="1" w:styleId="bibetal">
    <w:name w:val="bib_etal"/>
    <w:rsid w:val="00B50976"/>
    <w:rPr>
      <w:sz w:val="24"/>
      <w:bdr w:val="none" w:sz="0" w:space="0" w:color="auto"/>
      <w:shd w:val="clear" w:color="auto" w:fill="008080"/>
    </w:rPr>
  </w:style>
  <w:style w:type="character" w:customStyle="1" w:styleId="bibfname">
    <w:name w:val="bib_fname"/>
    <w:rsid w:val="00B50976"/>
    <w:rPr>
      <w:sz w:val="24"/>
      <w:bdr w:val="none" w:sz="0" w:space="0" w:color="auto"/>
      <w:shd w:val="clear" w:color="auto" w:fill="FFFF00"/>
    </w:rPr>
  </w:style>
  <w:style w:type="character" w:customStyle="1" w:styleId="bibfpage">
    <w:name w:val="bib_fpage"/>
    <w:rsid w:val="00B50976"/>
    <w:rPr>
      <w:sz w:val="24"/>
      <w:bdr w:val="none" w:sz="0" w:space="0" w:color="auto"/>
      <w:shd w:val="clear" w:color="auto" w:fill="808080"/>
    </w:rPr>
  </w:style>
  <w:style w:type="character" w:customStyle="1" w:styleId="bibissue">
    <w:name w:val="bib_issue"/>
    <w:rsid w:val="00B50976"/>
    <w:rPr>
      <w:sz w:val="24"/>
      <w:bdr w:val="none" w:sz="0" w:space="0" w:color="auto"/>
      <w:shd w:val="clear" w:color="auto" w:fill="FFFF00"/>
    </w:rPr>
  </w:style>
  <w:style w:type="character" w:customStyle="1" w:styleId="bibjournal">
    <w:name w:val="bib_journal"/>
    <w:rsid w:val="00B50976"/>
    <w:rPr>
      <w:sz w:val="24"/>
      <w:bdr w:val="none" w:sz="0" w:space="0" w:color="auto"/>
      <w:shd w:val="clear" w:color="auto" w:fill="808000"/>
    </w:rPr>
  </w:style>
  <w:style w:type="character" w:customStyle="1" w:styleId="biblpage">
    <w:name w:val="bib_lpage"/>
    <w:rsid w:val="00B50976"/>
    <w:rPr>
      <w:sz w:val="24"/>
      <w:bdr w:val="none" w:sz="0" w:space="0" w:color="auto"/>
      <w:shd w:val="clear" w:color="auto" w:fill="808080"/>
    </w:rPr>
  </w:style>
  <w:style w:type="character" w:customStyle="1" w:styleId="bibmedline">
    <w:name w:val="bib_medline"/>
    <w:basedOn w:val="bibbase"/>
    <w:rsid w:val="00B50976"/>
    <w:rPr>
      <w:sz w:val="24"/>
    </w:rPr>
  </w:style>
  <w:style w:type="character" w:customStyle="1" w:styleId="bibnumber">
    <w:name w:val="bib_number"/>
    <w:basedOn w:val="bibbase"/>
    <w:rsid w:val="00B50976"/>
    <w:rPr>
      <w:sz w:val="24"/>
    </w:rPr>
  </w:style>
  <w:style w:type="character" w:customStyle="1" w:styleId="biborganization">
    <w:name w:val="bib_organization"/>
    <w:rsid w:val="00B50976"/>
    <w:rPr>
      <w:sz w:val="24"/>
      <w:bdr w:val="none" w:sz="0" w:space="0" w:color="auto"/>
      <w:shd w:val="clear" w:color="auto" w:fill="808000"/>
    </w:rPr>
  </w:style>
  <w:style w:type="character" w:customStyle="1" w:styleId="bibsuffix">
    <w:name w:val="bib_suffix"/>
    <w:basedOn w:val="bibbase"/>
    <w:rsid w:val="00B50976"/>
    <w:rPr>
      <w:sz w:val="24"/>
    </w:rPr>
  </w:style>
  <w:style w:type="character" w:customStyle="1" w:styleId="bibsuppl">
    <w:name w:val="bib_suppl"/>
    <w:rsid w:val="00B50976"/>
    <w:rPr>
      <w:sz w:val="24"/>
      <w:bdr w:val="none" w:sz="0" w:space="0" w:color="auto"/>
      <w:shd w:val="clear" w:color="auto" w:fill="FFFF00"/>
    </w:rPr>
  </w:style>
  <w:style w:type="character" w:customStyle="1" w:styleId="bibsurname">
    <w:name w:val="bib_surname"/>
    <w:rsid w:val="00B50976"/>
    <w:rPr>
      <w:sz w:val="24"/>
      <w:bdr w:val="none" w:sz="0" w:space="0" w:color="auto"/>
      <w:shd w:val="clear" w:color="auto" w:fill="FFFF00"/>
    </w:rPr>
  </w:style>
  <w:style w:type="character" w:customStyle="1" w:styleId="bibunpubl">
    <w:name w:val="bib_unpubl"/>
    <w:basedOn w:val="bibbase"/>
    <w:rsid w:val="00B50976"/>
    <w:rPr>
      <w:sz w:val="24"/>
    </w:rPr>
  </w:style>
  <w:style w:type="character" w:customStyle="1" w:styleId="biburl">
    <w:name w:val="bib_url"/>
    <w:rsid w:val="00B50976"/>
    <w:rPr>
      <w:sz w:val="24"/>
      <w:bdr w:val="none" w:sz="0" w:space="0" w:color="auto"/>
      <w:shd w:val="clear" w:color="auto" w:fill="00FF00"/>
    </w:rPr>
  </w:style>
  <w:style w:type="character" w:customStyle="1" w:styleId="bibvolume">
    <w:name w:val="bib_volume"/>
    <w:rsid w:val="00B50976"/>
    <w:rPr>
      <w:sz w:val="24"/>
      <w:bdr w:val="none" w:sz="0" w:space="0" w:color="auto"/>
      <w:shd w:val="clear" w:color="auto" w:fill="00FF00"/>
    </w:rPr>
  </w:style>
  <w:style w:type="character" w:customStyle="1" w:styleId="bibyear">
    <w:name w:val="bib_year"/>
    <w:rsid w:val="00B50976"/>
    <w:rPr>
      <w:sz w:val="24"/>
      <w:bdr w:val="none" w:sz="0" w:space="0" w:color="auto"/>
      <w:shd w:val="clear" w:color="auto" w:fill="FF00FF"/>
    </w:rPr>
  </w:style>
  <w:style w:type="paragraph" w:customStyle="1" w:styleId="BookorMeetingInformation">
    <w:name w:val="Book or Meeting Information"/>
    <w:basedOn w:val="BaseText"/>
    <w:rsid w:val="00B50976"/>
  </w:style>
  <w:style w:type="paragraph" w:customStyle="1" w:styleId="BookInformation">
    <w:name w:val="BookInformation"/>
    <w:basedOn w:val="BaseText"/>
    <w:rsid w:val="00B50976"/>
  </w:style>
  <w:style w:type="paragraph" w:customStyle="1" w:styleId="Level2Head">
    <w:name w:val="Level 2 Head"/>
    <w:basedOn w:val="BaseHeading"/>
    <w:rsid w:val="00B50976"/>
    <w:pPr>
      <w:outlineLvl w:val="1"/>
    </w:pPr>
    <w:rPr>
      <w:i/>
      <w:iCs/>
      <w:sz w:val="24"/>
      <w:szCs w:val="24"/>
    </w:rPr>
  </w:style>
  <w:style w:type="paragraph" w:customStyle="1" w:styleId="BoxLevel2Head">
    <w:name w:val="BoxLevel 2 Head"/>
    <w:basedOn w:val="Level2Head"/>
    <w:rsid w:val="00B50976"/>
    <w:pPr>
      <w:shd w:val="clear" w:color="auto" w:fill="E6E6E6"/>
    </w:pPr>
  </w:style>
  <w:style w:type="paragraph" w:customStyle="1" w:styleId="BoxListUnnumbered">
    <w:name w:val="BoxListUnnumbered"/>
    <w:basedOn w:val="BaseText"/>
    <w:rsid w:val="00B50976"/>
    <w:pPr>
      <w:shd w:val="clear" w:color="auto" w:fill="E6E6E6"/>
      <w:ind w:left="1080" w:hanging="360"/>
    </w:pPr>
  </w:style>
  <w:style w:type="paragraph" w:customStyle="1" w:styleId="BoxList">
    <w:name w:val="BoxList"/>
    <w:basedOn w:val="BoxListUnnumbered"/>
    <w:rsid w:val="00B50976"/>
  </w:style>
  <w:style w:type="paragraph" w:customStyle="1" w:styleId="BoxSubhead">
    <w:name w:val="BoxSubhead"/>
    <w:basedOn w:val="Subhead"/>
    <w:rsid w:val="00B50976"/>
    <w:pPr>
      <w:shd w:val="clear" w:color="auto" w:fill="E6E6E6"/>
    </w:pPr>
  </w:style>
  <w:style w:type="paragraph" w:customStyle="1" w:styleId="Paragraph">
    <w:name w:val="Paragraph"/>
    <w:basedOn w:val="BaseText"/>
    <w:rsid w:val="00B50976"/>
    <w:pPr>
      <w:ind w:firstLine="720"/>
    </w:pPr>
  </w:style>
  <w:style w:type="paragraph" w:customStyle="1" w:styleId="BoxText">
    <w:name w:val="BoxText"/>
    <w:basedOn w:val="Paragraph"/>
    <w:rsid w:val="00B50976"/>
    <w:pPr>
      <w:shd w:val="clear" w:color="auto" w:fill="E6E6E6"/>
    </w:pPr>
  </w:style>
  <w:style w:type="paragraph" w:customStyle="1" w:styleId="BoxTitle">
    <w:name w:val="BoxTitle"/>
    <w:basedOn w:val="BaseHeading"/>
    <w:rsid w:val="00B50976"/>
    <w:pPr>
      <w:shd w:val="clear" w:color="auto" w:fill="E6E6E6"/>
    </w:pPr>
    <w:rPr>
      <w:b/>
      <w:sz w:val="24"/>
      <w:szCs w:val="24"/>
    </w:rPr>
  </w:style>
  <w:style w:type="paragraph" w:customStyle="1" w:styleId="BulletedText">
    <w:name w:val="Bulleted Text"/>
    <w:basedOn w:val="BaseText"/>
    <w:rsid w:val="00B50976"/>
    <w:pPr>
      <w:ind w:left="720" w:hanging="720"/>
    </w:pPr>
  </w:style>
  <w:style w:type="paragraph" w:customStyle="1" w:styleId="career-magazine">
    <w:name w:val="career-magazine"/>
    <w:basedOn w:val="BaseText"/>
    <w:rsid w:val="00B50976"/>
    <w:pPr>
      <w:jc w:val="right"/>
    </w:pPr>
    <w:rPr>
      <w:color w:val="FF0000"/>
    </w:rPr>
  </w:style>
  <w:style w:type="paragraph" w:customStyle="1" w:styleId="career-stage">
    <w:name w:val="career-stage"/>
    <w:basedOn w:val="BaseText"/>
    <w:rsid w:val="00B50976"/>
    <w:pPr>
      <w:jc w:val="right"/>
    </w:pPr>
    <w:rPr>
      <w:color w:val="339966"/>
    </w:rPr>
  </w:style>
  <w:style w:type="character" w:customStyle="1" w:styleId="citebase">
    <w:name w:val="cite_base"/>
    <w:rsid w:val="00B50976"/>
    <w:rPr>
      <w:sz w:val="24"/>
    </w:rPr>
  </w:style>
  <w:style w:type="character" w:customStyle="1" w:styleId="citebib">
    <w:name w:val="cite_bib"/>
    <w:rsid w:val="00B50976"/>
    <w:rPr>
      <w:sz w:val="24"/>
      <w:bdr w:val="none" w:sz="0" w:space="0" w:color="auto"/>
      <w:shd w:val="clear" w:color="auto" w:fill="00FFFF"/>
    </w:rPr>
  </w:style>
  <w:style w:type="character" w:customStyle="1" w:styleId="citebox">
    <w:name w:val="cite_box"/>
    <w:basedOn w:val="citebase"/>
    <w:rsid w:val="00B50976"/>
    <w:rPr>
      <w:sz w:val="24"/>
    </w:rPr>
  </w:style>
  <w:style w:type="character" w:customStyle="1" w:styleId="citeen">
    <w:name w:val="cite_en"/>
    <w:rsid w:val="00B50976"/>
    <w:rPr>
      <w:sz w:val="24"/>
      <w:shd w:val="clear" w:color="auto" w:fill="FFFF00"/>
      <w:vertAlign w:val="superscript"/>
    </w:rPr>
  </w:style>
  <w:style w:type="character" w:customStyle="1" w:styleId="citeeq">
    <w:name w:val="cite_eq"/>
    <w:rsid w:val="00B50976"/>
    <w:rPr>
      <w:sz w:val="24"/>
      <w:bdr w:val="none" w:sz="0" w:space="0" w:color="auto"/>
      <w:shd w:val="clear" w:color="auto" w:fill="FF99CC"/>
    </w:rPr>
  </w:style>
  <w:style w:type="character" w:customStyle="1" w:styleId="citefig">
    <w:name w:val="cite_fig"/>
    <w:rsid w:val="00B50976"/>
    <w:rPr>
      <w:color w:val="000000"/>
      <w:sz w:val="24"/>
      <w:bdr w:val="none" w:sz="0" w:space="0" w:color="auto"/>
      <w:shd w:val="clear" w:color="auto" w:fill="00FF00"/>
    </w:rPr>
  </w:style>
  <w:style w:type="character" w:customStyle="1" w:styleId="citefn">
    <w:name w:val="cite_fn"/>
    <w:rsid w:val="00B50976"/>
    <w:rPr>
      <w:sz w:val="24"/>
      <w:bdr w:val="none" w:sz="0" w:space="0" w:color="auto"/>
      <w:shd w:val="clear" w:color="auto" w:fill="FF0000"/>
    </w:rPr>
  </w:style>
  <w:style w:type="character" w:customStyle="1" w:styleId="citetbl">
    <w:name w:val="cite_tbl"/>
    <w:rsid w:val="00B50976"/>
    <w:rPr>
      <w:color w:val="000000"/>
      <w:sz w:val="24"/>
      <w:bdr w:val="none" w:sz="0" w:space="0" w:color="auto"/>
      <w:shd w:val="clear" w:color="auto" w:fill="FF00FF"/>
    </w:rPr>
  </w:style>
  <w:style w:type="character" w:styleId="a5">
    <w:name w:val="annotation reference"/>
    <w:uiPriority w:val="99"/>
    <w:rsid w:val="00B50976"/>
    <w:rPr>
      <w:sz w:val="18"/>
      <w:szCs w:val="18"/>
    </w:rPr>
  </w:style>
  <w:style w:type="paragraph" w:styleId="a6">
    <w:name w:val="annotation text"/>
    <w:basedOn w:val="a"/>
    <w:link w:val="a7"/>
    <w:uiPriority w:val="99"/>
    <w:rsid w:val="00B50976"/>
    <w:rPr>
      <w:rFonts w:eastAsia="Times New Roman"/>
    </w:rPr>
  </w:style>
  <w:style w:type="character" w:customStyle="1" w:styleId="a7">
    <w:name w:val="コメント文字列 (文字)"/>
    <w:link w:val="a6"/>
    <w:uiPriority w:val="99"/>
    <w:rsid w:val="00B50976"/>
    <w:rPr>
      <w:rFonts w:ascii="Times New Roman" w:eastAsia="Times New Roman" w:hAnsi="Times New Roman" w:cs="Times New Roman"/>
      <w:kern w:val="0"/>
      <w:sz w:val="20"/>
      <w:szCs w:val="20"/>
      <w:lang w:eastAsia="en-US"/>
    </w:rPr>
  </w:style>
  <w:style w:type="paragraph" w:styleId="a8">
    <w:name w:val="annotation subject"/>
    <w:basedOn w:val="a6"/>
    <w:next w:val="a6"/>
    <w:link w:val="a9"/>
    <w:uiPriority w:val="99"/>
    <w:semiHidden/>
    <w:unhideWhenUsed/>
    <w:rsid w:val="00B50976"/>
    <w:rPr>
      <w:b/>
      <w:bCs/>
    </w:rPr>
  </w:style>
  <w:style w:type="character" w:customStyle="1" w:styleId="a9">
    <w:name w:val="コメント内容 (文字)"/>
    <w:link w:val="a8"/>
    <w:uiPriority w:val="99"/>
    <w:semiHidden/>
    <w:rsid w:val="00B50976"/>
    <w:rPr>
      <w:rFonts w:ascii="Times New Roman" w:eastAsia="Times New Roman" w:hAnsi="Times New Roman" w:cs="Times New Roman"/>
      <w:b/>
      <w:bCs/>
      <w:kern w:val="0"/>
      <w:sz w:val="20"/>
      <w:szCs w:val="20"/>
      <w:lang w:eastAsia="en-US"/>
    </w:rPr>
  </w:style>
  <w:style w:type="paragraph" w:customStyle="1" w:styleId="ContinuedParagraph">
    <w:name w:val="ContinuedParagraph"/>
    <w:basedOn w:val="Paragraph"/>
    <w:rsid w:val="00B50976"/>
    <w:pPr>
      <w:ind w:firstLine="0"/>
    </w:pPr>
  </w:style>
  <w:style w:type="character" w:customStyle="1" w:styleId="ContractNumber">
    <w:name w:val="Contract Number"/>
    <w:rsid w:val="00B50976"/>
    <w:rPr>
      <w:sz w:val="24"/>
      <w:szCs w:val="24"/>
      <w:bdr w:val="none" w:sz="0" w:space="0" w:color="auto"/>
      <w:shd w:val="clear" w:color="auto" w:fill="CCFFCC"/>
    </w:rPr>
  </w:style>
  <w:style w:type="character" w:customStyle="1" w:styleId="ContractSponsor">
    <w:name w:val="Contract Sponsor"/>
    <w:rsid w:val="00B50976"/>
    <w:rPr>
      <w:sz w:val="24"/>
      <w:szCs w:val="24"/>
      <w:bdr w:val="none" w:sz="0" w:space="0" w:color="auto"/>
      <w:shd w:val="clear" w:color="auto" w:fill="FFCC99"/>
    </w:rPr>
  </w:style>
  <w:style w:type="paragraph" w:customStyle="1" w:styleId="Correspondence">
    <w:name w:val="Correspondence"/>
    <w:basedOn w:val="BaseText"/>
    <w:rsid w:val="00B50976"/>
    <w:pPr>
      <w:spacing w:before="0" w:after="240"/>
    </w:pPr>
  </w:style>
  <w:style w:type="paragraph" w:customStyle="1" w:styleId="DateAccepted">
    <w:name w:val="Date Accepted"/>
    <w:basedOn w:val="BaseText"/>
    <w:rsid w:val="00B50976"/>
    <w:pPr>
      <w:spacing w:before="360"/>
    </w:pPr>
  </w:style>
  <w:style w:type="paragraph" w:customStyle="1" w:styleId="Deck">
    <w:name w:val="Deck"/>
    <w:basedOn w:val="BaseHeading"/>
    <w:rsid w:val="00B50976"/>
    <w:pPr>
      <w:outlineLvl w:val="1"/>
    </w:pPr>
  </w:style>
  <w:style w:type="paragraph" w:customStyle="1" w:styleId="DefTerm">
    <w:name w:val="DefTerm"/>
    <w:basedOn w:val="BaseText"/>
    <w:rsid w:val="00B50976"/>
    <w:pPr>
      <w:ind w:left="720"/>
    </w:pPr>
  </w:style>
  <w:style w:type="paragraph" w:customStyle="1" w:styleId="Definition">
    <w:name w:val="Definition"/>
    <w:basedOn w:val="DefTerm"/>
    <w:rsid w:val="00B50976"/>
    <w:pPr>
      <w:ind w:left="1080" w:hanging="360"/>
    </w:pPr>
  </w:style>
  <w:style w:type="paragraph" w:customStyle="1" w:styleId="DefListTitle">
    <w:name w:val="DefListTitle"/>
    <w:basedOn w:val="BaseHeading"/>
    <w:rsid w:val="00B50976"/>
  </w:style>
  <w:style w:type="paragraph" w:customStyle="1" w:styleId="discipline">
    <w:name w:val="discipline"/>
    <w:basedOn w:val="BaseText"/>
    <w:rsid w:val="00B50976"/>
    <w:pPr>
      <w:jc w:val="right"/>
    </w:pPr>
    <w:rPr>
      <w:color w:val="993366"/>
    </w:rPr>
  </w:style>
  <w:style w:type="paragraph" w:customStyle="1" w:styleId="Editors">
    <w:name w:val="Editors"/>
    <w:basedOn w:val="Authors"/>
    <w:rsid w:val="00B50976"/>
  </w:style>
  <w:style w:type="character" w:styleId="aa">
    <w:name w:val="Emphasis"/>
    <w:uiPriority w:val="20"/>
    <w:qFormat/>
    <w:rsid w:val="00B50976"/>
    <w:rPr>
      <w:i/>
      <w:iCs/>
    </w:rPr>
  </w:style>
  <w:style w:type="character" w:styleId="ab">
    <w:name w:val="endnote reference"/>
    <w:semiHidden/>
    <w:rsid w:val="00B50976"/>
    <w:rPr>
      <w:vertAlign w:val="superscript"/>
    </w:rPr>
  </w:style>
  <w:style w:type="paragraph" w:styleId="ac">
    <w:name w:val="endnote text"/>
    <w:basedOn w:val="a"/>
    <w:link w:val="ad"/>
    <w:semiHidden/>
    <w:rsid w:val="00B50976"/>
    <w:rPr>
      <w:rFonts w:ascii="Cambria" w:eastAsia="Cambria" w:hAnsi="Cambria"/>
    </w:rPr>
  </w:style>
  <w:style w:type="character" w:customStyle="1" w:styleId="ad">
    <w:name w:val="文末脚注文字列 (文字)"/>
    <w:link w:val="ac"/>
    <w:semiHidden/>
    <w:rsid w:val="00B50976"/>
    <w:rPr>
      <w:rFonts w:ascii="Cambria" w:eastAsia="Cambria" w:hAnsi="Cambria" w:cs="Times New Roman"/>
      <w:kern w:val="0"/>
      <w:sz w:val="20"/>
      <w:szCs w:val="20"/>
      <w:lang w:eastAsia="en-US"/>
    </w:rPr>
  </w:style>
  <w:style w:type="character" w:customStyle="1" w:styleId="eqno">
    <w:name w:val="eq_no"/>
    <w:basedOn w:val="citebase"/>
    <w:rsid w:val="00B50976"/>
    <w:rPr>
      <w:sz w:val="24"/>
    </w:rPr>
  </w:style>
  <w:style w:type="paragraph" w:customStyle="1" w:styleId="Equation">
    <w:name w:val="Equation"/>
    <w:basedOn w:val="BaseText"/>
    <w:rsid w:val="00B50976"/>
    <w:pPr>
      <w:jc w:val="center"/>
    </w:pPr>
  </w:style>
  <w:style w:type="paragraph" w:customStyle="1" w:styleId="FieldCodes">
    <w:name w:val="FieldCodes"/>
    <w:basedOn w:val="BaseText"/>
    <w:rsid w:val="00B50976"/>
  </w:style>
  <w:style w:type="paragraph" w:customStyle="1" w:styleId="Legend">
    <w:name w:val="Legend"/>
    <w:basedOn w:val="BaseHeading"/>
    <w:rsid w:val="00B50976"/>
    <w:rPr>
      <w:sz w:val="24"/>
      <w:szCs w:val="24"/>
    </w:rPr>
  </w:style>
  <w:style w:type="paragraph" w:customStyle="1" w:styleId="FigureCopyright">
    <w:name w:val="FigureCopyright"/>
    <w:basedOn w:val="Legend"/>
    <w:rsid w:val="00B50976"/>
    <w:pPr>
      <w:autoSpaceDE w:val="0"/>
      <w:autoSpaceDN w:val="0"/>
      <w:adjustRightInd w:val="0"/>
      <w:spacing w:before="80"/>
    </w:pPr>
    <w:rPr>
      <w:lang w:bidi="he-IL"/>
    </w:rPr>
  </w:style>
  <w:style w:type="paragraph" w:customStyle="1" w:styleId="FigureCredit">
    <w:name w:val="FigureCredit"/>
    <w:basedOn w:val="FigureCopyright"/>
    <w:rsid w:val="00B50976"/>
  </w:style>
  <w:style w:type="character" w:styleId="ae">
    <w:name w:val="FollowedHyperlink"/>
    <w:rsid w:val="00B50976"/>
    <w:rPr>
      <w:color w:val="800080"/>
      <w:u w:val="single"/>
    </w:rPr>
  </w:style>
  <w:style w:type="paragraph" w:styleId="af">
    <w:name w:val="footer"/>
    <w:basedOn w:val="a"/>
    <w:link w:val="af0"/>
    <w:uiPriority w:val="99"/>
    <w:rsid w:val="00B50976"/>
    <w:pPr>
      <w:tabs>
        <w:tab w:val="center" w:pos="4320"/>
        <w:tab w:val="right" w:pos="8640"/>
      </w:tabs>
    </w:pPr>
    <w:rPr>
      <w:rFonts w:eastAsia="Times New Roman"/>
    </w:rPr>
  </w:style>
  <w:style w:type="character" w:customStyle="1" w:styleId="af0">
    <w:name w:val="フッター (文字)"/>
    <w:link w:val="af"/>
    <w:uiPriority w:val="99"/>
    <w:rsid w:val="00B50976"/>
    <w:rPr>
      <w:rFonts w:ascii="Times New Roman" w:eastAsia="Times New Roman" w:hAnsi="Times New Roman" w:cs="Times New Roman"/>
      <w:kern w:val="0"/>
      <w:sz w:val="20"/>
      <w:szCs w:val="20"/>
      <w:lang w:eastAsia="en-US"/>
    </w:rPr>
  </w:style>
  <w:style w:type="character" w:styleId="af1">
    <w:name w:val="footnote reference"/>
    <w:semiHidden/>
    <w:rsid w:val="00B50976"/>
    <w:rPr>
      <w:vertAlign w:val="superscript"/>
    </w:rPr>
  </w:style>
  <w:style w:type="paragraph" w:customStyle="1" w:styleId="Gloss">
    <w:name w:val="Gloss"/>
    <w:basedOn w:val="AbstractSummary"/>
    <w:rsid w:val="00B50976"/>
  </w:style>
  <w:style w:type="paragraph" w:customStyle="1" w:styleId="Glossary">
    <w:name w:val="Glossary"/>
    <w:basedOn w:val="BaseText"/>
    <w:rsid w:val="00B50976"/>
  </w:style>
  <w:style w:type="paragraph" w:customStyle="1" w:styleId="GlossHead">
    <w:name w:val="GlossHead"/>
    <w:basedOn w:val="AbstractHead"/>
    <w:rsid w:val="00B50976"/>
  </w:style>
  <w:style w:type="paragraph" w:customStyle="1" w:styleId="GraphicAltText">
    <w:name w:val="GraphicAltText"/>
    <w:basedOn w:val="Legend"/>
    <w:rsid w:val="00B50976"/>
    <w:pPr>
      <w:autoSpaceDE w:val="0"/>
      <w:autoSpaceDN w:val="0"/>
      <w:adjustRightInd w:val="0"/>
    </w:pPr>
  </w:style>
  <w:style w:type="paragraph" w:customStyle="1" w:styleId="GraphicCredit">
    <w:name w:val="GraphicCredit"/>
    <w:basedOn w:val="FigureCredit"/>
    <w:rsid w:val="00B50976"/>
  </w:style>
  <w:style w:type="paragraph" w:customStyle="1" w:styleId="Head">
    <w:name w:val="Head"/>
    <w:basedOn w:val="BaseHeading"/>
    <w:rsid w:val="00B50976"/>
    <w:pPr>
      <w:spacing w:before="120" w:after="120"/>
      <w:jc w:val="center"/>
    </w:pPr>
    <w:rPr>
      <w:b/>
      <w:bCs/>
    </w:rPr>
  </w:style>
  <w:style w:type="paragraph" w:styleId="af2">
    <w:name w:val="header"/>
    <w:basedOn w:val="a"/>
    <w:link w:val="af3"/>
    <w:uiPriority w:val="99"/>
    <w:rsid w:val="00B50976"/>
    <w:pPr>
      <w:tabs>
        <w:tab w:val="center" w:pos="4320"/>
        <w:tab w:val="right" w:pos="8640"/>
      </w:tabs>
    </w:pPr>
    <w:rPr>
      <w:rFonts w:eastAsia="Times New Roman"/>
    </w:rPr>
  </w:style>
  <w:style w:type="character" w:customStyle="1" w:styleId="af3">
    <w:name w:val="ヘッダー (文字)"/>
    <w:link w:val="af2"/>
    <w:uiPriority w:val="99"/>
    <w:rsid w:val="00B50976"/>
    <w:rPr>
      <w:rFonts w:ascii="Times New Roman" w:eastAsia="Times New Roman" w:hAnsi="Times New Roman" w:cs="Times New Roman"/>
      <w:kern w:val="0"/>
      <w:sz w:val="20"/>
      <w:szCs w:val="20"/>
      <w:lang w:eastAsia="en-US"/>
    </w:rPr>
  </w:style>
  <w:style w:type="character" w:styleId="HTML">
    <w:name w:val="HTML Acronym"/>
    <w:basedOn w:val="a0"/>
    <w:rsid w:val="00B50976"/>
  </w:style>
  <w:style w:type="character" w:styleId="HTML0">
    <w:name w:val="HTML Cite"/>
    <w:rsid w:val="00B50976"/>
    <w:rPr>
      <w:i/>
      <w:iCs/>
    </w:rPr>
  </w:style>
  <w:style w:type="character" w:styleId="HTML1">
    <w:name w:val="HTML Code"/>
    <w:rsid w:val="00B50976"/>
    <w:rPr>
      <w:rFonts w:ascii="Courier New" w:hAnsi="Courier New" w:cs="Courier New"/>
      <w:sz w:val="20"/>
      <w:szCs w:val="20"/>
    </w:rPr>
  </w:style>
  <w:style w:type="character" w:styleId="HTML2">
    <w:name w:val="HTML Definition"/>
    <w:rsid w:val="00B50976"/>
    <w:rPr>
      <w:i/>
      <w:iCs/>
    </w:rPr>
  </w:style>
  <w:style w:type="character" w:styleId="HTML3">
    <w:name w:val="HTML Keyboard"/>
    <w:rsid w:val="00B50976"/>
    <w:rPr>
      <w:rFonts w:ascii="Courier New" w:hAnsi="Courier New" w:cs="Courier New"/>
      <w:sz w:val="20"/>
      <w:szCs w:val="20"/>
    </w:rPr>
  </w:style>
  <w:style w:type="paragraph" w:styleId="HTML4">
    <w:name w:val="HTML Preformatted"/>
    <w:basedOn w:val="a"/>
    <w:link w:val="HTML5"/>
    <w:rsid w:val="00B50976"/>
    <w:rPr>
      <w:rFonts w:ascii="Consolas" w:eastAsia="Times New Roman" w:hAnsi="Consolas"/>
    </w:rPr>
  </w:style>
  <w:style w:type="character" w:customStyle="1" w:styleId="HTML5">
    <w:name w:val="HTML 書式付き (文字)"/>
    <w:link w:val="HTML4"/>
    <w:rsid w:val="00B50976"/>
    <w:rPr>
      <w:rFonts w:ascii="Consolas" w:eastAsia="Times New Roman" w:hAnsi="Consolas" w:cs="Times New Roman"/>
      <w:kern w:val="0"/>
      <w:sz w:val="20"/>
      <w:szCs w:val="20"/>
      <w:lang w:eastAsia="en-US"/>
    </w:rPr>
  </w:style>
  <w:style w:type="character" w:styleId="HTML6">
    <w:name w:val="HTML Sample"/>
    <w:rsid w:val="00B50976"/>
    <w:rPr>
      <w:rFonts w:ascii="Courier New" w:hAnsi="Courier New" w:cs="Courier New"/>
    </w:rPr>
  </w:style>
  <w:style w:type="character" w:styleId="HTML7">
    <w:name w:val="HTML Typewriter"/>
    <w:rsid w:val="00B50976"/>
    <w:rPr>
      <w:rFonts w:ascii="Courier New" w:hAnsi="Courier New" w:cs="Courier New"/>
      <w:sz w:val="20"/>
      <w:szCs w:val="20"/>
    </w:rPr>
  </w:style>
  <w:style w:type="character" w:styleId="HTML8">
    <w:name w:val="HTML Variable"/>
    <w:rsid w:val="00B50976"/>
    <w:rPr>
      <w:i/>
      <w:iCs/>
    </w:rPr>
  </w:style>
  <w:style w:type="character" w:styleId="af4">
    <w:name w:val="Hyperlink"/>
    <w:uiPriority w:val="99"/>
    <w:rsid w:val="00B50976"/>
    <w:rPr>
      <w:color w:val="0000FF"/>
      <w:u w:val="single"/>
    </w:rPr>
  </w:style>
  <w:style w:type="paragraph" w:customStyle="1" w:styleId="InstructionsText">
    <w:name w:val="Instructions Text"/>
    <w:basedOn w:val="BaseText"/>
    <w:rsid w:val="00B50976"/>
  </w:style>
  <w:style w:type="paragraph" w:customStyle="1" w:styleId="Overline">
    <w:name w:val="Overline"/>
    <w:basedOn w:val="BaseText"/>
    <w:rsid w:val="00B50976"/>
  </w:style>
  <w:style w:type="paragraph" w:customStyle="1" w:styleId="IssueName">
    <w:name w:val="IssueName"/>
    <w:basedOn w:val="Overline"/>
    <w:rsid w:val="00B50976"/>
  </w:style>
  <w:style w:type="paragraph" w:customStyle="1" w:styleId="Keywords">
    <w:name w:val="Keywords"/>
    <w:basedOn w:val="BaseText"/>
    <w:rsid w:val="00B50976"/>
  </w:style>
  <w:style w:type="paragraph" w:customStyle="1" w:styleId="Level3Head">
    <w:name w:val="Level 3 Head"/>
    <w:basedOn w:val="BaseHeading"/>
    <w:rsid w:val="00B50976"/>
    <w:pPr>
      <w:outlineLvl w:val="2"/>
    </w:pPr>
    <w:rPr>
      <w:sz w:val="24"/>
      <w:szCs w:val="24"/>
      <w:u w:val="single"/>
    </w:rPr>
  </w:style>
  <w:style w:type="paragraph" w:customStyle="1" w:styleId="Level4Head">
    <w:name w:val="Level 4 Head"/>
    <w:basedOn w:val="BaseHeading"/>
    <w:rsid w:val="00B50976"/>
    <w:pPr>
      <w:ind w:left="346"/>
    </w:pPr>
    <w:rPr>
      <w:sz w:val="24"/>
      <w:szCs w:val="24"/>
    </w:rPr>
  </w:style>
  <w:style w:type="character" w:styleId="af5">
    <w:name w:val="line number"/>
    <w:basedOn w:val="a0"/>
    <w:rsid w:val="00B50976"/>
  </w:style>
  <w:style w:type="paragraph" w:customStyle="1" w:styleId="Literaryquote">
    <w:name w:val="Literary quote"/>
    <w:basedOn w:val="BaseText"/>
    <w:rsid w:val="00B50976"/>
    <w:pPr>
      <w:ind w:left="1440" w:right="1440"/>
    </w:pPr>
  </w:style>
  <w:style w:type="paragraph" w:customStyle="1" w:styleId="MaterialsText">
    <w:name w:val="Materials Text"/>
    <w:basedOn w:val="BaseText"/>
    <w:rsid w:val="00B50976"/>
  </w:style>
  <w:style w:type="paragraph" w:customStyle="1" w:styleId="NoteInProof">
    <w:name w:val="NoteInProof"/>
    <w:basedOn w:val="BaseText"/>
    <w:rsid w:val="00B50976"/>
  </w:style>
  <w:style w:type="paragraph" w:customStyle="1" w:styleId="Notes">
    <w:name w:val="Notes"/>
    <w:basedOn w:val="BaseText"/>
    <w:rsid w:val="00B50976"/>
    <w:rPr>
      <w:i/>
    </w:rPr>
  </w:style>
  <w:style w:type="paragraph" w:customStyle="1" w:styleId="Notes-Helvetica">
    <w:name w:val="Notes-Helvetica"/>
    <w:basedOn w:val="BaseText"/>
    <w:rsid w:val="00B50976"/>
    <w:rPr>
      <w:i/>
    </w:rPr>
  </w:style>
  <w:style w:type="paragraph" w:customStyle="1" w:styleId="NumberedInstructions">
    <w:name w:val="Numbered Instructions"/>
    <w:basedOn w:val="BaseText"/>
    <w:rsid w:val="00B50976"/>
  </w:style>
  <w:style w:type="paragraph" w:customStyle="1" w:styleId="OutlineLevel1">
    <w:name w:val="OutlineLevel1"/>
    <w:basedOn w:val="BaseHeading"/>
    <w:rsid w:val="00B50976"/>
    <w:rPr>
      <w:b/>
      <w:bCs/>
    </w:rPr>
  </w:style>
  <w:style w:type="paragraph" w:customStyle="1" w:styleId="OutlineLevel2">
    <w:name w:val="OutlineLevel2"/>
    <w:basedOn w:val="BaseHeading"/>
    <w:rsid w:val="00B50976"/>
    <w:pPr>
      <w:ind w:left="360"/>
      <w:outlineLvl w:val="1"/>
    </w:pPr>
    <w:rPr>
      <w:b/>
      <w:bCs/>
      <w:sz w:val="24"/>
      <w:szCs w:val="24"/>
    </w:rPr>
  </w:style>
  <w:style w:type="paragraph" w:customStyle="1" w:styleId="OutlineLevel3">
    <w:name w:val="OutlineLevel3"/>
    <w:basedOn w:val="BaseHeading"/>
    <w:rsid w:val="00B50976"/>
    <w:pPr>
      <w:ind w:left="720"/>
      <w:outlineLvl w:val="2"/>
    </w:pPr>
    <w:rPr>
      <w:b/>
      <w:bCs/>
      <w:sz w:val="24"/>
      <w:szCs w:val="24"/>
    </w:rPr>
  </w:style>
  <w:style w:type="character" w:styleId="af6">
    <w:name w:val="page number"/>
    <w:basedOn w:val="a0"/>
    <w:rsid w:val="00B50976"/>
  </w:style>
  <w:style w:type="paragraph" w:customStyle="1" w:styleId="Preformat">
    <w:name w:val="Preformat"/>
    <w:basedOn w:val="BaseText"/>
    <w:rsid w:val="00B50976"/>
    <w:pPr>
      <w:tabs>
        <w:tab w:val="left" w:pos="360"/>
        <w:tab w:val="left" w:pos="720"/>
        <w:tab w:val="left" w:pos="1080"/>
        <w:tab w:val="left" w:pos="1440"/>
        <w:tab w:val="left" w:pos="1800"/>
        <w:tab w:val="left" w:pos="2160"/>
        <w:tab w:val="left" w:pos="2520"/>
        <w:tab w:val="left" w:pos="2880"/>
      </w:tabs>
    </w:pPr>
    <w:rPr>
      <w:rFonts w:ascii="Courier New" w:hAnsi="Courier New" w:cs="Courier New"/>
    </w:rPr>
  </w:style>
  <w:style w:type="paragraph" w:customStyle="1" w:styleId="ProductAuthors">
    <w:name w:val="ProductAuthors"/>
    <w:basedOn w:val="BaseText"/>
    <w:rsid w:val="00B50976"/>
  </w:style>
  <w:style w:type="paragraph" w:customStyle="1" w:styleId="ProductInformation">
    <w:name w:val="ProductInformation"/>
    <w:basedOn w:val="BaseText"/>
    <w:rsid w:val="00B50976"/>
  </w:style>
  <w:style w:type="paragraph" w:customStyle="1" w:styleId="ProductTitle">
    <w:name w:val="ProductTitle"/>
    <w:basedOn w:val="BaseText"/>
    <w:rsid w:val="00B50976"/>
    <w:rPr>
      <w:b/>
      <w:bCs/>
    </w:rPr>
  </w:style>
  <w:style w:type="paragraph" w:customStyle="1" w:styleId="PublishedOnline">
    <w:name w:val="Published Online"/>
    <w:basedOn w:val="DateAccepted"/>
    <w:rsid w:val="00B50976"/>
  </w:style>
  <w:style w:type="paragraph" w:customStyle="1" w:styleId="RecipeMaterials">
    <w:name w:val="Recipe Materials"/>
    <w:basedOn w:val="BaseText"/>
    <w:rsid w:val="00B50976"/>
  </w:style>
  <w:style w:type="paragraph" w:customStyle="1" w:styleId="Refhead">
    <w:name w:val="Ref head"/>
    <w:basedOn w:val="BaseHeading"/>
    <w:rsid w:val="00B50976"/>
    <w:pPr>
      <w:spacing w:before="120" w:after="120"/>
    </w:pPr>
    <w:rPr>
      <w:b/>
      <w:bCs/>
      <w:sz w:val="24"/>
      <w:szCs w:val="24"/>
    </w:rPr>
  </w:style>
  <w:style w:type="paragraph" w:customStyle="1" w:styleId="ReferenceNote">
    <w:name w:val="Reference Note"/>
    <w:basedOn w:val="Referencesandnotes"/>
    <w:rsid w:val="00B50976"/>
  </w:style>
  <w:style w:type="paragraph" w:customStyle="1" w:styleId="ReferencesandnotesLong">
    <w:name w:val="References and notes Long"/>
    <w:basedOn w:val="BaseText"/>
    <w:rsid w:val="00B50976"/>
    <w:pPr>
      <w:ind w:left="720" w:hanging="720"/>
    </w:pPr>
  </w:style>
  <w:style w:type="paragraph" w:customStyle="1" w:styleId="region">
    <w:name w:val="region"/>
    <w:basedOn w:val="BaseText"/>
    <w:rsid w:val="00B50976"/>
    <w:pPr>
      <w:jc w:val="right"/>
    </w:pPr>
    <w:rPr>
      <w:color w:val="0000FF"/>
    </w:rPr>
  </w:style>
  <w:style w:type="paragraph" w:customStyle="1" w:styleId="RelatedArticle">
    <w:name w:val="RelatedArticle"/>
    <w:basedOn w:val="Referencesandnotes"/>
    <w:rsid w:val="00B50976"/>
  </w:style>
  <w:style w:type="paragraph" w:customStyle="1" w:styleId="RunHead">
    <w:name w:val="RunHead"/>
    <w:basedOn w:val="BaseText"/>
    <w:rsid w:val="00B50976"/>
  </w:style>
  <w:style w:type="paragraph" w:customStyle="1" w:styleId="SOMContent">
    <w:name w:val="SOMContent"/>
    <w:basedOn w:val="1stparatext"/>
    <w:rsid w:val="00B50976"/>
  </w:style>
  <w:style w:type="paragraph" w:customStyle="1" w:styleId="SOMHead">
    <w:name w:val="SOMHead"/>
    <w:basedOn w:val="BaseHeading"/>
    <w:rsid w:val="00B50976"/>
    <w:rPr>
      <w:b/>
      <w:sz w:val="24"/>
      <w:szCs w:val="24"/>
    </w:rPr>
  </w:style>
  <w:style w:type="paragraph" w:customStyle="1" w:styleId="Speaker">
    <w:name w:val="Speaker"/>
    <w:basedOn w:val="Paragraph"/>
    <w:rsid w:val="00B50976"/>
    <w:pPr>
      <w:autoSpaceDE w:val="0"/>
      <w:autoSpaceDN w:val="0"/>
      <w:adjustRightInd w:val="0"/>
    </w:pPr>
    <w:rPr>
      <w:b/>
      <w:lang w:bidi="he-IL"/>
    </w:rPr>
  </w:style>
  <w:style w:type="paragraph" w:customStyle="1" w:styleId="Speech">
    <w:name w:val="Speech"/>
    <w:basedOn w:val="Paragraph"/>
    <w:rsid w:val="00B50976"/>
    <w:pPr>
      <w:autoSpaceDE w:val="0"/>
      <w:autoSpaceDN w:val="0"/>
      <w:adjustRightInd w:val="0"/>
    </w:pPr>
    <w:rPr>
      <w:lang w:bidi="he-IL"/>
    </w:rPr>
  </w:style>
  <w:style w:type="character" w:styleId="af7">
    <w:name w:val="Strong"/>
    <w:uiPriority w:val="22"/>
    <w:qFormat/>
    <w:rsid w:val="00B50976"/>
    <w:rPr>
      <w:b/>
      <w:bCs/>
    </w:rPr>
  </w:style>
  <w:style w:type="paragraph" w:customStyle="1" w:styleId="SX-Abstract">
    <w:name w:val="SX-Abstract"/>
    <w:basedOn w:val="a"/>
    <w:qFormat/>
    <w:rsid w:val="00B50976"/>
    <w:pPr>
      <w:widowControl w:val="0"/>
      <w:spacing w:before="120" w:after="240" w:line="210" w:lineRule="exact"/>
      <w:ind w:left="700" w:right="700"/>
      <w:jc w:val="both"/>
    </w:pPr>
    <w:rPr>
      <w:rFonts w:ascii="BlissRegular" w:eastAsia="Times New Roman" w:hAnsi="BlissRegular"/>
      <w:b/>
    </w:rPr>
  </w:style>
  <w:style w:type="paragraph" w:customStyle="1" w:styleId="SX-Affiliation">
    <w:name w:val="SX-Affiliation"/>
    <w:basedOn w:val="a"/>
    <w:next w:val="a"/>
    <w:qFormat/>
    <w:rsid w:val="00B50976"/>
    <w:pPr>
      <w:spacing w:after="160" w:line="190" w:lineRule="exact"/>
    </w:pPr>
    <w:rPr>
      <w:rFonts w:ascii="BlissRegular" w:eastAsia="Times New Roman" w:hAnsi="BlissRegular"/>
      <w:sz w:val="16"/>
    </w:rPr>
  </w:style>
  <w:style w:type="paragraph" w:customStyle="1" w:styleId="SX-Articlehead">
    <w:name w:val="SX-Article head"/>
    <w:basedOn w:val="a"/>
    <w:qFormat/>
    <w:rsid w:val="00B50976"/>
    <w:pPr>
      <w:spacing w:before="210" w:line="210" w:lineRule="exact"/>
      <w:ind w:firstLine="288"/>
      <w:jc w:val="both"/>
    </w:pPr>
    <w:rPr>
      <w:rFonts w:eastAsia="Times New Roman"/>
      <w:b/>
      <w:sz w:val="18"/>
    </w:rPr>
  </w:style>
  <w:style w:type="paragraph" w:customStyle="1" w:styleId="SX-Authornames">
    <w:name w:val="SX-Author names"/>
    <w:basedOn w:val="a"/>
    <w:rsid w:val="00B50976"/>
    <w:pPr>
      <w:spacing w:after="120" w:line="210" w:lineRule="exact"/>
    </w:pPr>
    <w:rPr>
      <w:rFonts w:ascii="BlissMedium" w:eastAsia="Times New Roman" w:hAnsi="BlissMedium"/>
    </w:rPr>
  </w:style>
  <w:style w:type="paragraph" w:customStyle="1" w:styleId="SX-Bodytext">
    <w:name w:val="SX-Body text"/>
    <w:basedOn w:val="a"/>
    <w:next w:val="a"/>
    <w:rsid w:val="00B50976"/>
    <w:pPr>
      <w:spacing w:line="210" w:lineRule="exact"/>
      <w:ind w:firstLine="288"/>
      <w:jc w:val="both"/>
    </w:pPr>
    <w:rPr>
      <w:rFonts w:eastAsia="Times New Roman"/>
      <w:sz w:val="18"/>
    </w:rPr>
  </w:style>
  <w:style w:type="paragraph" w:customStyle="1" w:styleId="SX-Bodytextflush">
    <w:name w:val="SX-Body text flush"/>
    <w:basedOn w:val="SX-Bodytext"/>
    <w:next w:val="SX-Bodytext"/>
    <w:rsid w:val="00B50976"/>
    <w:pPr>
      <w:ind w:firstLine="0"/>
    </w:pPr>
  </w:style>
  <w:style w:type="paragraph" w:customStyle="1" w:styleId="SX-Correspondence">
    <w:name w:val="SX-Correspondence"/>
    <w:basedOn w:val="SX-Affiliation"/>
    <w:qFormat/>
    <w:rsid w:val="00B50976"/>
    <w:pPr>
      <w:spacing w:after="80"/>
    </w:pPr>
  </w:style>
  <w:style w:type="paragraph" w:customStyle="1" w:styleId="SX-Date">
    <w:name w:val="SX-Date"/>
    <w:basedOn w:val="a"/>
    <w:qFormat/>
    <w:rsid w:val="00B50976"/>
    <w:pPr>
      <w:spacing w:before="180" w:line="190" w:lineRule="exact"/>
      <w:ind w:left="245" w:hanging="245"/>
      <w:jc w:val="both"/>
    </w:pPr>
    <w:rPr>
      <w:rFonts w:eastAsia="Times New Roman"/>
      <w:sz w:val="16"/>
    </w:rPr>
  </w:style>
  <w:style w:type="paragraph" w:customStyle="1" w:styleId="SX-Equation">
    <w:name w:val="SX-Equation"/>
    <w:basedOn w:val="SX-Bodytextflush"/>
    <w:next w:val="SX-Bodytext"/>
    <w:rsid w:val="00B50976"/>
    <w:pPr>
      <w:autoSpaceDE w:val="0"/>
      <w:autoSpaceDN w:val="0"/>
      <w:adjustRightInd w:val="0"/>
      <w:spacing w:line="240" w:lineRule="auto"/>
      <w:jc w:val="center"/>
    </w:pPr>
  </w:style>
  <w:style w:type="paragraph" w:customStyle="1" w:styleId="SX-Legend">
    <w:name w:val="SX-Legend"/>
    <w:basedOn w:val="SX-Authornames"/>
    <w:rsid w:val="00B50976"/>
    <w:pPr>
      <w:jc w:val="both"/>
    </w:pPr>
    <w:rPr>
      <w:sz w:val="18"/>
    </w:rPr>
  </w:style>
  <w:style w:type="paragraph" w:customStyle="1" w:styleId="SX-References">
    <w:name w:val="SX-References"/>
    <w:basedOn w:val="a"/>
    <w:rsid w:val="00B50976"/>
    <w:pPr>
      <w:spacing w:line="190" w:lineRule="exact"/>
      <w:ind w:left="245" w:hanging="245"/>
      <w:jc w:val="both"/>
    </w:pPr>
    <w:rPr>
      <w:rFonts w:eastAsia="Times New Roman"/>
      <w:sz w:val="16"/>
    </w:rPr>
  </w:style>
  <w:style w:type="paragraph" w:customStyle="1" w:styleId="SX-RefHead">
    <w:name w:val="SX-RefHead"/>
    <w:basedOn w:val="a"/>
    <w:rsid w:val="00B50976"/>
    <w:pPr>
      <w:spacing w:before="200" w:line="190" w:lineRule="exact"/>
    </w:pPr>
    <w:rPr>
      <w:rFonts w:eastAsia="Times New Roman"/>
      <w:b/>
      <w:sz w:val="16"/>
    </w:rPr>
  </w:style>
  <w:style w:type="character" w:customStyle="1" w:styleId="SX-reflink">
    <w:name w:val="SX-reflink"/>
    <w:uiPriority w:val="1"/>
    <w:qFormat/>
    <w:rsid w:val="00B50976"/>
    <w:rPr>
      <w:color w:val="0000FF"/>
      <w:sz w:val="16"/>
      <w:u w:val="words"/>
      <w:bdr w:val="none" w:sz="0" w:space="0" w:color="auto"/>
      <w:shd w:val="clear" w:color="auto" w:fill="FFFFFF"/>
    </w:rPr>
  </w:style>
  <w:style w:type="paragraph" w:customStyle="1" w:styleId="SX-SOMHead">
    <w:name w:val="SX-SOMHead"/>
    <w:basedOn w:val="SX-RefHead"/>
    <w:rsid w:val="00B50976"/>
  </w:style>
  <w:style w:type="paragraph" w:customStyle="1" w:styleId="SX-Tablehead">
    <w:name w:val="SX-Tablehead"/>
    <w:basedOn w:val="a"/>
    <w:qFormat/>
    <w:rsid w:val="00B50976"/>
    <w:rPr>
      <w:rFonts w:eastAsia="Times New Roman"/>
      <w:szCs w:val="24"/>
    </w:rPr>
  </w:style>
  <w:style w:type="paragraph" w:customStyle="1" w:styleId="SX-Tablelegend">
    <w:name w:val="SX-Tablelegend"/>
    <w:basedOn w:val="a"/>
    <w:qFormat/>
    <w:rsid w:val="00B50976"/>
    <w:pPr>
      <w:spacing w:line="190" w:lineRule="exact"/>
      <w:ind w:left="245" w:hanging="245"/>
      <w:jc w:val="both"/>
    </w:pPr>
    <w:rPr>
      <w:rFonts w:eastAsia="Times New Roman"/>
      <w:sz w:val="16"/>
    </w:rPr>
  </w:style>
  <w:style w:type="paragraph" w:customStyle="1" w:styleId="SX-Tabletext">
    <w:name w:val="SX-Tabletext"/>
    <w:basedOn w:val="a"/>
    <w:qFormat/>
    <w:rsid w:val="00B50976"/>
    <w:pPr>
      <w:spacing w:line="210" w:lineRule="exact"/>
      <w:jc w:val="center"/>
    </w:pPr>
    <w:rPr>
      <w:rFonts w:eastAsia="Times New Roman"/>
      <w:sz w:val="18"/>
    </w:rPr>
  </w:style>
  <w:style w:type="paragraph" w:customStyle="1" w:styleId="SX-Tabletitle">
    <w:name w:val="SX-Tabletitle"/>
    <w:basedOn w:val="a"/>
    <w:qFormat/>
    <w:rsid w:val="00B50976"/>
    <w:pPr>
      <w:spacing w:after="120" w:line="210" w:lineRule="exact"/>
      <w:jc w:val="both"/>
    </w:pPr>
    <w:rPr>
      <w:rFonts w:ascii="BlissMedium" w:eastAsia="Times New Roman" w:hAnsi="BlissMedium"/>
      <w:sz w:val="18"/>
    </w:rPr>
  </w:style>
  <w:style w:type="paragraph" w:customStyle="1" w:styleId="SX-Title">
    <w:name w:val="SX-Title"/>
    <w:basedOn w:val="a"/>
    <w:rsid w:val="00B50976"/>
    <w:pPr>
      <w:spacing w:after="240" w:line="500" w:lineRule="exact"/>
    </w:pPr>
    <w:rPr>
      <w:rFonts w:ascii="BlissBold" w:eastAsia="Times New Roman" w:hAnsi="BlissBold"/>
      <w:b/>
      <w:sz w:val="44"/>
    </w:rPr>
  </w:style>
  <w:style w:type="paragraph" w:customStyle="1" w:styleId="Tablecolumnhead">
    <w:name w:val="Table column head"/>
    <w:basedOn w:val="BaseText"/>
    <w:rsid w:val="00B50976"/>
    <w:pPr>
      <w:spacing w:before="0"/>
    </w:pPr>
  </w:style>
  <w:style w:type="paragraph" w:customStyle="1" w:styleId="Tabletext">
    <w:name w:val="Table text"/>
    <w:basedOn w:val="BaseText"/>
    <w:rsid w:val="00B50976"/>
    <w:pPr>
      <w:spacing w:before="0"/>
    </w:pPr>
  </w:style>
  <w:style w:type="paragraph" w:customStyle="1" w:styleId="TableLegend">
    <w:name w:val="TableLegend"/>
    <w:basedOn w:val="BaseText"/>
    <w:rsid w:val="00B50976"/>
    <w:pPr>
      <w:spacing w:before="0"/>
    </w:pPr>
  </w:style>
  <w:style w:type="paragraph" w:customStyle="1" w:styleId="TableTitle">
    <w:name w:val="TableTitle"/>
    <w:basedOn w:val="BaseHeading"/>
    <w:rsid w:val="00B50976"/>
  </w:style>
  <w:style w:type="paragraph" w:customStyle="1" w:styleId="Teaser">
    <w:name w:val="Teaser"/>
    <w:basedOn w:val="BaseText"/>
    <w:rsid w:val="00B50976"/>
  </w:style>
  <w:style w:type="paragraph" w:customStyle="1" w:styleId="TWIS">
    <w:name w:val="TWIS"/>
    <w:basedOn w:val="AbstractSummary"/>
    <w:rsid w:val="00B50976"/>
    <w:pPr>
      <w:autoSpaceDE w:val="0"/>
      <w:autoSpaceDN w:val="0"/>
      <w:adjustRightInd w:val="0"/>
    </w:pPr>
  </w:style>
  <w:style w:type="paragraph" w:customStyle="1" w:styleId="TWISorEC">
    <w:name w:val="TWIS or EC"/>
    <w:basedOn w:val="a"/>
    <w:rsid w:val="00B50976"/>
    <w:pPr>
      <w:spacing w:line="210" w:lineRule="exact"/>
    </w:pPr>
    <w:rPr>
      <w:rFonts w:ascii="BlissRegular" w:eastAsia="Times New Roman" w:hAnsi="BlissRegular"/>
      <w:sz w:val="19"/>
    </w:rPr>
  </w:style>
  <w:style w:type="paragraph" w:customStyle="1" w:styleId="work-sector">
    <w:name w:val="work-sector"/>
    <w:basedOn w:val="BaseText"/>
    <w:rsid w:val="00B50976"/>
    <w:pPr>
      <w:jc w:val="right"/>
    </w:pPr>
    <w:rPr>
      <w:color w:val="003300"/>
    </w:rPr>
  </w:style>
  <w:style w:type="paragraph" w:customStyle="1" w:styleId="DOI">
    <w:name w:val="DOI"/>
    <w:basedOn w:val="DateAccepted"/>
    <w:qFormat/>
    <w:rsid w:val="00B50976"/>
  </w:style>
  <w:style w:type="character" w:customStyle="1" w:styleId="custom-cit-author">
    <w:name w:val="custom-cit-author"/>
    <w:basedOn w:val="a0"/>
    <w:rsid w:val="00B50976"/>
  </w:style>
  <w:style w:type="character" w:customStyle="1" w:styleId="custom-cit-title">
    <w:name w:val="custom-cit-title"/>
    <w:basedOn w:val="a0"/>
    <w:rsid w:val="00B50976"/>
  </w:style>
  <w:style w:type="character" w:customStyle="1" w:styleId="custom-cit-jour-title">
    <w:name w:val="custom-cit-jour-title"/>
    <w:basedOn w:val="a0"/>
    <w:rsid w:val="00B50976"/>
  </w:style>
  <w:style w:type="character" w:customStyle="1" w:styleId="custom-cit-volume">
    <w:name w:val="custom-cit-volume"/>
    <w:basedOn w:val="a0"/>
    <w:rsid w:val="00B50976"/>
  </w:style>
  <w:style w:type="character" w:customStyle="1" w:styleId="custom-cit-volume-sep">
    <w:name w:val="custom-cit-volume-sep"/>
    <w:basedOn w:val="a0"/>
    <w:rsid w:val="00B50976"/>
  </w:style>
  <w:style w:type="character" w:customStyle="1" w:styleId="custom-cit-fpage">
    <w:name w:val="custom-cit-fpage"/>
    <w:basedOn w:val="a0"/>
    <w:rsid w:val="00B50976"/>
  </w:style>
  <w:style w:type="character" w:customStyle="1" w:styleId="custom-cit-date">
    <w:name w:val="custom-cit-date"/>
    <w:basedOn w:val="a0"/>
    <w:rsid w:val="00B50976"/>
  </w:style>
  <w:style w:type="paragraph" w:styleId="af8">
    <w:name w:val="Revision"/>
    <w:hidden/>
    <w:uiPriority w:val="99"/>
    <w:semiHidden/>
    <w:rsid w:val="00B50976"/>
    <w:rPr>
      <w:rFonts w:ascii="Times New Roman" w:eastAsia="ＭＳ 明朝" w:hAnsi="Times New Roman" w:cs="Times New Roman"/>
      <w:kern w:val="0"/>
      <w:sz w:val="20"/>
      <w:szCs w:val="20"/>
      <w:lang w:eastAsia="en-US"/>
    </w:rPr>
  </w:style>
  <w:style w:type="paragraph" w:customStyle="1" w:styleId="DocumentText">
    <w:name w:val="Document Text"/>
    <w:basedOn w:val="a"/>
    <w:link w:val="DocumentTextChar"/>
    <w:rsid w:val="00B50976"/>
    <w:pPr>
      <w:spacing w:after="240" w:line="300" w:lineRule="auto"/>
    </w:pPr>
    <w:rPr>
      <w:rFonts w:eastAsia="Times New Roman"/>
      <w:kern w:val="24"/>
      <w:sz w:val="24"/>
      <w:szCs w:val="24"/>
    </w:rPr>
  </w:style>
  <w:style w:type="character" w:customStyle="1" w:styleId="DocumentTextChar">
    <w:name w:val="Document Text Char"/>
    <w:link w:val="DocumentText"/>
    <w:rsid w:val="00B50976"/>
    <w:rPr>
      <w:rFonts w:ascii="Times New Roman" w:eastAsia="Times New Roman" w:hAnsi="Times New Roman" w:cs="Times New Roman"/>
      <w:kern w:val="24"/>
      <w:sz w:val="24"/>
      <w:szCs w:val="24"/>
      <w:lang w:eastAsia="en-US"/>
    </w:rPr>
  </w:style>
  <w:style w:type="paragraph" w:customStyle="1" w:styleId="TextTi12">
    <w:name w:val="Text:Ti12"/>
    <w:basedOn w:val="a"/>
    <w:link w:val="TextTi12Char"/>
    <w:rsid w:val="00B50976"/>
    <w:pPr>
      <w:spacing w:after="170" w:line="280" w:lineRule="atLeast"/>
      <w:jc w:val="both"/>
    </w:pPr>
    <w:rPr>
      <w:sz w:val="24"/>
      <w:lang w:eastAsia="ja-JP"/>
    </w:rPr>
  </w:style>
  <w:style w:type="character" w:customStyle="1" w:styleId="TextTi12Char">
    <w:name w:val="Text:Ti12 Char"/>
    <w:link w:val="TextTi12"/>
    <w:rsid w:val="00B50976"/>
    <w:rPr>
      <w:rFonts w:ascii="Times New Roman" w:eastAsia="ＭＳ 明朝" w:hAnsi="Times New Roman" w:cs="Times New Roman"/>
      <w:kern w:val="0"/>
      <w:sz w:val="24"/>
      <w:szCs w:val="20"/>
    </w:rPr>
  </w:style>
  <w:style w:type="paragraph" w:customStyle="1" w:styleId="EndNoteBibliographyTitle">
    <w:name w:val="EndNote Bibliography Title"/>
    <w:basedOn w:val="a"/>
    <w:link w:val="EndNoteBibliographyTitle0"/>
    <w:rsid w:val="00B50976"/>
    <w:pPr>
      <w:jc w:val="center"/>
    </w:pPr>
    <w:rPr>
      <w:noProof/>
    </w:rPr>
  </w:style>
  <w:style w:type="character" w:customStyle="1" w:styleId="EndNoteBibliographyTitle0">
    <w:name w:val="EndNote Bibliography Title (文字)"/>
    <w:basedOn w:val="a0"/>
    <w:link w:val="EndNoteBibliographyTitle"/>
    <w:rsid w:val="00B50976"/>
    <w:rPr>
      <w:rFonts w:ascii="Times New Roman" w:eastAsia="ＭＳ 明朝" w:hAnsi="Times New Roman" w:cs="Times New Roman"/>
      <w:noProof/>
      <w:kern w:val="0"/>
      <w:sz w:val="20"/>
      <w:szCs w:val="20"/>
      <w:lang w:eastAsia="en-US"/>
    </w:rPr>
  </w:style>
  <w:style w:type="paragraph" w:customStyle="1" w:styleId="EndNoteBibliography">
    <w:name w:val="EndNote Bibliography"/>
    <w:basedOn w:val="a"/>
    <w:link w:val="EndNoteBibliography0"/>
    <w:rsid w:val="00B50976"/>
    <w:rPr>
      <w:noProof/>
    </w:rPr>
  </w:style>
  <w:style w:type="character" w:customStyle="1" w:styleId="EndNoteBibliography0">
    <w:name w:val="EndNote Bibliography (文字)"/>
    <w:basedOn w:val="a0"/>
    <w:link w:val="EndNoteBibliography"/>
    <w:rsid w:val="00B50976"/>
    <w:rPr>
      <w:rFonts w:ascii="Times New Roman" w:eastAsia="ＭＳ 明朝" w:hAnsi="Times New Roman" w:cs="Times New Roman"/>
      <w:noProof/>
      <w:kern w:val="0"/>
      <w:sz w:val="20"/>
      <w:szCs w:val="20"/>
      <w:lang w:eastAsia="en-US"/>
    </w:rPr>
  </w:style>
  <w:style w:type="character" w:customStyle="1" w:styleId="spellingerror">
    <w:name w:val="spellingerror"/>
    <w:basedOn w:val="a0"/>
    <w:rsid w:val="00B50976"/>
  </w:style>
  <w:style w:type="character" w:customStyle="1" w:styleId="normaltextrun">
    <w:name w:val="normaltextrun"/>
    <w:basedOn w:val="a0"/>
    <w:rsid w:val="00B50976"/>
  </w:style>
  <w:style w:type="paragraph" w:styleId="Web">
    <w:name w:val="Normal (Web)"/>
    <w:basedOn w:val="a"/>
    <w:uiPriority w:val="99"/>
    <w:semiHidden/>
    <w:unhideWhenUsed/>
    <w:rsid w:val="00B50976"/>
    <w:pPr>
      <w:spacing w:before="100" w:beforeAutospacing="1" w:after="100" w:afterAutospacing="1"/>
    </w:pPr>
    <w:rPr>
      <w:rFonts w:ascii="ＭＳ Ｐゴシック" w:eastAsia="ＭＳ Ｐゴシック" w:hAnsi="ＭＳ Ｐゴシック" w:cs="ＭＳ Ｐゴシック"/>
      <w:sz w:val="24"/>
      <w:szCs w:val="24"/>
      <w:lang w:eastAsia="ja-JP"/>
    </w:rPr>
  </w:style>
  <w:style w:type="paragraph" w:customStyle="1" w:styleId="norm">
    <w:name w:val="norm"/>
    <w:basedOn w:val="a"/>
    <w:rsid w:val="00B50976"/>
    <w:pPr>
      <w:spacing w:before="100" w:beforeAutospacing="1" w:after="100" w:afterAutospacing="1"/>
    </w:pPr>
    <w:rPr>
      <w:rFonts w:ascii="ＭＳ Ｐゴシック" w:eastAsia="ＭＳ Ｐゴシック" w:hAnsi="ＭＳ Ｐゴシック" w:cs="ＭＳ Ｐゴシック"/>
      <w:sz w:val="24"/>
      <w:szCs w:val="24"/>
      <w:lang w:eastAsia="ja-JP"/>
    </w:rPr>
  </w:style>
  <w:style w:type="character" w:customStyle="1" w:styleId="EndNoteBibliographyChar">
    <w:name w:val="EndNote Bibliography Char"/>
    <w:basedOn w:val="a0"/>
    <w:rsid w:val="00B50976"/>
    <w:rPr>
      <w:rFonts w:ascii="Calibri" w:hAnsi="Calibri"/>
      <w:noProof/>
      <w:kern w:val="2"/>
    </w:rPr>
  </w:style>
  <w:style w:type="paragraph" w:styleId="af9">
    <w:name w:val="List Paragraph"/>
    <w:basedOn w:val="a"/>
    <w:uiPriority w:val="34"/>
    <w:qFormat/>
    <w:rsid w:val="00B50976"/>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yperlink" Target="https://www.r-project.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D7DA4D-E511-4C09-9E4F-E267CF003E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5787</Words>
  <Characters>32988</Characters>
  <Application>Microsoft Office Word</Application>
  <DocSecurity>0</DocSecurity>
  <Lines>274</Lines>
  <Paragraphs>77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38698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Sakurai,Mika 櫻井実香(TR本部)</dc:creator>
  <cp:keywords/>
  <dc:description/>
  <cp:lastModifiedBy>Sakurai,Mika 櫻井実香(TR本部)</cp:lastModifiedBy>
  <cp:revision>4</cp:revision>
  <dcterms:created xsi:type="dcterms:W3CDTF">2020-08-18T04:26:00Z</dcterms:created>
  <dcterms:modified xsi:type="dcterms:W3CDTF">2020-08-18T04:32:00Z</dcterms:modified>
</cp:coreProperties>
</file>