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1B92" w14:textId="55AD43AD" w:rsidR="00A56324" w:rsidRPr="007E4F06" w:rsidRDefault="00A56324" w:rsidP="00A5632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Pr="007E4F06">
        <w:rPr>
          <w:rFonts w:ascii="Arial" w:hAnsi="Arial" w:cs="Arial"/>
          <w:b/>
          <w:bCs/>
          <w:sz w:val="22"/>
          <w:szCs w:val="22"/>
        </w:rPr>
        <w:t>Table. Examples of therapies used for HLH and MAS.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6324" w14:paraId="0E744E16" w14:textId="77777777" w:rsidTr="00AF4239">
        <w:trPr>
          <w:trHeight w:val="432"/>
        </w:trPr>
        <w:tc>
          <w:tcPr>
            <w:tcW w:w="3116" w:type="dxa"/>
          </w:tcPr>
          <w:p w14:paraId="54F58169" w14:textId="77777777" w:rsidR="00A56324" w:rsidRPr="007E4F06" w:rsidRDefault="00A56324" w:rsidP="00AF423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F06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3117" w:type="dxa"/>
          </w:tcPr>
          <w:p w14:paraId="69727D06" w14:textId="77777777" w:rsidR="00A56324" w:rsidRPr="007E4F06" w:rsidRDefault="00A56324" w:rsidP="00AF423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F06">
              <w:rPr>
                <w:rFonts w:ascii="Arial" w:hAnsi="Arial" w:cs="Arial"/>
                <w:b/>
                <w:bCs/>
                <w:sz w:val="22"/>
                <w:szCs w:val="22"/>
              </w:rPr>
              <w:t>Therapeutic Mechanism</w:t>
            </w:r>
          </w:p>
        </w:tc>
        <w:tc>
          <w:tcPr>
            <w:tcW w:w="3117" w:type="dxa"/>
          </w:tcPr>
          <w:p w14:paraId="68332DE3" w14:textId="77777777" w:rsidR="00A56324" w:rsidRPr="007E4F06" w:rsidRDefault="00A56324" w:rsidP="00AF423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F06">
              <w:rPr>
                <w:rFonts w:ascii="Arial" w:hAnsi="Arial" w:cs="Arial"/>
                <w:b/>
                <w:bCs/>
                <w:sz w:val="22"/>
                <w:szCs w:val="22"/>
              </w:rPr>
              <w:t>Example</w:t>
            </w:r>
          </w:p>
        </w:tc>
      </w:tr>
      <w:tr w:rsidR="00A56324" w14:paraId="6F35978D" w14:textId="77777777" w:rsidTr="00AF4239">
        <w:trPr>
          <w:trHeight w:val="432"/>
        </w:trPr>
        <w:tc>
          <w:tcPr>
            <w:tcW w:w="3116" w:type="dxa"/>
          </w:tcPr>
          <w:p w14:paraId="1EE455B2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Lymphocyte/macrophage </w:t>
            </w:r>
          </w:p>
        </w:tc>
        <w:tc>
          <w:tcPr>
            <w:tcW w:w="3117" w:type="dxa"/>
          </w:tcPr>
          <w:p w14:paraId="38B84DE1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cytotoxicity</w:t>
            </w:r>
          </w:p>
        </w:tc>
        <w:tc>
          <w:tcPr>
            <w:tcW w:w="3117" w:type="dxa"/>
          </w:tcPr>
          <w:p w14:paraId="11907DC5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Etoposide, alemtuzumab</w:t>
            </w:r>
          </w:p>
        </w:tc>
      </w:tr>
      <w:tr w:rsidR="00A56324" w14:paraId="0AC9F2AD" w14:textId="77777777" w:rsidTr="00AF4239">
        <w:trPr>
          <w:trHeight w:val="432"/>
        </w:trPr>
        <w:tc>
          <w:tcPr>
            <w:tcW w:w="3116" w:type="dxa"/>
          </w:tcPr>
          <w:p w14:paraId="7603E3C5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Corticosteroids</w:t>
            </w:r>
          </w:p>
        </w:tc>
        <w:tc>
          <w:tcPr>
            <w:tcW w:w="3117" w:type="dxa"/>
          </w:tcPr>
          <w:p w14:paraId="0E45FDF9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Numerous immunosuppressive</w:t>
            </w:r>
          </w:p>
        </w:tc>
        <w:tc>
          <w:tcPr>
            <w:tcW w:w="3117" w:type="dxa"/>
          </w:tcPr>
          <w:p w14:paraId="2E2CE13F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Dexamethasone</w:t>
            </w:r>
          </w:p>
        </w:tc>
      </w:tr>
      <w:tr w:rsidR="00A56324" w14:paraId="36141854" w14:textId="77777777" w:rsidTr="00AF4239">
        <w:trPr>
          <w:trHeight w:val="432"/>
        </w:trPr>
        <w:tc>
          <w:tcPr>
            <w:tcW w:w="3116" w:type="dxa"/>
          </w:tcPr>
          <w:p w14:paraId="006F8096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cell inhibition</w:t>
            </w:r>
          </w:p>
        </w:tc>
        <w:tc>
          <w:tcPr>
            <w:tcW w:w="3117" w:type="dxa"/>
          </w:tcPr>
          <w:p w14:paraId="50A4B4A3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Cytokine inhibition</w:t>
            </w:r>
          </w:p>
        </w:tc>
        <w:tc>
          <w:tcPr>
            <w:tcW w:w="3117" w:type="dxa"/>
          </w:tcPr>
          <w:p w14:paraId="59B2A941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Cyclosporine, tacrolimus</w:t>
            </w:r>
          </w:p>
        </w:tc>
      </w:tr>
      <w:tr w:rsidR="00A56324" w14:paraId="1B710AAB" w14:textId="77777777" w:rsidTr="00AF4239">
        <w:trPr>
          <w:trHeight w:val="432"/>
        </w:trPr>
        <w:tc>
          <w:tcPr>
            <w:tcW w:w="3116" w:type="dxa"/>
          </w:tcPr>
          <w:p w14:paraId="3BF60FB4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IL-1</w:t>
            </w:r>
          </w:p>
        </w:tc>
        <w:tc>
          <w:tcPr>
            <w:tcW w:w="3117" w:type="dxa"/>
          </w:tcPr>
          <w:p w14:paraId="69C54747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IL-1 receptor antagonist</w:t>
            </w:r>
          </w:p>
        </w:tc>
        <w:tc>
          <w:tcPr>
            <w:tcW w:w="3117" w:type="dxa"/>
          </w:tcPr>
          <w:p w14:paraId="504C554B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Anakinra, canakinumab</w:t>
            </w:r>
          </w:p>
        </w:tc>
      </w:tr>
      <w:tr w:rsidR="00A56324" w14:paraId="04F0562C" w14:textId="77777777" w:rsidTr="00AF4239">
        <w:trPr>
          <w:trHeight w:val="432"/>
        </w:trPr>
        <w:tc>
          <w:tcPr>
            <w:tcW w:w="3116" w:type="dxa"/>
          </w:tcPr>
          <w:p w14:paraId="5AB31597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IL-6</w:t>
            </w:r>
          </w:p>
        </w:tc>
        <w:tc>
          <w:tcPr>
            <w:tcW w:w="3117" w:type="dxa"/>
          </w:tcPr>
          <w:p w14:paraId="23502909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Sink for IL-6</w:t>
            </w:r>
          </w:p>
        </w:tc>
        <w:tc>
          <w:tcPr>
            <w:tcW w:w="3117" w:type="dxa"/>
          </w:tcPr>
          <w:p w14:paraId="5542F651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Siltuximab</w:t>
            </w:r>
          </w:p>
        </w:tc>
      </w:tr>
      <w:tr w:rsidR="00A56324" w14:paraId="050DF820" w14:textId="77777777" w:rsidTr="00AF4239">
        <w:trPr>
          <w:trHeight w:val="432"/>
        </w:trPr>
        <w:tc>
          <w:tcPr>
            <w:tcW w:w="3116" w:type="dxa"/>
          </w:tcPr>
          <w:p w14:paraId="13269A2C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IL-6R</w:t>
            </w:r>
          </w:p>
        </w:tc>
        <w:tc>
          <w:tcPr>
            <w:tcW w:w="3117" w:type="dxa"/>
          </w:tcPr>
          <w:p w14:paraId="4AF548B3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IL-6 receptor antagonist</w:t>
            </w:r>
          </w:p>
        </w:tc>
        <w:tc>
          <w:tcPr>
            <w:tcW w:w="3117" w:type="dxa"/>
          </w:tcPr>
          <w:p w14:paraId="3EF2D624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Tocilizumab</w:t>
            </w:r>
          </w:p>
        </w:tc>
      </w:tr>
      <w:tr w:rsidR="00A56324" w14:paraId="542C7FF0" w14:textId="77777777" w:rsidTr="00AF4239">
        <w:trPr>
          <w:trHeight w:val="432"/>
        </w:trPr>
        <w:tc>
          <w:tcPr>
            <w:tcW w:w="3116" w:type="dxa"/>
          </w:tcPr>
          <w:p w14:paraId="03F49D53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CD28</w:t>
            </w:r>
          </w:p>
        </w:tc>
        <w:tc>
          <w:tcPr>
            <w:tcW w:w="3117" w:type="dxa"/>
          </w:tcPr>
          <w:p w14:paraId="5A442762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CTLA4-Ig</w:t>
            </w:r>
          </w:p>
        </w:tc>
        <w:tc>
          <w:tcPr>
            <w:tcW w:w="3117" w:type="dxa"/>
          </w:tcPr>
          <w:p w14:paraId="03A7B738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Abatacept, belatacept</w:t>
            </w:r>
          </w:p>
        </w:tc>
      </w:tr>
      <w:tr w:rsidR="00A56324" w14:paraId="34B6A928" w14:textId="77777777" w:rsidTr="00AF4239">
        <w:trPr>
          <w:trHeight w:val="432"/>
        </w:trPr>
        <w:tc>
          <w:tcPr>
            <w:tcW w:w="3116" w:type="dxa"/>
          </w:tcPr>
          <w:p w14:paraId="4A34F48D" w14:textId="52E328F8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JAK1/2</w:t>
            </w:r>
            <w:r w:rsidR="00D45B58">
              <w:rPr>
                <w:rFonts w:ascii="Arial" w:hAnsi="Arial" w:cs="Arial"/>
                <w:sz w:val="22"/>
                <w:szCs w:val="22"/>
              </w:rPr>
              <w:t>/3</w:t>
            </w:r>
          </w:p>
        </w:tc>
        <w:tc>
          <w:tcPr>
            <w:tcW w:w="3117" w:type="dxa"/>
          </w:tcPr>
          <w:p w14:paraId="6C96A14F" w14:textId="77777777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 inhibitor</w:t>
            </w:r>
          </w:p>
        </w:tc>
        <w:tc>
          <w:tcPr>
            <w:tcW w:w="3117" w:type="dxa"/>
          </w:tcPr>
          <w:p w14:paraId="69B7369A" w14:textId="599AD8EC" w:rsidR="00A56324" w:rsidRDefault="00A56324" w:rsidP="00AF42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Tofacitinib</w:t>
            </w:r>
            <w:r w:rsidR="00950569">
              <w:rPr>
                <w:rFonts w:ascii="Arial" w:hAnsi="Arial" w:cs="Arial"/>
                <w:sz w:val="22"/>
                <w:szCs w:val="22"/>
              </w:rPr>
              <w:t>, baricitinib, ruxolitinib</w:t>
            </w:r>
          </w:p>
        </w:tc>
      </w:tr>
    </w:tbl>
    <w:p w14:paraId="5E843CFE" w14:textId="77777777" w:rsidR="00A56324" w:rsidRPr="007E4F06" w:rsidRDefault="00A56324" w:rsidP="00A56324">
      <w:pPr>
        <w:spacing w:line="276" w:lineRule="auto"/>
        <w:rPr>
          <w:rFonts w:ascii="Arial" w:hAnsi="Arial" w:cs="Arial"/>
          <w:sz w:val="22"/>
          <w:szCs w:val="22"/>
        </w:rPr>
      </w:pPr>
    </w:p>
    <w:p w14:paraId="382221D8" w14:textId="77777777" w:rsidR="00186E9C" w:rsidRDefault="00186E9C"/>
    <w:sectPr w:rsidR="0018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186E9C"/>
    <w:rsid w:val="00950569"/>
    <w:rsid w:val="00A56324"/>
    <w:rsid w:val="00D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DBED"/>
  <w15:chartTrackingRefBased/>
  <w15:docId w15:val="{B779953C-6F93-4555-A83F-D924A99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3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June</dc:creator>
  <cp:keywords/>
  <dc:description/>
  <cp:lastModifiedBy>Carl June</cp:lastModifiedBy>
  <cp:revision>3</cp:revision>
  <dcterms:created xsi:type="dcterms:W3CDTF">2020-04-16T00:07:00Z</dcterms:created>
  <dcterms:modified xsi:type="dcterms:W3CDTF">2020-04-16T00:11:00Z</dcterms:modified>
</cp:coreProperties>
</file>