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62C6" w14:textId="66C885AC" w:rsidR="00B35B27" w:rsidRPr="009271D9" w:rsidRDefault="00B35B27" w:rsidP="009271D9">
      <w:pPr>
        <w:spacing w:line="480" w:lineRule="auto"/>
        <w:rPr>
          <w:rFonts w:cs="Arial"/>
        </w:rPr>
      </w:pPr>
      <w:bookmarkStart w:id="0" w:name="_GoBack"/>
      <w:bookmarkEnd w:id="0"/>
    </w:p>
    <w:p w14:paraId="1D9FDC23" w14:textId="2D2E8C46" w:rsidR="00B35B27" w:rsidRPr="008004CD" w:rsidRDefault="00B9430F" w:rsidP="008004CD">
      <w:pPr>
        <w:pStyle w:val="Heading1"/>
        <w:keepNext w:val="0"/>
        <w:keepLines w:val="0"/>
        <w:spacing w:before="480" w:after="120" w:line="480" w:lineRule="auto"/>
        <w:rPr>
          <w:rFonts w:cs="Arial"/>
          <w:smallCaps w:val="0"/>
          <w:sz w:val="46"/>
          <w:szCs w:val="46"/>
        </w:rPr>
      </w:pPr>
      <w:r w:rsidRPr="009271D9">
        <w:rPr>
          <w:rFonts w:cs="Arial"/>
          <w:smallCaps w:val="0"/>
          <w:sz w:val="46"/>
          <w:szCs w:val="46"/>
        </w:rPr>
        <w:t>Supplementary dat</w:t>
      </w:r>
      <w:r w:rsidR="00046702">
        <w:rPr>
          <w:rFonts w:cs="Arial"/>
          <w:smallCaps w:val="0"/>
          <w:sz w:val="46"/>
          <w:szCs w:val="46"/>
        </w:rPr>
        <w:t>a</w:t>
      </w:r>
    </w:p>
    <w:p w14:paraId="57D307CD" w14:textId="77777777" w:rsidR="00B35B27" w:rsidRPr="009271D9" w:rsidRDefault="00B9430F" w:rsidP="009271D9">
      <w:pPr>
        <w:spacing w:after="0" w:line="480" w:lineRule="auto"/>
        <w:rPr>
          <w:rFonts w:cs="Arial"/>
        </w:rPr>
      </w:pPr>
      <w:r w:rsidRPr="009271D9">
        <w:rPr>
          <w:rFonts w:cs="Arial"/>
        </w:rPr>
        <w:br w:type="page"/>
      </w:r>
    </w:p>
    <w:p w14:paraId="47361B9B" w14:textId="77777777" w:rsidR="007209C6" w:rsidRPr="00F547A3" w:rsidRDefault="007209C6" w:rsidP="007209C6">
      <w:pPr>
        <w:rPr>
          <w:rFonts w:cs="Times New Roman"/>
        </w:rPr>
      </w:pPr>
      <w:r w:rsidRPr="00F547A3">
        <w:rPr>
          <w:rFonts w:cs="Times New Roman"/>
          <w:noProof/>
        </w:rPr>
        <w:lastRenderedPageBreak/>
        <w:drawing>
          <wp:inline distT="0" distB="0" distL="0" distR="0" wp14:anchorId="164773BE" wp14:editId="4E2FFC0A">
            <wp:extent cx="4362828" cy="6424217"/>
            <wp:effectExtent l="0" t="0" r="0" b="0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8DFDF.t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828" cy="642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DAE9" w14:textId="77777777" w:rsidR="007209C6" w:rsidRPr="00F547A3" w:rsidRDefault="007209C6" w:rsidP="00CA5564">
      <w:pPr>
        <w:outlineLvl w:val="1"/>
        <w:rPr>
          <w:bCs/>
        </w:rPr>
      </w:pPr>
      <w:r>
        <w:rPr>
          <w:rFonts w:cs="Times New Roman"/>
          <w:b/>
        </w:rPr>
        <w:t xml:space="preserve">Supplementary </w:t>
      </w:r>
      <w:r w:rsidRPr="00F547A3">
        <w:rPr>
          <w:rFonts w:cs="Times New Roman"/>
          <w:b/>
        </w:rPr>
        <w:t>Fig</w:t>
      </w:r>
      <w:r>
        <w:rPr>
          <w:rFonts w:cs="Times New Roman"/>
          <w:b/>
        </w:rPr>
        <w:t>ure</w:t>
      </w:r>
      <w:r w:rsidRPr="00F547A3">
        <w:rPr>
          <w:rFonts w:cs="Times New Roman"/>
          <w:b/>
        </w:rPr>
        <w:t xml:space="preserve"> </w:t>
      </w:r>
      <w:r>
        <w:rPr>
          <w:rFonts w:cs="Times New Roman"/>
          <w:b/>
        </w:rPr>
        <w:t>S</w:t>
      </w:r>
      <w:r w:rsidRPr="00F547A3">
        <w:rPr>
          <w:rFonts w:cs="Times New Roman"/>
          <w:b/>
        </w:rPr>
        <w:t>1</w:t>
      </w:r>
      <w:r>
        <w:rPr>
          <w:rFonts w:cs="Times New Roman"/>
          <w:b/>
        </w:rPr>
        <w:t xml:space="preserve">. </w:t>
      </w:r>
      <w:r w:rsidRPr="00A8254F">
        <w:rPr>
          <w:bCs/>
        </w:rPr>
        <w:t>PFS of (A) neratinib plus fulvestrant combination cohort and (B) neratinib monotherapy cohort.</w:t>
      </w:r>
      <w:r w:rsidRPr="00F547A3">
        <w:rPr>
          <w:bCs/>
        </w:rPr>
        <w:t xml:space="preserve"> </w:t>
      </w:r>
    </w:p>
    <w:p w14:paraId="5153C8B4" w14:textId="351C2DEA" w:rsidR="007209C6" w:rsidRDefault="007209C6" w:rsidP="00CA5564">
      <w:r w:rsidRPr="00F547A3">
        <w:t>CI, confidence interval; PFS, progression-free survival.</w:t>
      </w:r>
    </w:p>
    <w:p w14:paraId="151A413A" w14:textId="77777777" w:rsidR="007209C6" w:rsidRDefault="007209C6">
      <w:pPr>
        <w:rPr>
          <w:bCs/>
        </w:rPr>
      </w:pPr>
      <w:r>
        <w:rPr>
          <w:bCs/>
        </w:rPr>
        <w:br w:type="page"/>
      </w:r>
    </w:p>
    <w:p w14:paraId="6F3D0C26" w14:textId="77777777" w:rsidR="00B35B27" w:rsidRPr="009271D9" w:rsidRDefault="00B35B27" w:rsidP="009271D9">
      <w:pPr>
        <w:spacing w:after="0" w:line="480" w:lineRule="auto"/>
        <w:rPr>
          <w:rFonts w:cs="Arial"/>
        </w:rPr>
      </w:pPr>
    </w:p>
    <w:p w14:paraId="140805D8" w14:textId="77777777" w:rsidR="00B35B27" w:rsidRPr="009271D9" w:rsidRDefault="00B9430F" w:rsidP="009271D9">
      <w:pPr>
        <w:spacing w:after="0" w:line="480" w:lineRule="auto"/>
        <w:rPr>
          <w:rFonts w:cs="Arial"/>
        </w:rPr>
      </w:pPr>
      <w:r w:rsidRPr="009271D9">
        <w:rPr>
          <w:rFonts w:cs="Arial"/>
          <w:noProof/>
        </w:rPr>
        <w:drawing>
          <wp:inline distT="114300" distB="114300" distL="114300" distR="114300" wp14:anchorId="3C327E41" wp14:editId="782262C5">
            <wp:extent cx="3086100" cy="55816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58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84EF13" w14:textId="00D6B559" w:rsidR="007209C6" w:rsidRPr="007209C6" w:rsidRDefault="007209C6" w:rsidP="007209C6">
      <w:pPr>
        <w:spacing w:after="0" w:line="480" w:lineRule="auto"/>
        <w:outlineLvl w:val="1"/>
        <w:rPr>
          <w:rFonts w:cs="Arial"/>
        </w:rPr>
      </w:pPr>
      <w:r w:rsidRPr="007209C6">
        <w:rPr>
          <w:rFonts w:cs="Arial"/>
          <w:b/>
        </w:rPr>
        <w:t xml:space="preserve">Supplementary Figure S2. </w:t>
      </w:r>
      <w:r w:rsidRPr="007209C6">
        <w:rPr>
          <w:rFonts w:cs="Arial"/>
          <w:bCs/>
        </w:rPr>
        <w:t>Overall sequencing CONSORT diagram.</w:t>
      </w:r>
      <w:r w:rsidRPr="007209C6">
        <w:rPr>
          <w:rFonts w:cs="Arial"/>
          <w:b/>
        </w:rPr>
        <w:t xml:space="preserve"> </w:t>
      </w:r>
      <w:r w:rsidRPr="007209C6">
        <w:rPr>
          <w:rFonts w:cs="Arial"/>
        </w:rPr>
        <w:t xml:space="preserve">Flow diagram of study patients and </w:t>
      </w:r>
      <w:r w:rsidR="00A32BB9" w:rsidRPr="007209C6">
        <w:rPr>
          <w:rFonts w:cs="Arial"/>
        </w:rPr>
        <w:t>analyzed</w:t>
      </w:r>
      <w:r w:rsidRPr="007209C6">
        <w:rPr>
          <w:rFonts w:cs="Arial"/>
        </w:rPr>
        <w:t xml:space="preserve"> biospecimens processed through and selected for central sequencing using MSK-IMPACT and Guardant360.</w:t>
      </w:r>
    </w:p>
    <w:p w14:paraId="19D486DE" w14:textId="11291120" w:rsidR="007209C6" w:rsidRPr="007209C6" w:rsidRDefault="00EE7E12" w:rsidP="007209C6">
      <w:pPr>
        <w:rPr>
          <w:rFonts w:cs="Arial"/>
        </w:rPr>
      </w:pPr>
      <w:proofErr w:type="spellStart"/>
      <w:r>
        <w:rPr>
          <w:rFonts w:cs="Arial"/>
        </w:rPr>
        <w:t>cfDNA</w:t>
      </w:r>
      <w:proofErr w:type="spellEnd"/>
      <w:r>
        <w:rPr>
          <w:rFonts w:cs="Arial"/>
        </w:rPr>
        <w:t xml:space="preserve">, cell-free DNA; </w:t>
      </w:r>
      <w:r w:rsidR="007209C6" w:rsidRPr="007209C6">
        <w:rPr>
          <w:rFonts w:cs="Arial"/>
        </w:rPr>
        <w:t>FFPE, formalin-fixed paraffin-embedded; MSK-IMPACT, Memorial Sloan Kettering-Integrated Mutation Profiling of Actionable Cancer Targets; QC, quality control.</w:t>
      </w:r>
    </w:p>
    <w:p w14:paraId="12D4E2A6" w14:textId="77777777" w:rsidR="00B35B27" w:rsidRPr="009271D9" w:rsidRDefault="00B9430F" w:rsidP="009271D9">
      <w:pPr>
        <w:spacing w:after="0" w:line="480" w:lineRule="auto"/>
        <w:rPr>
          <w:rFonts w:cs="Arial"/>
        </w:rPr>
      </w:pPr>
      <w:r w:rsidRPr="009271D9">
        <w:rPr>
          <w:rFonts w:cs="Arial"/>
        </w:rPr>
        <w:t xml:space="preserve"> </w:t>
      </w:r>
    </w:p>
    <w:p w14:paraId="0C07B01B" w14:textId="77777777" w:rsidR="00B35B27" w:rsidRPr="009271D9" w:rsidRDefault="00B9430F" w:rsidP="009271D9">
      <w:pPr>
        <w:spacing w:after="0" w:line="480" w:lineRule="auto"/>
        <w:rPr>
          <w:rFonts w:cs="Arial"/>
          <w:b/>
        </w:rPr>
      </w:pPr>
      <w:r w:rsidRPr="009271D9">
        <w:rPr>
          <w:rFonts w:cs="Arial"/>
        </w:rPr>
        <w:br w:type="page"/>
      </w:r>
    </w:p>
    <w:p w14:paraId="5DE77984" w14:textId="77777777" w:rsidR="00B35B27" w:rsidRPr="009271D9" w:rsidRDefault="00B35B27" w:rsidP="009271D9">
      <w:pPr>
        <w:spacing w:after="0" w:line="480" w:lineRule="auto"/>
        <w:rPr>
          <w:rFonts w:cs="Arial"/>
          <w:b/>
        </w:rPr>
      </w:pPr>
    </w:p>
    <w:p w14:paraId="142D96CC" w14:textId="7CE74655" w:rsidR="00B35B27" w:rsidRDefault="005F7604" w:rsidP="009271D9">
      <w:pPr>
        <w:spacing w:after="0" w:line="480" w:lineRule="auto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4F8217D3" wp14:editId="5590C803">
            <wp:extent cx="5943600" cy="469519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E0AE2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D37D" w14:textId="77777777" w:rsidR="00CA5564" w:rsidRPr="009271D9" w:rsidRDefault="00CA5564" w:rsidP="009271D9">
      <w:pPr>
        <w:spacing w:after="0" w:line="480" w:lineRule="auto"/>
        <w:rPr>
          <w:rFonts w:cs="Arial"/>
          <w:b/>
        </w:rPr>
      </w:pPr>
    </w:p>
    <w:p w14:paraId="08779298" w14:textId="3355C7A1" w:rsidR="007209C6" w:rsidRDefault="00CA5564" w:rsidP="00014299">
      <w:pPr>
        <w:spacing w:after="0" w:line="480" w:lineRule="auto"/>
        <w:outlineLvl w:val="1"/>
        <w:rPr>
          <w:rFonts w:cs="Arial"/>
        </w:rPr>
      </w:pPr>
      <w:r w:rsidRPr="007209C6">
        <w:rPr>
          <w:rFonts w:cs="Arial"/>
          <w:b/>
          <w:bCs/>
        </w:rPr>
        <w:t>Supplementary Figure S3.</w:t>
      </w:r>
      <w:r w:rsidRPr="009271D9">
        <w:rPr>
          <w:rFonts w:cs="Arial"/>
        </w:rPr>
        <w:t xml:space="preserve"> Comprehensive OncoPrint of </w:t>
      </w:r>
      <w:r w:rsidR="00A32BB9">
        <w:rPr>
          <w:rFonts w:cs="Arial"/>
        </w:rPr>
        <w:t>nine</w:t>
      </w:r>
      <w:r w:rsidRPr="009271D9">
        <w:rPr>
          <w:rFonts w:cs="Arial"/>
        </w:rPr>
        <w:t xml:space="preserve"> patients with paired pre- and post-treatment tissue sequencing showing acquired alterations in the post-treatment tumor.</w:t>
      </w:r>
    </w:p>
    <w:p w14:paraId="7B90DE3B" w14:textId="7B1BF262" w:rsidR="00046702" w:rsidRDefault="00046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098E307" w14:textId="5030CF63" w:rsidR="00B35B27" w:rsidRPr="009271D9" w:rsidRDefault="00B9430F" w:rsidP="00046702">
      <w:pPr>
        <w:spacing w:after="0" w:line="480" w:lineRule="auto"/>
        <w:outlineLvl w:val="1"/>
        <w:rPr>
          <w:rFonts w:cs="Arial"/>
          <w:b/>
        </w:rPr>
      </w:pPr>
      <w:r w:rsidRPr="009271D9">
        <w:rPr>
          <w:rFonts w:cs="Arial"/>
          <w:b/>
        </w:rPr>
        <w:lastRenderedPageBreak/>
        <w:t>Supplementary Table S1. Patient disposition</w:t>
      </w:r>
    </w:p>
    <w:tbl>
      <w:tblPr>
        <w:tblStyle w:val="PlainTable2"/>
        <w:tblW w:w="8910" w:type="dxa"/>
        <w:tblLayout w:type="fixed"/>
        <w:tblLook w:val="0600" w:firstRow="0" w:lastRow="0" w:firstColumn="0" w:lastColumn="0" w:noHBand="1" w:noVBand="1"/>
      </w:tblPr>
      <w:tblGrid>
        <w:gridCol w:w="4678"/>
        <w:gridCol w:w="1701"/>
        <w:gridCol w:w="2531"/>
      </w:tblGrid>
      <w:tr w:rsidR="00B35B27" w:rsidRPr="009271D9" w14:paraId="38251D98" w14:textId="77777777" w:rsidTr="005E5AB4">
        <w:trPr>
          <w:trHeight w:val="920"/>
        </w:trPr>
        <w:tc>
          <w:tcPr>
            <w:tcW w:w="467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14:paraId="144A63E7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 xml:space="preserve">Patients, </w:t>
            </w:r>
            <w:r w:rsidRPr="009271D9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14:paraId="04E75F07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Neratinib monotherapy</w:t>
            </w:r>
          </w:p>
          <w:p w14:paraId="3B35354F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(</w:t>
            </w:r>
            <w:r w:rsidRPr="009271D9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>=34)</w:t>
            </w:r>
          </w:p>
        </w:tc>
        <w:tc>
          <w:tcPr>
            <w:tcW w:w="2531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14:paraId="034AE029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Neratinib + fulvestrant on Day 1</w:t>
            </w:r>
          </w:p>
          <w:p w14:paraId="6A862ACE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(</w:t>
            </w:r>
            <w:r w:rsidRPr="009271D9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>=47)</w:t>
            </w:r>
          </w:p>
        </w:tc>
      </w:tr>
      <w:tr w:rsidR="00B35B27" w:rsidRPr="009271D9" w14:paraId="40CCE024" w14:textId="77777777" w:rsidTr="005E5AB4">
        <w:trPr>
          <w:trHeight w:val="440"/>
        </w:trPr>
        <w:tc>
          <w:tcPr>
            <w:tcW w:w="4678" w:type="dxa"/>
            <w:tcBorders>
              <w:top w:val="single" w:sz="4" w:space="0" w:color="auto"/>
            </w:tcBorders>
          </w:tcPr>
          <w:p w14:paraId="02ED2B43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Patients enrolled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A1510D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34 (100)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4AAF43E7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47 (100)</w:t>
            </w:r>
          </w:p>
        </w:tc>
      </w:tr>
      <w:tr w:rsidR="00B35B27" w:rsidRPr="009271D9" w14:paraId="59BC56B0" w14:textId="77777777" w:rsidTr="005E5AB4">
        <w:trPr>
          <w:trHeight w:val="440"/>
        </w:trPr>
        <w:tc>
          <w:tcPr>
            <w:tcW w:w="4678" w:type="dxa"/>
          </w:tcPr>
          <w:p w14:paraId="0EBF9C26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Enrolled and received study drug</w:t>
            </w:r>
          </w:p>
        </w:tc>
        <w:tc>
          <w:tcPr>
            <w:tcW w:w="1701" w:type="dxa"/>
          </w:tcPr>
          <w:p w14:paraId="67D613D3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34 (100)</w:t>
            </w:r>
          </w:p>
        </w:tc>
        <w:tc>
          <w:tcPr>
            <w:tcW w:w="2531" w:type="dxa"/>
          </w:tcPr>
          <w:p w14:paraId="1AC3846F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47 (100)</w:t>
            </w:r>
          </w:p>
        </w:tc>
      </w:tr>
      <w:tr w:rsidR="00B35B27" w:rsidRPr="009271D9" w14:paraId="70EEBD87" w14:textId="77777777" w:rsidTr="005E5AB4">
        <w:trPr>
          <w:trHeight w:val="680"/>
        </w:trPr>
        <w:tc>
          <w:tcPr>
            <w:tcW w:w="4678" w:type="dxa"/>
          </w:tcPr>
          <w:p w14:paraId="295678E7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Patients received study drug and continuing treatment</w:t>
            </w:r>
          </w:p>
        </w:tc>
        <w:tc>
          <w:tcPr>
            <w:tcW w:w="1701" w:type="dxa"/>
          </w:tcPr>
          <w:p w14:paraId="7568FD06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31" w:type="dxa"/>
          </w:tcPr>
          <w:p w14:paraId="57BFB77B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8 (17.0)</w:t>
            </w:r>
          </w:p>
        </w:tc>
      </w:tr>
      <w:tr w:rsidR="00B35B27" w:rsidRPr="009271D9" w14:paraId="71F65F5B" w14:textId="77777777" w:rsidTr="005E5AB4">
        <w:trPr>
          <w:trHeight w:val="440"/>
        </w:trPr>
        <w:tc>
          <w:tcPr>
            <w:tcW w:w="4678" w:type="dxa"/>
          </w:tcPr>
          <w:p w14:paraId="11E9C7B3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Patients discontinued treatment</w:t>
            </w:r>
          </w:p>
        </w:tc>
        <w:tc>
          <w:tcPr>
            <w:tcW w:w="1701" w:type="dxa"/>
          </w:tcPr>
          <w:p w14:paraId="509EE7FB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34 (100)</w:t>
            </w:r>
          </w:p>
        </w:tc>
        <w:tc>
          <w:tcPr>
            <w:tcW w:w="2531" w:type="dxa"/>
          </w:tcPr>
          <w:p w14:paraId="7B366CBC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38 (80.9)</w:t>
            </w:r>
          </w:p>
        </w:tc>
      </w:tr>
      <w:tr w:rsidR="00B35B27" w:rsidRPr="009271D9" w14:paraId="67773646" w14:textId="77777777" w:rsidTr="005E5AB4">
        <w:trPr>
          <w:trHeight w:val="440"/>
        </w:trPr>
        <w:tc>
          <w:tcPr>
            <w:tcW w:w="4678" w:type="dxa"/>
          </w:tcPr>
          <w:p w14:paraId="13B51807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Death</w:t>
            </w:r>
          </w:p>
        </w:tc>
        <w:tc>
          <w:tcPr>
            <w:tcW w:w="1701" w:type="dxa"/>
          </w:tcPr>
          <w:p w14:paraId="256782A9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31" w:type="dxa"/>
          </w:tcPr>
          <w:p w14:paraId="0F0C5721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(2.1)</w:t>
            </w:r>
          </w:p>
        </w:tc>
      </w:tr>
      <w:tr w:rsidR="00B35B27" w:rsidRPr="009271D9" w14:paraId="008D66AC" w14:textId="77777777" w:rsidTr="005E5AB4">
        <w:trPr>
          <w:trHeight w:val="440"/>
        </w:trPr>
        <w:tc>
          <w:tcPr>
            <w:tcW w:w="4678" w:type="dxa"/>
          </w:tcPr>
          <w:p w14:paraId="6369F87D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Disease progression</w:t>
            </w:r>
          </w:p>
        </w:tc>
        <w:tc>
          <w:tcPr>
            <w:tcW w:w="1701" w:type="dxa"/>
          </w:tcPr>
          <w:p w14:paraId="736EC42D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32 (94.1)</w:t>
            </w:r>
          </w:p>
        </w:tc>
        <w:tc>
          <w:tcPr>
            <w:tcW w:w="2531" w:type="dxa"/>
          </w:tcPr>
          <w:p w14:paraId="7B68DA58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34 (72.3)</w:t>
            </w:r>
          </w:p>
        </w:tc>
      </w:tr>
      <w:tr w:rsidR="00B35B27" w:rsidRPr="009271D9" w14:paraId="0477BF2E" w14:textId="77777777" w:rsidTr="005E5AB4">
        <w:trPr>
          <w:trHeight w:val="440"/>
        </w:trPr>
        <w:tc>
          <w:tcPr>
            <w:tcW w:w="4678" w:type="dxa"/>
          </w:tcPr>
          <w:p w14:paraId="4BA87BF9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Adverse event</w:t>
            </w:r>
          </w:p>
        </w:tc>
        <w:tc>
          <w:tcPr>
            <w:tcW w:w="1701" w:type="dxa"/>
          </w:tcPr>
          <w:p w14:paraId="19A8CEBC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31" w:type="dxa"/>
          </w:tcPr>
          <w:p w14:paraId="7C0FC7FA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(2.1)</w:t>
            </w:r>
          </w:p>
        </w:tc>
      </w:tr>
      <w:tr w:rsidR="00B35B27" w:rsidRPr="009271D9" w14:paraId="5056833E" w14:textId="77777777" w:rsidTr="005E5AB4">
        <w:trPr>
          <w:trHeight w:val="440"/>
        </w:trPr>
        <w:tc>
          <w:tcPr>
            <w:tcW w:w="4678" w:type="dxa"/>
          </w:tcPr>
          <w:p w14:paraId="00EDF6D8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Withdrawal of consent</w:t>
            </w:r>
          </w:p>
        </w:tc>
        <w:tc>
          <w:tcPr>
            <w:tcW w:w="1701" w:type="dxa"/>
          </w:tcPr>
          <w:p w14:paraId="4423799C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2531" w:type="dxa"/>
          </w:tcPr>
          <w:p w14:paraId="1FFD37E8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1A8D2243" w14:textId="77777777" w:rsidTr="005E5AB4">
        <w:trPr>
          <w:trHeight w:val="440"/>
        </w:trPr>
        <w:tc>
          <w:tcPr>
            <w:tcW w:w="4678" w:type="dxa"/>
          </w:tcPr>
          <w:p w14:paraId="21F5B1B3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1701" w:type="dxa"/>
          </w:tcPr>
          <w:p w14:paraId="69AEE123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2531" w:type="dxa"/>
          </w:tcPr>
          <w:p w14:paraId="74FFF5FF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(4.3)</w:t>
            </w:r>
          </w:p>
        </w:tc>
      </w:tr>
      <w:tr w:rsidR="00B35B27" w:rsidRPr="009271D9" w14:paraId="3BD06C28" w14:textId="77777777" w:rsidTr="005E5AB4">
        <w:trPr>
          <w:trHeight w:val="440"/>
        </w:trPr>
        <w:tc>
          <w:tcPr>
            <w:tcW w:w="4678" w:type="dxa"/>
          </w:tcPr>
          <w:p w14:paraId="33682A19" w14:textId="77777777" w:rsidR="00B35B27" w:rsidRPr="009271D9" w:rsidRDefault="00B9430F" w:rsidP="005E5AB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Patients ended study</w:t>
            </w:r>
          </w:p>
        </w:tc>
        <w:tc>
          <w:tcPr>
            <w:tcW w:w="1701" w:type="dxa"/>
          </w:tcPr>
          <w:p w14:paraId="3E23DF0B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25 (73.5)</w:t>
            </w:r>
          </w:p>
        </w:tc>
        <w:tc>
          <w:tcPr>
            <w:tcW w:w="2531" w:type="dxa"/>
          </w:tcPr>
          <w:p w14:paraId="01307A4C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21 (44.7)</w:t>
            </w:r>
          </w:p>
        </w:tc>
      </w:tr>
      <w:tr w:rsidR="00B35B27" w:rsidRPr="009271D9" w14:paraId="0559BB10" w14:textId="77777777" w:rsidTr="005E5AB4">
        <w:trPr>
          <w:trHeight w:val="440"/>
        </w:trPr>
        <w:tc>
          <w:tcPr>
            <w:tcW w:w="4678" w:type="dxa"/>
          </w:tcPr>
          <w:p w14:paraId="45D21D5D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Death</w:t>
            </w:r>
          </w:p>
        </w:tc>
        <w:tc>
          <w:tcPr>
            <w:tcW w:w="1701" w:type="dxa"/>
          </w:tcPr>
          <w:p w14:paraId="28BD4E21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23 (67.6)</w:t>
            </w:r>
          </w:p>
        </w:tc>
        <w:tc>
          <w:tcPr>
            <w:tcW w:w="2531" w:type="dxa"/>
          </w:tcPr>
          <w:p w14:paraId="016B1D8F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17 (36.2)</w:t>
            </w:r>
          </w:p>
        </w:tc>
      </w:tr>
      <w:tr w:rsidR="00B35B27" w:rsidRPr="009271D9" w14:paraId="260A0E2A" w14:textId="77777777" w:rsidTr="005E5AB4">
        <w:trPr>
          <w:trHeight w:val="440"/>
        </w:trPr>
        <w:tc>
          <w:tcPr>
            <w:tcW w:w="4678" w:type="dxa"/>
          </w:tcPr>
          <w:p w14:paraId="5E6A0C8F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Withdrawal of consent</w:t>
            </w:r>
          </w:p>
        </w:tc>
        <w:tc>
          <w:tcPr>
            <w:tcW w:w="1701" w:type="dxa"/>
          </w:tcPr>
          <w:p w14:paraId="2570B4AF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2531" w:type="dxa"/>
          </w:tcPr>
          <w:p w14:paraId="6FD052EC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(4.3)</w:t>
            </w:r>
          </w:p>
        </w:tc>
      </w:tr>
      <w:tr w:rsidR="00B35B27" w:rsidRPr="009271D9" w14:paraId="4D988397" w14:textId="77777777" w:rsidTr="005E5AB4">
        <w:trPr>
          <w:trHeight w:val="680"/>
        </w:trPr>
        <w:tc>
          <w:tcPr>
            <w:tcW w:w="4678" w:type="dxa"/>
          </w:tcPr>
          <w:p w14:paraId="6ACE206C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Lost to follow-up</w:t>
            </w:r>
          </w:p>
          <w:p w14:paraId="00BEADCC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1701" w:type="dxa"/>
          </w:tcPr>
          <w:p w14:paraId="2E1E2794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  <w:p w14:paraId="55E122A5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31" w:type="dxa"/>
          </w:tcPr>
          <w:p w14:paraId="38FAFD07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(2.1)</w:t>
            </w:r>
          </w:p>
          <w:p w14:paraId="0FC9D90D" w14:textId="77777777" w:rsidR="00B35B27" w:rsidRPr="009271D9" w:rsidRDefault="00B9430F" w:rsidP="005E5AB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(2.1)</w:t>
            </w:r>
          </w:p>
        </w:tc>
      </w:tr>
    </w:tbl>
    <w:p w14:paraId="5AD39261" w14:textId="2841EC84" w:rsidR="00B35B27" w:rsidRPr="00046702" w:rsidRDefault="00B35B27" w:rsidP="00046702">
      <w:pPr>
        <w:spacing w:after="0" w:line="480" w:lineRule="auto"/>
        <w:rPr>
          <w:rFonts w:cs="Arial"/>
        </w:rPr>
      </w:pPr>
    </w:p>
    <w:p w14:paraId="7CA61756" w14:textId="77777777" w:rsidR="00046702" w:rsidRDefault="00046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1A3819D" w14:textId="475A5B8F" w:rsidR="00B35B27" w:rsidRPr="009271D9" w:rsidRDefault="00046702" w:rsidP="00046702">
      <w:pPr>
        <w:spacing w:after="0" w:line="480" w:lineRule="auto"/>
        <w:outlineLvl w:val="1"/>
        <w:rPr>
          <w:rFonts w:cs="Arial"/>
          <w:b/>
        </w:rPr>
      </w:pPr>
      <w:r>
        <w:rPr>
          <w:rFonts w:cs="Arial"/>
          <w:b/>
        </w:rPr>
        <w:lastRenderedPageBreak/>
        <w:t xml:space="preserve">Supplementary </w:t>
      </w:r>
      <w:r w:rsidR="00B9430F" w:rsidRPr="009271D9">
        <w:rPr>
          <w:rFonts w:cs="Arial"/>
          <w:b/>
        </w:rPr>
        <w:t xml:space="preserve">Table S2. </w:t>
      </w:r>
      <w:r w:rsidR="00B9430F" w:rsidRPr="00217C89">
        <w:rPr>
          <w:rFonts w:cs="Arial"/>
          <w:b/>
          <w:i/>
          <w:iCs/>
        </w:rPr>
        <w:t>HER2</w:t>
      </w:r>
      <w:r w:rsidR="00B9430F" w:rsidRPr="009271D9">
        <w:rPr>
          <w:rFonts w:cs="Arial"/>
          <w:b/>
        </w:rPr>
        <w:t xml:space="preserve"> mutational characteristics</w:t>
      </w:r>
    </w:p>
    <w:tbl>
      <w:tblPr>
        <w:tblStyle w:val="5"/>
        <w:tblW w:w="87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564"/>
        <w:gridCol w:w="2268"/>
        <w:gridCol w:w="2977"/>
      </w:tblGrid>
      <w:tr w:rsidR="00B35B27" w:rsidRPr="009271D9" w14:paraId="6ABFE029" w14:textId="77777777" w:rsidTr="005E5AB4">
        <w:trPr>
          <w:trHeight w:val="420"/>
        </w:trPr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B00680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Domain</w:t>
            </w:r>
          </w:p>
        </w:tc>
        <w:tc>
          <w:tcPr>
            <w:tcW w:w="68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64B9F" w14:textId="77777777" w:rsidR="00B35B27" w:rsidRPr="009271D9" w:rsidRDefault="00B9430F" w:rsidP="009271D9">
            <w:pPr>
              <w:spacing w:after="0" w:line="480" w:lineRule="auto"/>
              <w:ind w:left="100"/>
              <w:jc w:val="center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No. of patients (%)</w:t>
            </w:r>
          </w:p>
        </w:tc>
      </w:tr>
      <w:tr w:rsidR="00B35B27" w:rsidRPr="009271D9" w14:paraId="1B27B52F" w14:textId="77777777" w:rsidTr="00585448">
        <w:trPr>
          <w:trHeight w:val="1140"/>
        </w:trPr>
        <w:tc>
          <w:tcPr>
            <w:tcW w:w="198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7715" w14:textId="77777777" w:rsidR="00B35B27" w:rsidRPr="009271D9" w:rsidRDefault="00B35B27" w:rsidP="009271D9">
            <w:pPr>
              <w:spacing w:line="480" w:lineRule="auto"/>
              <w:ind w:left="100"/>
              <w:rPr>
                <w:rFonts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7059F0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All patients (</w:t>
            </w:r>
            <w:r w:rsidRPr="009271D9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>=81)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3728F2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Neratinib monotherapy (</w:t>
            </w:r>
            <w:r w:rsidRPr="009271D9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>=34)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AC72D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Neratinib + fulvestrant combination therapy (</w:t>
            </w:r>
            <w:r w:rsidRPr="009271D9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>=47)</w:t>
            </w:r>
          </w:p>
        </w:tc>
      </w:tr>
      <w:tr w:rsidR="00B35B27" w:rsidRPr="009271D9" w14:paraId="36003E23" w14:textId="77777777" w:rsidTr="00585448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8984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PKD hotspot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7BB3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48 (59.3)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4757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22 (64.7)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88C2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26 (55.3)</w:t>
            </w:r>
          </w:p>
        </w:tc>
      </w:tr>
      <w:tr w:rsidR="00B35B27" w:rsidRPr="009271D9" w14:paraId="436623B0" w14:textId="77777777" w:rsidTr="00585448">
        <w:trPr>
          <w:trHeight w:val="6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9F61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Exon 20 insertion hotspot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1DD5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15 (18.5)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6D2A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(17.6)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B69A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9 (19.1)</w:t>
            </w:r>
          </w:p>
        </w:tc>
      </w:tr>
      <w:tr w:rsidR="00B35B27" w:rsidRPr="009271D9" w14:paraId="03C987FC" w14:textId="77777777" w:rsidTr="00585448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E696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S310 hotspot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E58E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10 (12.3)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42FD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(8.8)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CBE9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7 (14.9)</w:t>
            </w:r>
          </w:p>
        </w:tc>
      </w:tr>
      <w:tr w:rsidR="00B35B27" w:rsidRPr="009271D9" w14:paraId="2DB96D30" w14:textId="77777777" w:rsidTr="00585448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75F5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proofErr w:type="gramStart"/>
            <w:r w:rsidRPr="009271D9">
              <w:rPr>
                <w:rFonts w:cs="Arial"/>
                <w:sz w:val="20"/>
                <w:szCs w:val="20"/>
              </w:rPr>
              <w:t>Other</w:t>
            </w:r>
            <w:proofErr w:type="gramEnd"/>
            <w:r w:rsidRPr="009271D9">
              <w:rPr>
                <w:rFonts w:cs="Arial"/>
                <w:sz w:val="20"/>
                <w:szCs w:val="20"/>
              </w:rPr>
              <w:t xml:space="preserve"> hotspot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26AC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(2.5)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7930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0513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(4.3)</w:t>
            </w:r>
          </w:p>
        </w:tc>
      </w:tr>
      <w:tr w:rsidR="00B35B27" w:rsidRPr="009271D9" w14:paraId="17C1C911" w14:textId="77777777" w:rsidTr="00585448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A89F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proofErr w:type="gramStart"/>
            <w:r w:rsidRPr="009271D9">
              <w:rPr>
                <w:rFonts w:cs="Arial"/>
                <w:sz w:val="20"/>
                <w:szCs w:val="20"/>
              </w:rPr>
              <w:t>Other</w:t>
            </w:r>
            <w:proofErr w:type="gramEnd"/>
            <w:r w:rsidRPr="009271D9">
              <w:rPr>
                <w:rFonts w:cs="Arial"/>
                <w:sz w:val="20"/>
                <w:szCs w:val="20"/>
              </w:rPr>
              <w:t xml:space="preserve"> non-hotspot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C1F8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(7.4)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F147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(8.8)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14BF" w14:textId="77777777" w:rsidR="00B35B27" w:rsidRPr="009271D9" w:rsidRDefault="00B9430F" w:rsidP="009271D9">
            <w:pPr>
              <w:spacing w:after="0" w:line="480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(6.4)</w:t>
            </w:r>
          </w:p>
        </w:tc>
      </w:tr>
    </w:tbl>
    <w:p w14:paraId="004B5763" w14:textId="77777777" w:rsidR="00B35B27" w:rsidRPr="009271D9" w:rsidRDefault="00B9430F" w:rsidP="009271D9">
      <w:pPr>
        <w:spacing w:before="240" w:after="0" w:line="480" w:lineRule="auto"/>
        <w:rPr>
          <w:rFonts w:cs="Arial"/>
        </w:rPr>
      </w:pPr>
      <w:r w:rsidRPr="009271D9">
        <w:rPr>
          <w:rFonts w:cs="Arial"/>
        </w:rPr>
        <w:t>PKD, protein kinase domain.</w:t>
      </w:r>
    </w:p>
    <w:p w14:paraId="65642C02" w14:textId="77777777" w:rsidR="00B35B27" w:rsidRPr="009271D9" w:rsidRDefault="00B9430F" w:rsidP="009271D9">
      <w:pPr>
        <w:spacing w:after="0" w:line="480" w:lineRule="auto"/>
        <w:rPr>
          <w:rFonts w:cs="Arial"/>
        </w:rPr>
      </w:pPr>
      <w:r w:rsidRPr="009271D9">
        <w:rPr>
          <w:rFonts w:cs="Arial"/>
        </w:rPr>
        <w:t xml:space="preserve"> </w:t>
      </w:r>
    </w:p>
    <w:p w14:paraId="4EF927A9" w14:textId="77777777" w:rsidR="00B35B27" w:rsidRPr="009271D9" w:rsidRDefault="00B35B27" w:rsidP="009271D9">
      <w:pPr>
        <w:spacing w:line="480" w:lineRule="auto"/>
        <w:rPr>
          <w:rFonts w:cs="Arial"/>
          <w:sz w:val="24"/>
          <w:szCs w:val="24"/>
        </w:rPr>
      </w:pPr>
    </w:p>
    <w:p w14:paraId="2B568F39" w14:textId="2BEAE64C" w:rsidR="000F25D8" w:rsidRDefault="000F25D8" w:rsidP="00DE2D1F">
      <w:pPr>
        <w:spacing w:after="0" w:line="480" w:lineRule="auto"/>
        <w:outlineLvl w:val="1"/>
        <w:rPr>
          <w:rFonts w:cs="Arial"/>
          <w:b/>
          <w:bCs/>
        </w:rPr>
        <w:sectPr w:rsidR="000F25D8">
          <w:headerReference w:type="default" r:id="rId10"/>
          <w:footerReference w:type="default" r:id="rId11"/>
          <w:pgSz w:w="12240" w:h="15840"/>
          <w:pgMar w:top="1440" w:right="1440" w:bottom="1440" w:left="1440" w:header="0" w:footer="720" w:gutter="0"/>
          <w:cols w:space="720" w:equalWidth="0">
            <w:col w:w="9360"/>
          </w:cols>
        </w:sectPr>
      </w:pPr>
    </w:p>
    <w:p w14:paraId="4D41FB89" w14:textId="771F8527" w:rsidR="002537AC" w:rsidRDefault="002537AC" w:rsidP="000F1F2A">
      <w:pPr>
        <w:outlineLvl w:val="1"/>
        <w:rPr>
          <w:rFonts w:cs="Arial"/>
          <w:b/>
          <w:bCs/>
        </w:rPr>
      </w:pPr>
      <w:bookmarkStart w:id="2" w:name="_Hlk22135997"/>
      <w:r w:rsidRPr="007D0595">
        <w:rPr>
          <w:rFonts w:cs="Arial"/>
          <w:b/>
          <w:bCs/>
        </w:rPr>
        <w:lastRenderedPageBreak/>
        <w:t xml:space="preserve">Supplementary </w:t>
      </w:r>
      <w:r w:rsidRPr="005C2C79">
        <w:rPr>
          <w:rFonts w:cs="Arial"/>
          <w:b/>
          <w:bCs/>
        </w:rPr>
        <w:t>Table S3. Treatment</w:t>
      </w:r>
      <w:r w:rsidRPr="007D059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e</w:t>
      </w:r>
      <w:r w:rsidRPr="007D0595">
        <w:rPr>
          <w:rFonts w:cs="Arial"/>
          <w:b/>
          <w:bCs/>
        </w:rPr>
        <w:t>fficacy and impact of prior</w:t>
      </w:r>
      <w:r>
        <w:rPr>
          <w:rFonts w:cs="Arial"/>
          <w:b/>
          <w:bCs/>
        </w:rPr>
        <w:t xml:space="preserve"> fulvestrant and CDK4/6 inhibitor-containing therapy on treatment outcome</w:t>
      </w:r>
    </w:p>
    <w:p w14:paraId="0F4428B3" w14:textId="77777777" w:rsidR="002537AC" w:rsidRDefault="002537AC">
      <w:pPr>
        <w:rPr>
          <w:rFonts w:cs="Arial"/>
          <w:b/>
          <w:bCs/>
          <w:highlight w:val="yellow"/>
        </w:rPr>
      </w:pPr>
    </w:p>
    <w:tbl>
      <w:tblPr>
        <w:tblStyle w:val="PlainTable4"/>
        <w:tblW w:w="12800" w:type="dxa"/>
        <w:tblLayout w:type="fixed"/>
        <w:tblLook w:val="0600" w:firstRow="0" w:lastRow="0" w:firstColumn="0" w:lastColumn="0" w:noHBand="1" w:noVBand="1"/>
      </w:tblPr>
      <w:tblGrid>
        <w:gridCol w:w="4862"/>
        <w:gridCol w:w="1984"/>
        <w:gridCol w:w="1985"/>
        <w:gridCol w:w="1984"/>
        <w:gridCol w:w="1985"/>
      </w:tblGrid>
      <w:tr w:rsidR="002537AC" w:rsidRPr="008477A6" w14:paraId="5812FD61" w14:textId="77777777" w:rsidTr="00FA51A1">
        <w:trPr>
          <w:trHeight w:val="180"/>
        </w:trPr>
        <w:tc>
          <w:tcPr>
            <w:tcW w:w="4862" w:type="dxa"/>
            <w:tcBorders>
              <w:bottom w:val="single" w:sz="4" w:space="0" w:color="auto"/>
            </w:tcBorders>
            <w:vAlign w:val="bottom"/>
          </w:tcPr>
          <w:p w14:paraId="78E590C1" w14:textId="77777777" w:rsidR="002537AC" w:rsidRPr="008477A6" w:rsidRDefault="002537AC" w:rsidP="00782A79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9EF355A" w14:textId="77777777" w:rsidR="002537AC" w:rsidRPr="008477A6" w:rsidRDefault="002537AC" w:rsidP="00782A79">
            <w:pPr>
              <w:spacing w:line="276" w:lineRule="auto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8477A6">
              <w:rPr>
                <w:rFonts w:cs="Arial"/>
                <w:b/>
                <w:sz w:val="20"/>
                <w:szCs w:val="20"/>
              </w:rPr>
              <w:t xml:space="preserve">Neratinib </w:t>
            </w:r>
            <w:proofErr w:type="spellStart"/>
            <w:r w:rsidRPr="008477A6">
              <w:rPr>
                <w:rFonts w:cs="Arial"/>
                <w:b/>
                <w:sz w:val="20"/>
                <w:szCs w:val="20"/>
              </w:rPr>
              <w:t>monotherapy</w:t>
            </w:r>
            <w:r w:rsidRPr="008477A6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8DE6D47" w14:textId="77777777" w:rsidR="002537AC" w:rsidRPr="008477A6" w:rsidRDefault="002537AC" w:rsidP="00782A79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477A6">
              <w:rPr>
                <w:rFonts w:cs="Arial"/>
                <w:b/>
                <w:sz w:val="20"/>
                <w:szCs w:val="20"/>
              </w:rPr>
              <w:t>Neratinib + fulvestrant</w:t>
            </w:r>
          </w:p>
        </w:tc>
      </w:tr>
      <w:tr w:rsidR="002537AC" w:rsidRPr="008477A6" w14:paraId="0A3353E8" w14:textId="77777777" w:rsidTr="00FA51A1">
        <w:tc>
          <w:tcPr>
            <w:tcW w:w="48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8F621B" w14:textId="77777777" w:rsidR="002537AC" w:rsidRPr="008477A6" w:rsidRDefault="002537AC" w:rsidP="00782A79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477A6">
              <w:rPr>
                <w:rFonts w:cs="Arial"/>
                <w:b/>
                <w:sz w:val="20"/>
                <w:szCs w:val="20"/>
              </w:rPr>
              <w:t>Prior fulvestrant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B386EA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477A6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4BA86E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477A6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8973AE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477A6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27AD62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477A6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2537AC" w:rsidRPr="008477A6" w14:paraId="591B2785" w14:textId="77777777" w:rsidTr="00FA51A1">
        <w:tc>
          <w:tcPr>
            <w:tcW w:w="4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26B3CF" w14:textId="2CE68498" w:rsidR="002537AC" w:rsidRPr="008477A6" w:rsidRDefault="002537AC" w:rsidP="00782A79">
            <w:pPr>
              <w:spacing w:line="276" w:lineRule="auto"/>
              <w:ind w:left="175"/>
              <w:rPr>
                <w:rFonts w:cs="Arial"/>
                <w:b/>
                <w:sz w:val="20"/>
                <w:szCs w:val="20"/>
              </w:rPr>
            </w:pPr>
            <w:r w:rsidRPr="008477A6">
              <w:rPr>
                <w:rFonts w:cs="Arial"/>
                <w:b/>
                <w:sz w:val="20"/>
                <w:szCs w:val="20"/>
              </w:rPr>
              <w:t xml:space="preserve">All patients (intent to </w:t>
            </w:r>
            <w:proofErr w:type="gramStart"/>
            <w:r w:rsidRPr="008477A6">
              <w:rPr>
                <w:rFonts w:cs="Arial"/>
                <w:b/>
                <w:sz w:val="20"/>
                <w:szCs w:val="20"/>
              </w:rPr>
              <w:t>treat)</w:t>
            </w:r>
            <w:r w:rsidRPr="008477A6"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D05CE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(</w:t>
            </w:r>
            <w:r w:rsidRPr="00A94413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EB6310">
              <w:rPr>
                <w:rFonts w:cs="Arial"/>
                <w:sz w:val="20"/>
                <w:szCs w:val="20"/>
              </w:rPr>
              <w:t>=12)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64A88C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(</w:t>
            </w:r>
            <w:r w:rsidRPr="00A94413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EB6310">
              <w:rPr>
                <w:rFonts w:cs="Arial"/>
                <w:sz w:val="20"/>
                <w:szCs w:val="20"/>
              </w:rPr>
              <w:t>=11)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2CE3D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(</w:t>
            </w:r>
            <w:r w:rsidRPr="00A94413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EB6310">
              <w:rPr>
                <w:rFonts w:cs="Arial"/>
                <w:sz w:val="20"/>
                <w:szCs w:val="20"/>
              </w:rPr>
              <w:t>=25)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EC9A9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(</w:t>
            </w:r>
            <w:r w:rsidRPr="00A94413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EB6310">
              <w:rPr>
                <w:rFonts w:cs="Arial"/>
                <w:sz w:val="20"/>
                <w:szCs w:val="20"/>
              </w:rPr>
              <w:t>=22)</w:t>
            </w:r>
          </w:p>
        </w:tc>
      </w:tr>
      <w:tr w:rsidR="002537AC" w:rsidRPr="008477A6" w14:paraId="5E526D48" w14:textId="77777777" w:rsidTr="00FA51A1"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01C7EBF7" w14:textId="227981BA" w:rsidR="002537AC" w:rsidRPr="008477A6" w:rsidRDefault="002537AC" w:rsidP="00782A79">
            <w:pPr>
              <w:spacing w:line="276" w:lineRule="auto"/>
              <w:ind w:left="175"/>
              <w:rPr>
                <w:rFonts w:cs="Arial"/>
                <w:b/>
                <w:sz w:val="20"/>
                <w:szCs w:val="20"/>
              </w:rPr>
            </w:pPr>
            <w:r w:rsidRPr="008477A6">
              <w:rPr>
                <w:rFonts w:cs="Arial"/>
                <w:b/>
                <w:sz w:val="20"/>
                <w:szCs w:val="20"/>
              </w:rPr>
              <w:t xml:space="preserve">Confirmed overall objective </w:t>
            </w:r>
            <w:proofErr w:type="spellStart"/>
            <w:r w:rsidRPr="008477A6">
              <w:rPr>
                <w:rFonts w:cs="Arial"/>
                <w:b/>
                <w:sz w:val="20"/>
                <w:szCs w:val="20"/>
              </w:rPr>
              <w:t>response</w:t>
            </w:r>
            <w:r w:rsidRPr="008477A6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8477A6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8477A6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8477A6">
              <w:rPr>
                <w:rFonts w:cs="Arial"/>
                <w:b/>
                <w:sz w:val="20"/>
                <w:szCs w:val="20"/>
              </w:rPr>
              <w:t> (%)</w:t>
            </w:r>
          </w:p>
          <w:p w14:paraId="6DB4239E" w14:textId="2A72937D" w:rsidR="002537AC" w:rsidRPr="008477A6" w:rsidRDefault="002537AC" w:rsidP="00782A79">
            <w:pPr>
              <w:spacing w:line="276" w:lineRule="auto"/>
              <w:ind w:left="459"/>
              <w:rPr>
                <w:rFonts w:cs="Arial"/>
                <w:sz w:val="20"/>
                <w:szCs w:val="20"/>
              </w:rPr>
            </w:pPr>
            <w:r w:rsidRPr="008477A6">
              <w:rPr>
                <w:rFonts w:cs="Arial"/>
                <w:sz w:val="20"/>
                <w:szCs w:val="20"/>
              </w:rPr>
              <w:t>Complete response</w:t>
            </w:r>
          </w:p>
          <w:p w14:paraId="32C749C8" w14:textId="0890F0DD" w:rsidR="002537AC" w:rsidRPr="008477A6" w:rsidRDefault="002537AC" w:rsidP="00782A79">
            <w:pPr>
              <w:spacing w:line="276" w:lineRule="auto"/>
              <w:ind w:left="458"/>
              <w:rPr>
                <w:rFonts w:cs="Arial"/>
                <w:sz w:val="20"/>
                <w:szCs w:val="20"/>
              </w:rPr>
            </w:pPr>
            <w:r w:rsidRPr="008477A6">
              <w:rPr>
                <w:rFonts w:cs="Arial"/>
                <w:sz w:val="20"/>
                <w:szCs w:val="20"/>
              </w:rPr>
              <w:t>Partial response</w:t>
            </w:r>
          </w:p>
          <w:p w14:paraId="22663EEC" w14:textId="3B750894" w:rsidR="002537AC" w:rsidRPr="008477A6" w:rsidRDefault="002537AC" w:rsidP="00782A79">
            <w:pPr>
              <w:spacing w:line="276" w:lineRule="auto"/>
              <w:ind w:left="458"/>
              <w:rPr>
                <w:rFonts w:cs="Arial"/>
                <w:sz w:val="20"/>
                <w:szCs w:val="20"/>
              </w:rPr>
            </w:pPr>
            <w:r w:rsidRPr="008477A6">
              <w:rPr>
                <w:rFonts w:cs="Arial"/>
                <w:sz w:val="20"/>
                <w:szCs w:val="20"/>
              </w:rPr>
              <w:t>Overall objective response rate (95% 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7889F3A" w14:textId="77777777" w:rsidR="002537AC" w:rsidRPr="002C58C2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58C2">
              <w:rPr>
                <w:rFonts w:cs="Arial"/>
                <w:sz w:val="20"/>
                <w:szCs w:val="20"/>
              </w:rPr>
              <w:t>4 (33.3)</w:t>
            </w:r>
            <w:r w:rsidRPr="002C58C2">
              <w:rPr>
                <w:rFonts w:cs="Arial"/>
                <w:sz w:val="20"/>
                <w:szCs w:val="20"/>
              </w:rPr>
              <w:br/>
              <w:t>2 (16.7)</w:t>
            </w:r>
          </w:p>
          <w:p w14:paraId="5F515673" w14:textId="77777777" w:rsidR="002537AC" w:rsidRPr="002C58C2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58C2">
              <w:rPr>
                <w:rFonts w:cs="Arial"/>
                <w:sz w:val="20"/>
                <w:szCs w:val="20"/>
              </w:rPr>
              <w:t>2 (16.7)</w:t>
            </w:r>
          </w:p>
          <w:p w14:paraId="4E6E6693" w14:textId="39848A08" w:rsidR="002537AC" w:rsidRPr="002C58C2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58C2">
              <w:rPr>
                <w:rFonts w:cs="Arial"/>
                <w:sz w:val="20"/>
                <w:szCs w:val="20"/>
              </w:rPr>
              <w:t>33.3 (</w:t>
            </w:r>
            <w:r w:rsidRPr="002C58C2">
              <w:rPr>
                <w:sz w:val="20"/>
                <w:szCs w:val="20"/>
              </w:rPr>
              <w:t>9.9</w:t>
            </w:r>
            <w:r w:rsidR="00FA51A1">
              <w:rPr>
                <w:sz w:val="20"/>
                <w:szCs w:val="20"/>
              </w:rPr>
              <w:t>–</w:t>
            </w:r>
            <w:r w:rsidRPr="002C58C2">
              <w:rPr>
                <w:sz w:val="20"/>
                <w:szCs w:val="20"/>
              </w:rPr>
              <w:t>65.1</w:t>
            </w:r>
            <w:r w:rsidRPr="002C58C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61E559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0</w:t>
            </w:r>
          </w:p>
          <w:p w14:paraId="52A88044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0</w:t>
            </w:r>
          </w:p>
          <w:p w14:paraId="254D9123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0</w:t>
            </w:r>
          </w:p>
          <w:p w14:paraId="2BC5BCCA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0 (0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EB6310">
              <w:rPr>
                <w:rFonts w:cs="Arial"/>
                <w:sz w:val="20"/>
                <w:szCs w:val="20"/>
              </w:rPr>
              <w:t>28.5)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E85963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4 (1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6310">
              <w:rPr>
                <w:rFonts w:cs="Arial"/>
                <w:sz w:val="20"/>
                <w:szCs w:val="20"/>
              </w:rPr>
              <w:t>.0)</w:t>
            </w:r>
            <w:r w:rsidRPr="00EB6310">
              <w:rPr>
                <w:rFonts w:cs="Arial"/>
                <w:sz w:val="20"/>
                <w:szCs w:val="20"/>
              </w:rPr>
              <w:br/>
              <w:t>0</w:t>
            </w:r>
            <w:r w:rsidRPr="00EB6310">
              <w:rPr>
                <w:rFonts w:cs="Arial"/>
                <w:sz w:val="20"/>
                <w:szCs w:val="20"/>
              </w:rPr>
              <w:br/>
              <w:t>4 (1</w:t>
            </w:r>
            <w:r>
              <w:rPr>
                <w:rFonts w:cs="Arial"/>
                <w:sz w:val="20"/>
                <w:szCs w:val="20"/>
              </w:rPr>
              <w:t>6</w:t>
            </w:r>
            <w:r w:rsidRPr="00EB6310">
              <w:rPr>
                <w:rFonts w:cs="Arial"/>
                <w:sz w:val="20"/>
                <w:szCs w:val="20"/>
              </w:rPr>
              <w:t>.0)</w:t>
            </w:r>
            <w:r w:rsidRPr="00EB6310">
              <w:rPr>
                <w:rFonts w:cs="Arial"/>
                <w:sz w:val="20"/>
                <w:szCs w:val="20"/>
              </w:rPr>
              <w:br/>
              <w:t>16.0 (4.5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EB6310">
              <w:rPr>
                <w:rFonts w:cs="Arial"/>
                <w:sz w:val="20"/>
                <w:szCs w:val="20"/>
              </w:rPr>
              <w:t>36.1)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BA1A28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10 (45.5)</w:t>
            </w:r>
            <w:r w:rsidRPr="00EB6310">
              <w:rPr>
                <w:rFonts w:cs="Arial"/>
                <w:sz w:val="20"/>
                <w:szCs w:val="20"/>
              </w:rPr>
              <w:br/>
              <w:t>4 (18.2)</w:t>
            </w:r>
          </w:p>
          <w:p w14:paraId="2D8A5FA7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6 (27.3)</w:t>
            </w:r>
          </w:p>
          <w:p w14:paraId="30844B88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45.5 (24.4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EB6310">
              <w:rPr>
                <w:rFonts w:cs="Arial"/>
                <w:sz w:val="20"/>
                <w:szCs w:val="20"/>
              </w:rPr>
              <w:t>67.8)</w:t>
            </w:r>
          </w:p>
        </w:tc>
      </w:tr>
      <w:tr w:rsidR="002537AC" w:rsidRPr="008477A6" w14:paraId="6EE94DAD" w14:textId="77777777" w:rsidTr="00FA51A1">
        <w:tc>
          <w:tcPr>
            <w:tcW w:w="4862" w:type="dxa"/>
            <w:tcBorders>
              <w:top w:val="single" w:sz="4" w:space="0" w:color="auto"/>
            </w:tcBorders>
          </w:tcPr>
          <w:p w14:paraId="1B374AEF" w14:textId="2CB01EDD" w:rsidR="002537AC" w:rsidRPr="008477A6" w:rsidRDefault="002537AC" w:rsidP="00782A79">
            <w:pPr>
              <w:spacing w:line="276" w:lineRule="auto"/>
              <w:ind w:left="175"/>
              <w:rPr>
                <w:rFonts w:cs="Arial"/>
                <w:b/>
                <w:sz w:val="20"/>
                <w:szCs w:val="20"/>
              </w:rPr>
            </w:pPr>
            <w:r w:rsidRPr="008477A6">
              <w:rPr>
                <w:rFonts w:cs="Arial"/>
                <w:b/>
                <w:sz w:val="20"/>
                <w:szCs w:val="20"/>
              </w:rPr>
              <w:t>Clinical benefit rate</w:t>
            </w:r>
            <w:r w:rsidRPr="008477A6">
              <w:rPr>
                <w:rFonts w:cs="Arial"/>
                <w:b/>
                <w:sz w:val="20"/>
                <w:szCs w:val="20"/>
                <w:vertAlign w:val="superscript"/>
              </w:rPr>
              <w:t>d</w:t>
            </w:r>
            <w:r w:rsidRPr="008477A6">
              <w:rPr>
                <w:rFonts w:cs="Arial"/>
                <w:b/>
                <w:sz w:val="20"/>
                <w:szCs w:val="20"/>
              </w:rPr>
              <w:t>, % (95% CI)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3427C41" w14:textId="118E8C12" w:rsidR="002537AC" w:rsidRPr="002C58C2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C58C2">
              <w:rPr>
                <w:sz w:val="20"/>
                <w:szCs w:val="20"/>
              </w:rPr>
              <w:t>50.0 (21.1</w:t>
            </w:r>
            <w:r w:rsidR="00FA51A1">
              <w:rPr>
                <w:sz w:val="20"/>
                <w:szCs w:val="20"/>
              </w:rPr>
              <w:t>–</w:t>
            </w:r>
            <w:r w:rsidRPr="002C58C2">
              <w:rPr>
                <w:sz w:val="20"/>
                <w:szCs w:val="20"/>
              </w:rPr>
              <w:t>78.9)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8A5A3C1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9.1 (0.2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EB6310">
              <w:rPr>
                <w:rFonts w:cs="Arial"/>
                <w:sz w:val="20"/>
                <w:szCs w:val="20"/>
              </w:rPr>
              <w:t>41.3)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587EA4C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36.0 (18.0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EB6310">
              <w:rPr>
                <w:rFonts w:cs="Arial"/>
                <w:sz w:val="20"/>
                <w:szCs w:val="20"/>
              </w:rPr>
              <w:t>57.5)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342E83" w14:textId="77777777" w:rsidR="002537AC" w:rsidRPr="00EB6310" w:rsidRDefault="002537AC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B6310">
              <w:rPr>
                <w:rFonts w:cs="Arial"/>
                <w:sz w:val="20"/>
                <w:szCs w:val="20"/>
              </w:rPr>
              <w:t>59.1 (36.4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EB6310">
              <w:rPr>
                <w:rFonts w:cs="Arial"/>
                <w:sz w:val="20"/>
                <w:szCs w:val="20"/>
              </w:rPr>
              <w:t>79.3)</w:t>
            </w:r>
          </w:p>
        </w:tc>
      </w:tr>
      <w:tr w:rsidR="003E4028" w:rsidRPr="008477A6" w14:paraId="4CC323B6" w14:textId="77777777" w:rsidTr="00FA51A1">
        <w:trPr>
          <w:trHeight w:val="568"/>
        </w:trPr>
        <w:tc>
          <w:tcPr>
            <w:tcW w:w="4862" w:type="dxa"/>
            <w:tcBorders>
              <w:bottom w:val="single" w:sz="4" w:space="0" w:color="auto"/>
            </w:tcBorders>
          </w:tcPr>
          <w:p w14:paraId="0755C9E1" w14:textId="7B9CC279" w:rsidR="003E4028" w:rsidRPr="003C1E3E" w:rsidRDefault="003E4028" w:rsidP="00782A79">
            <w:pPr>
              <w:spacing w:line="276" w:lineRule="auto"/>
              <w:ind w:left="175"/>
              <w:rPr>
                <w:rFonts w:cs="Arial"/>
                <w:b/>
                <w:sz w:val="20"/>
                <w:szCs w:val="20"/>
              </w:rPr>
            </w:pPr>
            <w:r w:rsidRPr="003C1E3E">
              <w:rPr>
                <w:rFonts w:cs="Arial"/>
                <w:b/>
                <w:sz w:val="20"/>
                <w:szCs w:val="20"/>
              </w:rPr>
              <w:t>Time to event (months), median (95% CI)</w:t>
            </w:r>
          </w:p>
          <w:p w14:paraId="012E831A" w14:textId="47DD9305" w:rsidR="003E4028" w:rsidRPr="003C1E3E" w:rsidRDefault="003E4028" w:rsidP="00782A79">
            <w:pPr>
              <w:spacing w:line="276" w:lineRule="auto"/>
              <w:ind w:left="458"/>
              <w:rPr>
                <w:rFonts w:cs="Arial"/>
                <w:sz w:val="20"/>
                <w:szCs w:val="20"/>
              </w:rPr>
            </w:pPr>
            <w:r w:rsidRPr="003C1E3E">
              <w:rPr>
                <w:rFonts w:cs="Arial"/>
                <w:sz w:val="20"/>
                <w:szCs w:val="20"/>
              </w:rPr>
              <w:t>Progression-free survival</w:t>
            </w:r>
          </w:p>
          <w:p w14:paraId="70681F0F" w14:textId="1A5DF26C" w:rsidR="003E4028" w:rsidRPr="003C1E3E" w:rsidRDefault="003E4028" w:rsidP="00782A79">
            <w:pPr>
              <w:spacing w:line="276" w:lineRule="auto"/>
              <w:ind w:left="458"/>
              <w:rPr>
                <w:rFonts w:cs="Arial"/>
                <w:sz w:val="20"/>
                <w:szCs w:val="20"/>
              </w:rPr>
            </w:pPr>
            <w:r w:rsidRPr="003C1E3E">
              <w:rPr>
                <w:rFonts w:cs="Arial"/>
                <w:sz w:val="20"/>
                <w:szCs w:val="20"/>
              </w:rPr>
              <w:t>Duration of response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CAE5FA" w14:textId="77777777" w:rsidR="003E4028" w:rsidRPr="003C1E3E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9950319" w14:textId="708E0FED" w:rsidR="003E4028" w:rsidRPr="003C1E3E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C1E3E">
              <w:rPr>
                <w:color w:val="000000"/>
                <w:sz w:val="20"/>
                <w:szCs w:val="20"/>
              </w:rPr>
              <w:t>4.8 (1.7, 9.0)</w:t>
            </w:r>
          </w:p>
          <w:p w14:paraId="657C7F81" w14:textId="02F89380" w:rsidR="003E4028" w:rsidRPr="003C1E3E" w:rsidRDefault="00E9764F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C1E3E">
              <w:rPr>
                <w:color w:val="000000"/>
                <w:sz w:val="20"/>
                <w:szCs w:val="20"/>
              </w:rPr>
              <w:t>6.5 (3.7</w:t>
            </w:r>
            <w:r w:rsidR="00B657F8">
              <w:rPr>
                <w:color w:val="000000"/>
                <w:sz w:val="20"/>
                <w:szCs w:val="20"/>
              </w:rPr>
              <w:t>–</w:t>
            </w:r>
            <w:r w:rsidRPr="003C1E3E">
              <w:rPr>
                <w:color w:val="000000"/>
                <w:sz w:val="20"/>
                <w:szCs w:val="20"/>
              </w:rPr>
              <w:t>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433F50" w14:textId="77777777" w:rsidR="003E4028" w:rsidRPr="003C1E3E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A70B746" w14:textId="4FD08510" w:rsidR="003E4028" w:rsidRPr="003C1E3E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C1E3E">
              <w:rPr>
                <w:color w:val="000000"/>
                <w:sz w:val="20"/>
                <w:szCs w:val="20"/>
              </w:rPr>
              <w:t>3.5 (1.3</w:t>
            </w:r>
            <w:r w:rsidR="00B657F8">
              <w:rPr>
                <w:color w:val="000000"/>
                <w:sz w:val="20"/>
                <w:szCs w:val="20"/>
              </w:rPr>
              <w:t>–</w:t>
            </w:r>
            <w:r w:rsidRPr="003C1E3E">
              <w:rPr>
                <w:color w:val="000000"/>
                <w:sz w:val="20"/>
                <w:szCs w:val="20"/>
              </w:rPr>
              <w:t>3.7)</w:t>
            </w:r>
          </w:p>
          <w:p w14:paraId="74346362" w14:textId="4344040B" w:rsidR="003E4028" w:rsidRPr="003C1E3E" w:rsidRDefault="00E9764F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C1E3E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D58486" w14:textId="77777777" w:rsidR="003E4028" w:rsidRPr="003C1E3E" w:rsidRDefault="003E4028" w:rsidP="00782A7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4A0B1F6B" w14:textId="47712CC4" w:rsidR="003E4028" w:rsidRPr="003C1E3E" w:rsidRDefault="003E4028" w:rsidP="00782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C1E3E">
              <w:rPr>
                <w:color w:val="000000"/>
                <w:sz w:val="20"/>
                <w:szCs w:val="20"/>
              </w:rPr>
              <w:t>3.7 (3.5</w:t>
            </w:r>
            <w:r w:rsidR="00B657F8">
              <w:rPr>
                <w:color w:val="000000"/>
                <w:sz w:val="20"/>
                <w:szCs w:val="20"/>
              </w:rPr>
              <w:t>–</w:t>
            </w:r>
            <w:r w:rsidRPr="003C1E3E">
              <w:rPr>
                <w:color w:val="000000"/>
                <w:sz w:val="20"/>
                <w:szCs w:val="20"/>
              </w:rPr>
              <w:t>6.9)</w:t>
            </w:r>
          </w:p>
          <w:p w14:paraId="18D5998B" w14:textId="1FCE440A" w:rsidR="003E4028" w:rsidRPr="003C1E3E" w:rsidRDefault="00E9764F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C1E3E">
              <w:rPr>
                <w:color w:val="000000"/>
                <w:sz w:val="20"/>
                <w:szCs w:val="20"/>
              </w:rPr>
              <w:t>16.6 (9.2</w:t>
            </w:r>
            <w:r w:rsidR="00B657F8">
              <w:rPr>
                <w:color w:val="000000"/>
                <w:sz w:val="20"/>
                <w:szCs w:val="20"/>
              </w:rPr>
              <w:t>–</w:t>
            </w:r>
            <w:r w:rsidRPr="003C1E3E">
              <w:rPr>
                <w:color w:val="000000"/>
                <w:sz w:val="20"/>
                <w:szCs w:val="20"/>
              </w:rPr>
              <w:t>16.6)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EA0BE1" w14:textId="77777777" w:rsidR="003E4028" w:rsidRPr="003C1E3E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E169F38" w14:textId="778ABB16" w:rsidR="003E4028" w:rsidRPr="003C1E3E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C1E3E">
              <w:rPr>
                <w:color w:val="000000"/>
                <w:sz w:val="20"/>
                <w:szCs w:val="20"/>
              </w:rPr>
              <w:t>8.2 (3.8</w:t>
            </w:r>
            <w:r w:rsidR="00B657F8">
              <w:rPr>
                <w:color w:val="000000"/>
                <w:sz w:val="20"/>
                <w:szCs w:val="20"/>
              </w:rPr>
              <w:t>–</w:t>
            </w:r>
            <w:r w:rsidRPr="003C1E3E">
              <w:rPr>
                <w:color w:val="000000"/>
                <w:sz w:val="20"/>
                <w:szCs w:val="20"/>
              </w:rPr>
              <w:t>14.5)</w:t>
            </w:r>
          </w:p>
          <w:p w14:paraId="5570358C" w14:textId="457EEEBA" w:rsidR="003E4028" w:rsidRPr="008477A6" w:rsidRDefault="00E9764F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C1E3E">
              <w:rPr>
                <w:color w:val="000000"/>
                <w:sz w:val="20"/>
                <w:szCs w:val="20"/>
              </w:rPr>
              <w:t>7.4 (3.9</w:t>
            </w:r>
            <w:r w:rsidR="00B657F8">
              <w:rPr>
                <w:color w:val="000000"/>
                <w:sz w:val="20"/>
                <w:szCs w:val="20"/>
              </w:rPr>
              <w:t>–</w:t>
            </w:r>
            <w:r w:rsidRPr="003C1E3E">
              <w:rPr>
                <w:color w:val="000000"/>
                <w:sz w:val="20"/>
                <w:szCs w:val="20"/>
              </w:rPr>
              <w:t>NA)</w:t>
            </w:r>
          </w:p>
        </w:tc>
      </w:tr>
      <w:tr w:rsidR="003E4028" w:rsidRPr="008477A6" w14:paraId="7EAEB36C" w14:textId="77777777" w:rsidTr="00FA51A1">
        <w:tc>
          <w:tcPr>
            <w:tcW w:w="48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3DCD83" w14:textId="77777777" w:rsidR="003E4028" w:rsidRPr="008477A6" w:rsidRDefault="003E4028" w:rsidP="00782A79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32068">
              <w:rPr>
                <w:rFonts w:cs="Arial"/>
                <w:b/>
                <w:sz w:val="20"/>
                <w:szCs w:val="20"/>
              </w:rPr>
              <w:t>Prior CDK4/6 inhibitor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0216F8" w14:textId="77777777" w:rsidR="003E4028" w:rsidRPr="008477A6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381603" w14:textId="77777777" w:rsidR="003E4028" w:rsidRPr="008477A6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B15CD5" w14:textId="77777777" w:rsidR="003E4028" w:rsidRPr="008477A6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435F60" w14:textId="77777777" w:rsidR="003E4028" w:rsidRPr="008477A6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3E4028" w:rsidRPr="008477A6" w14:paraId="28B20687" w14:textId="77777777" w:rsidTr="00FA51A1">
        <w:tc>
          <w:tcPr>
            <w:tcW w:w="4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6365D" w14:textId="25F84C46" w:rsidR="003E4028" w:rsidRPr="008477A6" w:rsidRDefault="003E4028" w:rsidP="00782A79">
            <w:pPr>
              <w:spacing w:line="276" w:lineRule="auto"/>
              <w:ind w:left="175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b/>
                <w:sz w:val="20"/>
                <w:szCs w:val="20"/>
              </w:rPr>
              <w:t xml:space="preserve">All patients (intent to </w:t>
            </w:r>
            <w:proofErr w:type="gramStart"/>
            <w:r w:rsidRPr="00C32068">
              <w:rPr>
                <w:rFonts w:cs="Arial"/>
                <w:b/>
                <w:sz w:val="20"/>
                <w:szCs w:val="20"/>
              </w:rPr>
              <w:t>treat)</w:t>
            </w:r>
            <w:r w:rsidRPr="00C32068"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058A3" w14:textId="77777777" w:rsidR="003E4028" w:rsidRPr="008477A6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(</w:t>
            </w:r>
            <w:r w:rsidRPr="00A94413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C32068">
              <w:rPr>
                <w:rFonts w:cs="Arial"/>
                <w:sz w:val="20"/>
                <w:szCs w:val="20"/>
              </w:rPr>
              <w:t>=2)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550A9" w14:textId="77777777" w:rsidR="003E4028" w:rsidRPr="008477A6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(</w:t>
            </w:r>
            <w:r w:rsidRPr="00A94413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C32068">
              <w:rPr>
                <w:rFonts w:cs="Arial"/>
                <w:sz w:val="20"/>
                <w:szCs w:val="20"/>
              </w:rPr>
              <w:t>=</w:t>
            </w:r>
            <w:r>
              <w:rPr>
                <w:rFonts w:cs="Arial"/>
                <w:sz w:val="20"/>
                <w:szCs w:val="20"/>
              </w:rPr>
              <w:t>21</w:t>
            </w:r>
            <w:r w:rsidRPr="00C3206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44F5D" w14:textId="77777777" w:rsidR="003E4028" w:rsidRPr="008477A6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(</w:t>
            </w:r>
            <w:r w:rsidRPr="00A94413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C32068">
              <w:rPr>
                <w:rFonts w:cs="Arial"/>
                <w:sz w:val="20"/>
                <w:szCs w:val="20"/>
              </w:rPr>
              <w:t>=20)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5992C" w14:textId="77777777" w:rsidR="003E4028" w:rsidRPr="008477A6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(</w:t>
            </w:r>
            <w:r w:rsidRPr="00A94413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C32068">
              <w:rPr>
                <w:rFonts w:cs="Arial"/>
                <w:sz w:val="20"/>
                <w:szCs w:val="20"/>
              </w:rPr>
              <w:t>=27)</w:t>
            </w:r>
          </w:p>
        </w:tc>
      </w:tr>
      <w:tr w:rsidR="003E4028" w:rsidRPr="008477A6" w14:paraId="13009E61" w14:textId="77777777" w:rsidTr="00FA51A1"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50B11ED7" w14:textId="38BD2717" w:rsidR="003E4028" w:rsidRPr="00C32068" w:rsidRDefault="003E4028" w:rsidP="00782A79">
            <w:pPr>
              <w:spacing w:line="276" w:lineRule="auto"/>
              <w:ind w:left="175"/>
              <w:rPr>
                <w:rFonts w:cs="Arial"/>
                <w:b/>
                <w:sz w:val="20"/>
                <w:szCs w:val="20"/>
              </w:rPr>
            </w:pPr>
            <w:r w:rsidRPr="00C32068">
              <w:rPr>
                <w:rFonts w:cs="Arial"/>
                <w:b/>
                <w:sz w:val="20"/>
                <w:szCs w:val="20"/>
              </w:rPr>
              <w:t xml:space="preserve">Confirmed overall objective </w:t>
            </w:r>
            <w:proofErr w:type="spellStart"/>
            <w:r w:rsidRPr="00C32068">
              <w:rPr>
                <w:rFonts w:cs="Arial"/>
                <w:b/>
                <w:sz w:val="20"/>
                <w:szCs w:val="20"/>
              </w:rPr>
              <w:t>response</w:t>
            </w:r>
            <w:r w:rsidRPr="00C32068">
              <w:rPr>
                <w:rFonts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C32068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C32068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C32068">
              <w:rPr>
                <w:rFonts w:cs="Arial"/>
                <w:b/>
                <w:sz w:val="20"/>
                <w:szCs w:val="20"/>
              </w:rPr>
              <w:t> (%)</w:t>
            </w:r>
          </w:p>
          <w:p w14:paraId="35F907FB" w14:textId="4B9175D8" w:rsidR="003E4028" w:rsidRPr="00C32068" w:rsidRDefault="003E4028" w:rsidP="00782A79">
            <w:pPr>
              <w:spacing w:line="276" w:lineRule="auto"/>
              <w:ind w:left="458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Complete response</w:t>
            </w:r>
          </w:p>
          <w:p w14:paraId="2DB3F4E9" w14:textId="2662CD2A" w:rsidR="003E4028" w:rsidRPr="00C32068" w:rsidRDefault="003E4028" w:rsidP="00782A79">
            <w:pPr>
              <w:spacing w:line="276" w:lineRule="auto"/>
              <w:ind w:left="458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Partial response</w:t>
            </w:r>
          </w:p>
          <w:p w14:paraId="6BC7687B" w14:textId="37659B1A" w:rsidR="003E4028" w:rsidRPr="008477A6" w:rsidRDefault="003E4028" w:rsidP="00782A79">
            <w:pPr>
              <w:spacing w:line="276" w:lineRule="auto"/>
              <w:ind w:left="458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Overall objective response rate (95% 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002EB8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0</w:t>
            </w:r>
          </w:p>
          <w:p w14:paraId="0E0D2263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0</w:t>
            </w:r>
          </w:p>
          <w:p w14:paraId="28ECE5C4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0</w:t>
            </w:r>
          </w:p>
          <w:p w14:paraId="233753B7" w14:textId="77777777" w:rsidR="003E4028" w:rsidRPr="00C32068" w:rsidRDefault="003E4028" w:rsidP="00782A7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0 (0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C32068">
              <w:rPr>
                <w:rFonts w:cs="Arial"/>
                <w:sz w:val="20"/>
                <w:szCs w:val="20"/>
              </w:rPr>
              <w:t>84.2)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936036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4 (19.0)</w:t>
            </w:r>
          </w:p>
          <w:p w14:paraId="5CDEAB17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2 (9.5)</w:t>
            </w:r>
          </w:p>
          <w:p w14:paraId="65568963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2 (9.5)</w:t>
            </w:r>
          </w:p>
          <w:p w14:paraId="43E19AB8" w14:textId="77777777" w:rsidR="003E4028" w:rsidRPr="00C32068" w:rsidRDefault="003E4028" w:rsidP="00782A7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19.0 (5.4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C32068">
              <w:rPr>
                <w:rFonts w:cs="Arial"/>
                <w:sz w:val="20"/>
                <w:szCs w:val="20"/>
              </w:rPr>
              <w:t>41.9)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F95312" w14:textId="77777777" w:rsidR="003E4028" w:rsidRPr="00C32068" w:rsidRDefault="003E4028" w:rsidP="00782A7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6 (30.0)</w:t>
            </w:r>
            <w:r w:rsidRPr="00C32068">
              <w:rPr>
                <w:rFonts w:cs="Arial"/>
                <w:sz w:val="20"/>
                <w:szCs w:val="20"/>
              </w:rPr>
              <w:br/>
              <w:t>1 (5.0)</w:t>
            </w:r>
            <w:r w:rsidRPr="00C32068">
              <w:rPr>
                <w:rFonts w:cs="Arial"/>
                <w:sz w:val="20"/>
                <w:szCs w:val="20"/>
              </w:rPr>
              <w:br/>
              <w:t>5 (25.0)</w:t>
            </w:r>
            <w:r w:rsidRPr="00C32068">
              <w:rPr>
                <w:rFonts w:cs="Arial"/>
                <w:sz w:val="20"/>
                <w:szCs w:val="20"/>
              </w:rPr>
              <w:br/>
              <w:t>30.0 (11.9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C32068">
              <w:rPr>
                <w:rFonts w:cs="Arial"/>
                <w:sz w:val="20"/>
                <w:szCs w:val="20"/>
              </w:rPr>
              <w:t>54.3)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F4A54B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8 (29.6)</w:t>
            </w:r>
            <w:r w:rsidRPr="00C32068">
              <w:rPr>
                <w:rFonts w:cs="Arial"/>
                <w:sz w:val="20"/>
                <w:szCs w:val="20"/>
              </w:rPr>
              <w:br/>
              <w:t>3 (11.1)</w:t>
            </w:r>
          </w:p>
          <w:p w14:paraId="3F75FA39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5 (18.5)</w:t>
            </w:r>
          </w:p>
          <w:p w14:paraId="2C0D3D97" w14:textId="77777777" w:rsidR="003E4028" w:rsidRPr="00C32068" w:rsidRDefault="003E4028" w:rsidP="00782A79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29.6 (13.8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C32068">
              <w:rPr>
                <w:rFonts w:cs="Arial"/>
                <w:sz w:val="20"/>
                <w:szCs w:val="20"/>
              </w:rPr>
              <w:t>50.2)</w:t>
            </w:r>
          </w:p>
        </w:tc>
      </w:tr>
      <w:tr w:rsidR="003E4028" w:rsidRPr="008477A6" w14:paraId="4C9C59A9" w14:textId="77777777" w:rsidTr="00FA51A1">
        <w:tc>
          <w:tcPr>
            <w:tcW w:w="4862" w:type="dxa"/>
            <w:tcBorders>
              <w:top w:val="single" w:sz="4" w:space="0" w:color="auto"/>
            </w:tcBorders>
          </w:tcPr>
          <w:p w14:paraId="19C89E85" w14:textId="10FC97E1" w:rsidR="003E4028" w:rsidRPr="00C32068" w:rsidRDefault="003E4028" w:rsidP="00782A79">
            <w:pPr>
              <w:spacing w:line="276" w:lineRule="auto"/>
              <w:ind w:left="175"/>
              <w:rPr>
                <w:rFonts w:cs="Arial"/>
                <w:b/>
                <w:sz w:val="20"/>
                <w:szCs w:val="20"/>
              </w:rPr>
            </w:pPr>
            <w:r w:rsidRPr="00C32068">
              <w:rPr>
                <w:rFonts w:cs="Arial"/>
                <w:b/>
                <w:sz w:val="20"/>
                <w:szCs w:val="20"/>
              </w:rPr>
              <w:t>Clinical benefit rate</w:t>
            </w:r>
            <w:r w:rsidRPr="00C32068">
              <w:rPr>
                <w:rFonts w:cs="Arial"/>
                <w:b/>
                <w:sz w:val="20"/>
                <w:szCs w:val="20"/>
                <w:vertAlign w:val="superscript"/>
              </w:rPr>
              <w:t>d</w:t>
            </w:r>
            <w:r w:rsidRPr="00C32068">
              <w:rPr>
                <w:rFonts w:cs="Arial"/>
                <w:b/>
                <w:sz w:val="20"/>
                <w:szCs w:val="20"/>
              </w:rPr>
              <w:t>, % (95% CI)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761F65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C32068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0–84.2</w:t>
            </w:r>
            <w:r w:rsidRPr="00C3206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E9F3FAF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33.3 (14.6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C32068">
              <w:rPr>
                <w:rFonts w:cs="Arial"/>
                <w:sz w:val="20"/>
                <w:szCs w:val="20"/>
              </w:rPr>
              <w:t>57.0)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E5AD5D3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40.0 (19.1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C32068">
              <w:rPr>
                <w:rFonts w:cs="Arial"/>
                <w:sz w:val="20"/>
                <w:szCs w:val="20"/>
              </w:rPr>
              <w:t>63.9)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DC9AA70" w14:textId="77777777" w:rsidR="003E4028" w:rsidRPr="00C3206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C32068">
              <w:rPr>
                <w:rFonts w:cs="Arial"/>
                <w:sz w:val="20"/>
                <w:szCs w:val="20"/>
              </w:rPr>
              <w:t>51.9 (31.9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C32068">
              <w:rPr>
                <w:rFonts w:cs="Arial"/>
                <w:sz w:val="20"/>
                <w:szCs w:val="20"/>
              </w:rPr>
              <w:t>71.3)</w:t>
            </w:r>
          </w:p>
        </w:tc>
      </w:tr>
      <w:tr w:rsidR="003E4028" w:rsidRPr="008477A6" w14:paraId="1088BCA5" w14:textId="77777777" w:rsidTr="00FA51A1">
        <w:tc>
          <w:tcPr>
            <w:tcW w:w="4862" w:type="dxa"/>
            <w:tcBorders>
              <w:bottom w:val="single" w:sz="4" w:space="0" w:color="auto"/>
            </w:tcBorders>
          </w:tcPr>
          <w:p w14:paraId="25289378" w14:textId="78F2C281" w:rsidR="003E4028" w:rsidRPr="00235809" w:rsidRDefault="003E4028" w:rsidP="00782A79">
            <w:pPr>
              <w:spacing w:line="276" w:lineRule="auto"/>
              <w:ind w:left="175"/>
              <w:rPr>
                <w:rFonts w:cs="Arial"/>
                <w:b/>
                <w:sz w:val="20"/>
                <w:szCs w:val="20"/>
              </w:rPr>
            </w:pPr>
            <w:r w:rsidRPr="00235809">
              <w:rPr>
                <w:rFonts w:cs="Arial"/>
                <w:b/>
                <w:sz w:val="20"/>
                <w:szCs w:val="20"/>
              </w:rPr>
              <w:t>Time to event (months), median (95% CI)</w:t>
            </w:r>
          </w:p>
          <w:p w14:paraId="20AE2BBA" w14:textId="141CD789" w:rsidR="003E4028" w:rsidRPr="00235809" w:rsidRDefault="003E4028" w:rsidP="00782A79">
            <w:pPr>
              <w:spacing w:line="276" w:lineRule="auto"/>
              <w:ind w:left="458"/>
              <w:rPr>
                <w:rFonts w:cs="Arial"/>
                <w:sz w:val="20"/>
                <w:szCs w:val="20"/>
              </w:rPr>
            </w:pPr>
            <w:r w:rsidRPr="00235809">
              <w:rPr>
                <w:rFonts w:cs="Arial"/>
                <w:sz w:val="20"/>
                <w:szCs w:val="20"/>
              </w:rPr>
              <w:t>Progression-free survival</w:t>
            </w:r>
          </w:p>
          <w:p w14:paraId="54D03CD6" w14:textId="3185623C" w:rsidR="003E4028" w:rsidRPr="00C32068" w:rsidRDefault="003E4028" w:rsidP="00782A79">
            <w:pPr>
              <w:spacing w:line="276" w:lineRule="auto"/>
              <w:ind w:left="458"/>
              <w:rPr>
                <w:rFonts w:cs="Arial"/>
                <w:b/>
                <w:sz w:val="20"/>
                <w:szCs w:val="20"/>
              </w:rPr>
            </w:pPr>
            <w:r w:rsidRPr="00235809">
              <w:rPr>
                <w:rFonts w:cs="Arial"/>
                <w:sz w:val="20"/>
                <w:szCs w:val="20"/>
              </w:rPr>
              <w:t>Duration of response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179EE" w14:textId="77777777" w:rsidR="003E4028" w:rsidRPr="00235809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7BE4967" w14:textId="326BBCB9" w:rsidR="00E9764F" w:rsidRPr="00235809" w:rsidRDefault="00D105AB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35809">
              <w:rPr>
                <w:sz w:val="20"/>
                <w:szCs w:val="20"/>
              </w:rPr>
              <w:t>2.8 (1.8</w:t>
            </w:r>
            <w:r w:rsidR="00235809" w:rsidRPr="00235809">
              <w:rPr>
                <w:sz w:val="20"/>
                <w:szCs w:val="20"/>
              </w:rPr>
              <w:t>–</w:t>
            </w:r>
            <w:r w:rsidRPr="00235809">
              <w:rPr>
                <w:sz w:val="20"/>
                <w:szCs w:val="20"/>
              </w:rPr>
              <w:t>3.7)</w:t>
            </w:r>
          </w:p>
          <w:p w14:paraId="53BAB568" w14:textId="0D45D5C7" w:rsidR="00E9764F" w:rsidRPr="00235809" w:rsidRDefault="00235809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35809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E8700C" w14:textId="77777777" w:rsidR="003E4028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760CFA5" w14:textId="32EFE603" w:rsidR="003C1E3E" w:rsidRPr="00753CB6" w:rsidRDefault="00235809" w:rsidP="003C1E3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3C1E3E" w:rsidRPr="00753CB6">
              <w:rPr>
                <w:sz w:val="20"/>
                <w:szCs w:val="20"/>
              </w:rPr>
              <w:t xml:space="preserve"> (1.8</w:t>
            </w:r>
            <w:r>
              <w:rPr>
                <w:sz w:val="20"/>
                <w:szCs w:val="20"/>
              </w:rPr>
              <w:t>–5.4</w:t>
            </w:r>
            <w:r w:rsidR="003C1E3E" w:rsidRPr="00753CB6">
              <w:rPr>
                <w:sz w:val="20"/>
                <w:szCs w:val="20"/>
              </w:rPr>
              <w:t>)</w:t>
            </w:r>
          </w:p>
          <w:p w14:paraId="3CCE448D" w14:textId="139A8287" w:rsidR="00E9764F" w:rsidRPr="00C32068" w:rsidRDefault="00235809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6.5 (3.7–NA)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4601E5" w14:textId="77777777" w:rsidR="003E4028" w:rsidRPr="00235809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E150C3F" w14:textId="6B6B4DCA" w:rsidR="00E9764F" w:rsidRPr="00235809" w:rsidRDefault="000F1F2A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35809">
              <w:rPr>
                <w:sz w:val="20"/>
                <w:szCs w:val="20"/>
              </w:rPr>
              <w:t>4.1 (1.9</w:t>
            </w:r>
            <w:r w:rsidR="00235809" w:rsidRPr="00235809">
              <w:rPr>
                <w:sz w:val="20"/>
                <w:szCs w:val="20"/>
              </w:rPr>
              <w:t>–</w:t>
            </w:r>
            <w:r w:rsidRPr="00235809">
              <w:rPr>
                <w:sz w:val="20"/>
                <w:szCs w:val="20"/>
              </w:rPr>
              <w:t>10.9)</w:t>
            </w:r>
          </w:p>
          <w:p w14:paraId="5028B308" w14:textId="11799638" w:rsidR="00E9764F" w:rsidRPr="00235809" w:rsidRDefault="00235809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35809">
              <w:rPr>
                <w:rFonts w:cs="Arial"/>
                <w:sz w:val="20"/>
                <w:szCs w:val="20"/>
              </w:rPr>
              <w:t>NA (4.5–NA)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637674" w14:textId="77777777" w:rsidR="003E4028" w:rsidRPr="003C1E3E" w:rsidRDefault="003E4028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B00D74F" w14:textId="1C423B68" w:rsidR="003C1E3E" w:rsidRPr="00753CB6" w:rsidRDefault="00235809" w:rsidP="003C1E3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 w:rsidR="003C1E3E" w:rsidRPr="00753C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3.6–</w:t>
            </w:r>
            <w:r w:rsidR="003C1E3E" w:rsidRPr="00753C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4.5</w:t>
            </w:r>
            <w:r w:rsidR="003C1E3E" w:rsidRPr="00753CB6">
              <w:rPr>
                <w:sz w:val="20"/>
                <w:szCs w:val="20"/>
              </w:rPr>
              <w:t>)</w:t>
            </w:r>
          </w:p>
          <w:p w14:paraId="446923A1" w14:textId="1D9D02F3" w:rsidR="00E9764F" w:rsidRPr="003C1E3E" w:rsidRDefault="00235809" w:rsidP="00782A7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9.0 (3.9–16.6)</w:t>
            </w:r>
          </w:p>
        </w:tc>
      </w:tr>
    </w:tbl>
    <w:p w14:paraId="0E79FCD8" w14:textId="77777777" w:rsidR="002537AC" w:rsidRDefault="002537AC" w:rsidP="000F170E">
      <w:pPr>
        <w:spacing w:after="0" w:line="240" w:lineRule="auto"/>
        <w:rPr>
          <w:rFonts w:cs="Arial"/>
          <w:b/>
          <w:bCs/>
          <w:highlight w:val="yellow"/>
        </w:rPr>
      </w:pPr>
    </w:p>
    <w:p w14:paraId="54361714" w14:textId="09130196" w:rsidR="000F1F2A" w:rsidRPr="001C36BD" w:rsidRDefault="000F1F2A" w:rsidP="000F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sz w:val="20"/>
          <w:szCs w:val="20"/>
        </w:rPr>
      </w:pPr>
      <w:r w:rsidRPr="00D52EE1">
        <w:rPr>
          <w:rFonts w:cs="Arial"/>
          <w:sz w:val="20"/>
          <w:szCs w:val="20"/>
        </w:rPr>
        <w:t xml:space="preserve">CDK, cyclin-dependent kinase; </w:t>
      </w:r>
      <w:r w:rsidRPr="001C36BD">
        <w:rPr>
          <w:rFonts w:cs="Arial"/>
          <w:sz w:val="20"/>
          <w:szCs w:val="20"/>
        </w:rPr>
        <w:t xml:space="preserve">CI, confidence interval; </w:t>
      </w:r>
      <w:r w:rsidRPr="00E62484">
        <w:rPr>
          <w:rFonts w:cs="Arial"/>
          <w:sz w:val="20"/>
          <w:szCs w:val="20"/>
        </w:rPr>
        <w:t xml:space="preserve">NA, Not </w:t>
      </w:r>
      <w:r w:rsidR="00E62484">
        <w:rPr>
          <w:rFonts w:cs="Arial"/>
          <w:sz w:val="20"/>
          <w:szCs w:val="20"/>
        </w:rPr>
        <w:t>availa</w:t>
      </w:r>
      <w:r w:rsidRPr="00E62484">
        <w:rPr>
          <w:rFonts w:cs="Arial"/>
          <w:sz w:val="20"/>
          <w:szCs w:val="20"/>
        </w:rPr>
        <w:t>ble;</w:t>
      </w:r>
      <w:r>
        <w:rPr>
          <w:rFonts w:cs="Arial"/>
          <w:sz w:val="20"/>
          <w:szCs w:val="20"/>
        </w:rPr>
        <w:t xml:space="preserve"> </w:t>
      </w:r>
      <w:r w:rsidRPr="001C36BD">
        <w:rPr>
          <w:rFonts w:cs="Arial"/>
          <w:sz w:val="20"/>
          <w:szCs w:val="20"/>
        </w:rPr>
        <w:t>RECIST, Response Evaluation Criteria in Solid Tumors.</w:t>
      </w:r>
    </w:p>
    <w:p w14:paraId="4D495D75" w14:textId="3A203BE6" w:rsidR="000F25D8" w:rsidRDefault="000F1F2A" w:rsidP="000F170E">
      <w:pPr>
        <w:spacing w:after="0" w:line="240" w:lineRule="auto"/>
        <w:rPr>
          <w:rFonts w:cs="Arial"/>
          <w:b/>
          <w:bCs/>
          <w:highlight w:val="yellow"/>
        </w:rPr>
      </w:pPr>
      <w:proofErr w:type="spellStart"/>
      <w:r w:rsidRPr="008477A6">
        <w:rPr>
          <w:rFonts w:cs="Arial"/>
          <w:sz w:val="20"/>
          <w:szCs w:val="20"/>
          <w:vertAlign w:val="superscript"/>
        </w:rPr>
        <w:t>a</w:t>
      </w:r>
      <w:r w:rsidRPr="008477A6">
        <w:rPr>
          <w:rFonts w:cs="Arial"/>
          <w:sz w:val="20"/>
          <w:szCs w:val="20"/>
        </w:rPr>
        <w:t>E</w:t>
      </w:r>
      <w:r w:rsidRPr="00C74FAB">
        <w:rPr>
          <w:rFonts w:cs="Arial"/>
          <w:sz w:val="20"/>
          <w:szCs w:val="20"/>
        </w:rPr>
        <w:t>strogen</w:t>
      </w:r>
      <w:proofErr w:type="spellEnd"/>
      <w:r w:rsidRPr="00C74FAB">
        <w:rPr>
          <w:rFonts w:cs="Arial"/>
          <w:sz w:val="20"/>
          <w:szCs w:val="20"/>
        </w:rPr>
        <w:t xml:space="preserve"> receptor</w:t>
      </w:r>
      <w:r>
        <w:rPr>
          <w:rFonts w:cs="Arial"/>
          <w:sz w:val="20"/>
          <w:szCs w:val="20"/>
        </w:rPr>
        <w:t xml:space="preserve">-positive </w:t>
      </w:r>
      <w:r w:rsidRPr="008477A6">
        <w:rPr>
          <w:rFonts w:cs="Arial"/>
          <w:sz w:val="20"/>
          <w:szCs w:val="20"/>
        </w:rPr>
        <w:t xml:space="preserve">patients only. </w:t>
      </w:r>
      <w:proofErr w:type="spellStart"/>
      <w:r w:rsidRPr="008477A6">
        <w:rPr>
          <w:rFonts w:cs="Arial"/>
          <w:color w:val="000000"/>
          <w:sz w:val="20"/>
          <w:szCs w:val="20"/>
          <w:vertAlign w:val="superscript"/>
        </w:rPr>
        <w:t>b</w:t>
      </w:r>
      <w:r w:rsidRPr="008477A6">
        <w:rPr>
          <w:rFonts w:cs="Arial"/>
          <w:color w:val="000000"/>
          <w:sz w:val="20"/>
          <w:szCs w:val="20"/>
        </w:rPr>
        <w:t>Response</w:t>
      </w:r>
      <w:proofErr w:type="spellEnd"/>
      <w:r w:rsidRPr="008477A6">
        <w:rPr>
          <w:rFonts w:cs="Arial"/>
          <w:color w:val="000000"/>
          <w:sz w:val="20"/>
          <w:szCs w:val="20"/>
        </w:rPr>
        <w:t xml:space="preserve"> is based on investigator-assessment per </w:t>
      </w:r>
      <w:r>
        <w:rPr>
          <w:rFonts w:cs="Arial"/>
          <w:color w:val="000000"/>
          <w:sz w:val="20"/>
          <w:szCs w:val="20"/>
        </w:rPr>
        <w:t>RECIST</w:t>
      </w:r>
      <w:r w:rsidRPr="008477A6">
        <w:rPr>
          <w:rFonts w:cs="Arial"/>
          <w:color w:val="000000"/>
          <w:sz w:val="20"/>
          <w:szCs w:val="20"/>
        </w:rPr>
        <w:t xml:space="preserve"> (version 1.1), in patients with measurable disease, or positron-emission tomography response criteria in patients without measurable disease. </w:t>
      </w:r>
      <w:proofErr w:type="spellStart"/>
      <w:r w:rsidRPr="008477A6">
        <w:rPr>
          <w:rFonts w:cs="Arial"/>
          <w:color w:val="000000"/>
          <w:sz w:val="20"/>
          <w:szCs w:val="20"/>
          <w:vertAlign w:val="superscript"/>
        </w:rPr>
        <w:t>c</w:t>
      </w:r>
      <w:r w:rsidRPr="008477A6">
        <w:rPr>
          <w:rFonts w:cs="Arial"/>
          <w:color w:val="000000"/>
          <w:sz w:val="20"/>
          <w:szCs w:val="20"/>
        </w:rPr>
        <w:t>Confirmed</w:t>
      </w:r>
      <w:proofErr w:type="spellEnd"/>
      <w:r w:rsidRPr="008477A6">
        <w:rPr>
          <w:rFonts w:cs="Arial"/>
          <w:color w:val="000000"/>
          <w:sz w:val="20"/>
          <w:szCs w:val="20"/>
        </w:rPr>
        <w:t xml:space="preserve"> no less than 4</w:t>
      </w:r>
      <w:r>
        <w:rPr>
          <w:rFonts w:cs="Arial"/>
          <w:color w:val="000000"/>
          <w:sz w:val="20"/>
          <w:szCs w:val="20"/>
        </w:rPr>
        <w:t xml:space="preserve"> </w:t>
      </w:r>
      <w:r w:rsidRPr="008477A6">
        <w:rPr>
          <w:rFonts w:cs="Arial"/>
          <w:color w:val="000000"/>
          <w:sz w:val="20"/>
          <w:szCs w:val="20"/>
        </w:rPr>
        <w:t xml:space="preserve">weeks after the criteria for response </w:t>
      </w:r>
      <w:r>
        <w:rPr>
          <w:rFonts w:cs="Arial"/>
          <w:color w:val="000000"/>
          <w:sz w:val="20"/>
          <w:szCs w:val="20"/>
        </w:rPr>
        <w:t>we</w:t>
      </w:r>
      <w:r w:rsidRPr="008477A6">
        <w:rPr>
          <w:rFonts w:cs="Arial"/>
          <w:color w:val="000000"/>
          <w:sz w:val="20"/>
          <w:szCs w:val="20"/>
        </w:rPr>
        <w:t xml:space="preserve">re initially met. </w:t>
      </w:r>
      <w:proofErr w:type="spellStart"/>
      <w:r w:rsidRPr="008477A6">
        <w:rPr>
          <w:rFonts w:cs="Arial"/>
          <w:color w:val="000000"/>
          <w:sz w:val="20"/>
          <w:szCs w:val="20"/>
          <w:vertAlign w:val="superscript"/>
        </w:rPr>
        <w:t>d</w:t>
      </w:r>
      <w:r w:rsidRPr="008477A6">
        <w:rPr>
          <w:rFonts w:cs="Arial"/>
          <w:color w:val="000000"/>
          <w:sz w:val="20"/>
          <w:szCs w:val="20"/>
        </w:rPr>
        <w:t>Clinical</w:t>
      </w:r>
      <w:proofErr w:type="spellEnd"/>
      <w:r w:rsidRPr="008477A6">
        <w:rPr>
          <w:rFonts w:cs="Arial"/>
          <w:color w:val="000000"/>
          <w:sz w:val="20"/>
          <w:szCs w:val="20"/>
        </w:rPr>
        <w:t xml:space="preserve"> benefit defined as confirmed best overall response of complete response, partial response of any duration</w:t>
      </w:r>
      <w:r>
        <w:rPr>
          <w:rFonts w:cs="Arial"/>
          <w:color w:val="000000"/>
          <w:sz w:val="20"/>
          <w:szCs w:val="20"/>
        </w:rPr>
        <w:t>,</w:t>
      </w:r>
      <w:r w:rsidRPr="008477A6">
        <w:rPr>
          <w:rFonts w:cs="Arial"/>
          <w:color w:val="000000"/>
          <w:sz w:val="20"/>
          <w:szCs w:val="20"/>
        </w:rPr>
        <w:t xml:space="preserve"> or stable disease lasting for </w:t>
      </w:r>
      <w:r>
        <w:rPr>
          <w:rFonts w:cs="Arial"/>
          <w:color w:val="000000"/>
          <w:sz w:val="20"/>
          <w:szCs w:val="20"/>
        </w:rPr>
        <w:t>≥</w:t>
      </w:r>
      <w:r w:rsidRPr="008477A6">
        <w:rPr>
          <w:rFonts w:cs="Arial"/>
          <w:color w:val="000000"/>
          <w:sz w:val="20"/>
          <w:szCs w:val="20"/>
        </w:rPr>
        <w:t>24 weeks.</w:t>
      </w:r>
      <w:r>
        <w:rPr>
          <w:rFonts w:cs="Arial"/>
          <w:color w:val="000000"/>
          <w:sz w:val="20"/>
          <w:szCs w:val="20"/>
        </w:rPr>
        <w:t xml:space="preserve"> </w:t>
      </w:r>
      <w:r w:rsidR="000F25D8">
        <w:rPr>
          <w:rFonts w:cs="Arial"/>
          <w:b/>
          <w:bCs/>
          <w:highlight w:val="yellow"/>
        </w:rPr>
        <w:br w:type="page"/>
      </w:r>
    </w:p>
    <w:bookmarkEnd w:id="2"/>
    <w:p w14:paraId="1413464F" w14:textId="1D407261" w:rsidR="00A70AD0" w:rsidRDefault="00A70AD0" w:rsidP="000F170E">
      <w:pPr>
        <w:spacing w:after="0" w:line="240" w:lineRule="auto"/>
        <w:rPr>
          <w:rFonts w:cs="Arial"/>
          <w:b/>
        </w:rPr>
        <w:sectPr w:rsidR="00A70AD0" w:rsidSect="00D00CAC">
          <w:pgSz w:w="16838" w:h="11906" w:orient="landscape" w:code="9"/>
          <w:pgMar w:top="1440" w:right="1440" w:bottom="1440" w:left="1440" w:header="0" w:footer="720" w:gutter="0"/>
          <w:cols w:space="720" w:equalWidth="0">
            <w:col w:w="9360"/>
          </w:cols>
          <w:docGrid w:linePitch="299"/>
        </w:sectPr>
      </w:pPr>
    </w:p>
    <w:p w14:paraId="47736BF1" w14:textId="434159DF" w:rsidR="00B35B27" w:rsidRPr="009271D9" w:rsidRDefault="00B9430F" w:rsidP="00046702">
      <w:pPr>
        <w:spacing w:after="0" w:line="480" w:lineRule="auto"/>
        <w:outlineLvl w:val="1"/>
        <w:rPr>
          <w:rFonts w:cs="Arial"/>
          <w:b/>
          <w:vertAlign w:val="superscript"/>
        </w:rPr>
      </w:pPr>
      <w:r w:rsidRPr="009271D9">
        <w:rPr>
          <w:rFonts w:cs="Arial"/>
          <w:b/>
        </w:rPr>
        <w:lastRenderedPageBreak/>
        <w:t xml:space="preserve">Supplementary Table </w:t>
      </w:r>
      <w:r w:rsidR="00A70AD0" w:rsidRPr="009271D9">
        <w:rPr>
          <w:rFonts w:cs="Arial"/>
          <w:b/>
        </w:rPr>
        <w:t>S</w:t>
      </w:r>
      <w:r w:rsidR="00782A79">
        <w:rPr>
          <w:rFonts w:cs="Arial"/>
          <w:b/>
        </w:rPr>
        <w:t>4</w:t>
      </w:r>
      <w:r w:rsidRPr="009271D9">
        <w:rPr>
          <w:rFonts w:cs="Arial"/>
          <w:b/>
        </w:rPr>
        <w:t xml:space="preserve">. Adverse </w:t>
      </w:r>
      <w:proofErr w:type="spellStart"/>
      <w:r w:rsidRPr="009271D9">
        <w:rPr>
          <w:rFonts w:cs="Arial"/>
          <w:b/>
        </w:rPr>
        <w:t>events</w:t>
      </w:r>
      <w:r w:rsidRPr="009271D9">
        <w:rPr>
          <w:rFonts w:cs="Arial"/>
          <w:b/>
          <w:vertAlign w:val="superscript"/>
        </w:rPr>
        <w:t>a</w:t>
      </w:r>
      <w:proofErr w:type="spellEnd"/>
    </w:p>
    <w:tbl>
      <w:tblPr>
        <w:tblStyle w:val="PlainTable2"/>
        <w:tblW w:w="9359" w:type="dxa"/>
        <w:tblLayout w:type="fixed"/>
        <w:tblLook w:val="0600" w:firstRow="0" w:lastRow="0" w:firstColumn="0" w:lastColumn="0" w:noHBand="1" w:noVBand="1"/>
      </w:tblPr>
      <w:tblGrid>
        <w:gridCol w:w="1929"/>
        <w:gridCol w:w="1238"/>
        <w:gridCol w:w="1238"/>
        <w:gridCol w:w="1239"/>
        <w:gridCol w:w="1238"/>
        <w:gridCol w:w="1238"/>
        <w:gridCol w:w="1239"/>
      </w:tblGrid>
      <w:tr w:rsidR="00B35B27" w:rsidRPr="009271D9" w14:paraId="4DC770F2" w14:textId="77777777" w:rsidTr="009C73E4">
        <w:trPr>
          <w:trHeight w:val="480"/>
        </w:trPr>
        <w:tc>
          <w:tcPr>
            <w:tcW w:w="1929" w:type="dxa"/>
            <w:vMerge w:val="restart"/>
            <w:tcBorders>
              <w:top w:val="single" w:sz="4" w:space="0" w:color="7F7F7F" w:themeColor="text1" w:themeTint="80"/>
            </w:tcBorders>
          </w:tcPr>
          <w:p w14:paraId="3200C575" w14:textId="77777777" w:rsidR="00B35B27" w:rsidRPr="009271D9" w:rsidRDefault="00B9430F" w:rsidP="009C73E4">
            <w:pPr>
              <w:ind w:left="100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Event</w:t>
            </w:r>
          </w:p>
        </w:tc>
        <w:tc>
          <w:tcPr>
            <w:tcW w:w="2476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62A3E93A" w14:textId="3D2185D8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Neratinib monotherapy (</w:t>
            </w:r>
            <w:r w:rsidR="00336E0F" w:rsidRPr="00336E0F">
              <w:rPr>
                <w:rFonts w:cs="Arial"/>
                <w:b/>
                <w:i/>
                <w:iCs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>=34)</w:t>
            </w:r>
          </w:p>
        </w:tc>
        <w:tc>
          <w:tcPr>
            <w:tcW w:w="2477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5373A19" w14:textId="77777777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Neratinib + fulvestrant (</w:t>
            </w:r>
            <w:r w:rsidRPr="00336E0F">
              <w:rPr>
                <w:rFonts w:cs="Arial"/>
                <w:b/>
                <w:i/>
                <w:iCs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>=47)</w:t>
            </w:r>
          </w:p>
        </w:tc>
        <w:tc>
          <w:tcPr>
            <w:tcW w:w="2477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14:paraId="72BCBDBA" w14:textId="77777777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All patients (</w:t>
            </w:r>
            <w:r w:rsidRPr="008F239E">
              <w:rPr>
                <w:rFonts w:cs="Arial"/>
                <w:b/>
                <w:i/>
                <w:iCs/>
                <w:sz w:val="20"/>
                <w:szCs w:val="20"/>
              </w:rPr>
              <w:t>n</w:t>
            </w:r>
            <w:r w:rsidRPr="009271D9">
              <w:rPr>
                <w:rFonts w:cs="Arial"/>
                <w:b/>
                <w:sz w:val="20"/>
                <w:szCs w:val="20"/>
              </w:rPr>
              <w:t>=81)</w:t>
            </w:r>
          </w:p>
        </w:tc>
      </w:tr>
      <w:tr w:rsidR="00B35B27" w:rsidRPr="009271D9" w14:paraId="426F1229" w14:textId="77777777" w:rsidTr="009C73E4">
        <w:trPr>
          <w:trHeight w:val="620"/>
        </w:trPr>
        <w:tc>
          <w:tcPr>
            <w:tcW w:w="1929" w:type="dxa"/>
            <w:vMerge/>
            <w:tcBorders>
              <w:bottom w:val="single" w:sz="4" w:space="0" w:color="auto"/>
            </w:tcBorders>
          </w:tcPr>
          <w:p w14:paraId="7744CECD" w14:textId="77777777" w:rsidR="00B35B27" w:rsidRPr="009271D9" w:rsidRDefault="00B35B27" w:rsidP="009C73E4">
            <w:pPr>
              <w:ind w:left="100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25BE74FA" w14:textId="77777777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Any grade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169A60E2" w14:textId="77777777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Grade ≥3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3B836B36" w14:textId="77777777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Any grade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3BB4B76E" w14:textId="77777777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Grade ≥3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1EEDD55F" w14:textId="77777777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Any grade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251F7242" w14:textId="77777777" w:rsidR="00B35B27" w:rsidRPr="009271D9" w:rsidRDefault="00B9430F" w:rsidP="009C73E4">
            <w:pPr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Grade ≥3</w:t>
            </w:r>
          </w:p>
        </w:tc>
      </w:tr>
      <w:tr w:rsidR="00B35B27" w:rsidRPr="009271D9" w14:paraId="2554BB4C" w14:textId="77777777" w:rsidTr="009C73E4">
        <w:trPr>
          <w:trHeight w:val="397"/>
        </w:trPr>
        <w:tc>
          <w:tcPr>
            <w:tcW w:w="1929" w:type="dxa"/>
            <w:tcBorders>
              <w:top w:val="single" w:sz="4" w:space="0" w:color="auto"/>
            </w:tcBorders>
          </w:tcPr>
          <w:p w14:paraId="3A1893F9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Any adverse event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5BF1929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33 (97.1)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5D90C01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16 (47.1)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1525C5B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47 (100)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651DC588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23 (48.9)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422FCF0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80 (98.8)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3F25B9C6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39 (48.1)</w:t>
            </w:r>
          </w:p>
        </w:tc>
      </w:tr>
      <w:tr w:rsidR="00B35B27" w:rsidRPr="009271D9" w14:paraId="59F1BAE7" w14:textId="77777777" w:rsidTr="009C73E4">
        <w:trPr>
          <w:trHeight w:val="397"/>
        </w:trPr>
        <w:tc>
          <w:tcPr>
            <w:tcW w:w="1929" w:type="dxa"/>
          </w:tcPr>
          <w:p w14:paraId="3EA20855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Diarrhea</w:t>
            </w:r>
          </w:p>
        </w:tc>
        <w:tc>
          <w:tcPr>
            <w:tcW w:w="1238" w:type="dxa"/>
          </w:tcPr>
          <w:p w14:paraId="692687C8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26 (76.5)</w:t>
            </w:r>
          </w:p>
        </w:tc>
        <w:tc>
          <w:tcPr>
            <w:tcW w:w="1238" w:type="dxa"/>
          </w:tcPr>
          <w:p w14:paraId="0633FADF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9 (26.5)</w:t>
            </w:r>
          </w:p>
        </w:tc>
        <w:tc>
          <w:tcPr>
            <w:tcW w:w="1239" w:type="dxa"/>
          </w:tcPr>
          <w:p w14:paraId="132BF01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40 (85.1)</w:t>
            </w:r>
          </w:p>
        </w:tc>
        <w:tc>
          <w:tcPr>
            <w:tcW w:w="1238" w:type="dxa"/>
          </w:tcPr>
          <w:p w14:paraId="17A75DB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11 (23.4)</w:t>
            </w:r>
          </w:p>
        </w:tc>
        <w:tc>
          <w:tcPr>
            <w:tcW w:w="1238" w:type="dxa"/>
          </w:tcPr>
          <w:p w14:paraId="0AC3969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66 (81.5)</w:t>
            </w:r>
          </w:p>
        </w:tc>
        <w:tc>
          <w:tcPr>
            <w:tcW w:w="1239" w:type="dxa"/>
          </w:tcPr>
          <w:p w14:paraId="0C740508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20 (24.7)</w:t>
            </w:r>
          </w:p>
        </w:tc>
      </w:tr>
      <w:tr w:rsidR="00B35B27" w:rsidRPr="009271D9" w14:paraId="09E9F98F" w14:textId="77777777" w:rsidTr="009C73E4">
        <w:trPr>
          <w:trHeight w:val="397"/>
        </w:trPr>
        <w:tc>
          <w:tcPr>
            <w:tcW w:w="1929" w:type="dxa"/>
          </w:tcPr>
          <w:p w14:paraId="299C1632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Fatigue</w:t>
            </w:r>
          </w:p>
        </w:tc>
        <w:tc>
          <w:tcPr>
            <w:tcW w:w="1238" w:type="dxa"/>
          </w:tcPr>
          <w:p w14:paraId="640C53A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16 (47.1)</w:t>
            </w:r>
          </w:p>
        </w:tc>
        <w:tc>
          <w:tcPr>
            <w:tcW w:w="1238" w:type="dxa"/>
          </w:tcPr>
          <w:p w14:paraId="47F31A0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543AFE0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12 (25.5)</w:t>
            </w:r>
          </w:p>
        </w:tc>
        <w:tc>
          <w:tcPr>
            <w:tcW w:w="1238" w:type="dxa"/>
          </w:tcPr>
          <w:p w14:paraId="7630FB5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5026D81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28 (34.6)</w:t>
            </w:r>
          </w:p>
        </w:tc>
        <w:tc>
          <w:tcPr>
            <w:tcW w:w="1239" w:type="dxa"/>
          </w:tcPr>
          <w:p w14:paraId="7D3C35D4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2288198C" w14:textId="77777777" w:rsidTr="009C73E4">
        <w:trPr>
          <w:trHeight w:val="397"/>
        </w:trPr>
        <w:tc>
          <w:tcPr>
            <w:tcW w:w="1929" w:type="dxa"/>
          </w:tcPr>
          <w:p w14:paraId="70179A05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Nausea</w:t>
            </w:r>
          </w:p>
        </w:tc>
        <w:tc>
          <w:tcPr>
            <w:tcW w:w="1238" w:type="dxa"/>
          </w:tcPr>
          <w:p w14:paraId="547C9F1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15 (44.1)</w:t>
            </w:r>
          </w:p>
        </w:tc>
        <w:tc>
          <w:tcPr>
            <w:tcW w:w="1238" w:type="dxa"/>
          </w:tcPr>
          <w:p w14:paraId="4BEEFC5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2A541D34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21 (44.7)</w:t>
            </w:r>
          </w:p>
        </w:tc>
        <w:tc>
          <w:tcPr>
            <w:tcW w:w="1238" w:type="dxa"/>
          </w:tcPr>
          <w:p w14:paraId="77F12E2D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7A856FD4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36 (44.4)</w:t>
            </w:r>
          </w:p>
        </w:tc>
        <w:tc>
          <w:tcPr>
            <w:tcW w:w="1239" w:type="dxa"/>
          </w:tcPr>
          <w:p w14:paraId="6C1FFF0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07839B15" w14:textId="77777777" w:rsidTr="009C73E4">
        <w:trPr>
          <w:trHeight w:val="397"/>
        </w:trPr>
        <w:tc>
          <w:tcPr>
            <w:tcW w:w="1929" w:type="dxa"/>
          </w:tcPr>
          <w:p w14:paraId="5A48CD86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Constipation</w:t>
            </w:r>
          </w:p>
        </w:tc>
        <w:tc>
          <w:tcPr>
            <w:tcW w:w="1238" w:type="dxa"/>
          </w:tcPr>
          <w:p w14:paraId="36017A54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14 (41.2)</w:t>
            </w:r>
          </w:p>
        </w:tc>
        <w:tc>
          <w:tcPr>
            <w:tcW w:w="1238" w:type="dxa"/>
          </w:tcPr>
          <w:p w14:paraId="71BEAA86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3AA0D7D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15 (31.9)</w:t>
            </w:r>
          </w:p>
        </w:tc>
        <w:tc>
          <w:tcPr>
            <w:tcW w:w="1238" w:type="dxa"/>
          </w:tcPr>
          <w:p w14:paraId="4785CC18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72F37EE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29 (35.8)</w:t>
            </w:r>
          </w:p>
        </w:tc>
        <w:tc>
          <w:tcPr>
            <w:tcW w:w="1239" w:type="dxa"/>
          </w:tcPr>
          <w:p w14:paraId="025810A7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7E2E11AD" w14:textId="77777777" w:rsidTr="009C73E4">
        <w:trPr>
          <w:trHeight w:val="397"/>
        </w:trPr>
        <w:tc>
          <w:tcPr>
            <w:tcW w:w="1929" w:type="dxa"/>
          </w:tcPr>
          <w:p w14:paraId="5EE121E3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Vomiting</w:t>
            </w:r>
          </w:p>
        </w:tc>
        <w:tc>
          <w:tcPr>
            <w:tcW w:w="1238" w:type="dxa"/>
          </w:tcPr>
          <w:p w14:paraId="7DDDE734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13 (38.2)</w:t>
            </w:r>
          </w:p>
        </w:tc>
        <w:tc>
          <w:tcPr>
            <w:tcW w:w="1238" w:type="dxa"/>
          </w:tcPr>
          <w:p w14:paraId="44FBC06F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1239" w:type="dxa"/>
          </w:tcPr>
          <w:p w14:paraId="0912369F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10 (21.3)</w:t>
            </w:r>
          </w:p>
        </w:tc>
        <w:tc>
          <w:tcPr>
            <w:tcW w:w="1238" w:type="dxa"/>
          </w:tcPr>
          <w:p w14:paraId="1AC6328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(2.1)</w:t>
            </w:r>
          </w:p>
        </w:tc>
        <w:tc>
          <w:tcPr>
            <w:tcW w:w="1238" w:type="dxa"/>
          </w:tcPr>
          <w:p w14:paraId="408C2FF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23 (28.4)</w:t>
            </w:r>
          </w:p>
        </w:tc>
        <w:tc>
          <w:tcPr>
            <w:tcW w:w="1239" w:type="dxa"/>
          </w:tcPr>
          <w:p w14:paraId="5D18096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(2.5)</w:t>
            </w:r>
          </w:p>
        </w:tc>
      </w:tr>
      <w:tr w:rsidR="00B35B27" w:rsidRPr="009271D9" w14:paraId="18296554" w14:textId="77777777" w:rsidTr="009C73E4">
        <w:trPr>
          <w:trHeight w:val="397"/>
        </w:trPr>
        <w:tc>
          <w:tcPr>
            <w:tcW w:w="1929" w:type="dxa"/>
          </w:tcPr>
          <w:p w14:paraId="486928D0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Abdominal pain</w:t>
            </w:r>
          </w:p>
        </w:tc>
        <w:tc>
          <w:tcPr>
            <w:tcW w:w="1238" w:type="dxa"/>
          </w:tcPr>
          <w:p w14:paraId="054F7CE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8 (23.5)</w:t>
            </w:r>
          </w:p>
        </w:tc>
        <w:tc>
          <w:tcPr>
            <w:tcW w:w="1238" w:type="dxa"/>
          </w:tcPr>
          <w:p w14:paraId="5578168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1239" w:type="dxa"/>
          </w:tcPr>
          <w:p w14:paraId="7B059DC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8 (17.0)</w:t>
            </w:r>
          </w:p>
        </w:tc>
        <w:tc>
          <w:tcPr>
            <w:tcW w:w="1238" w:type="dxa"/>
          </w:tcPr>
          <w:p w14:paraId="21838A0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4E521B9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16 (19.8)</w:t>
            </w:r>
          </w:p>
        </w:tc>
        <w:tc>
          <w:tcPr>
            <w:tcW w:w="1239" w:type="dxa"/>
          </w:tcPr>
          <w:p w14:paraId="3EFA01F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(1.2)</w:t>
            </w:r>
          </w:p>
        </w:tc>
      </w:tr>
      <w:tr w:rsidR="00B35B27" w:rsidRPr="009271D9" w14:paraId="7404159F" w14:textId="77777777" w:rsidTr="009C73E4">
        <w:trPr>
          <w:trHeight w:val="397"/>
        </w:trPr>
        <w:tc>
          <w:tcPr>
            <w:tcW w:w="1929" w:type="dxa"/>
          </w:tcPr>
          <w:p w14:paraId="0720F4C7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Decreased appetite</w:t>
            </w:r>
          </w:p>
        </w:tc>
        <w:tc>
          <w:tcPr>
            <w:tcW w:w="1238" w:type="dxa"/>
          </w:tcPr>
          <w:p w14:paraId="165B1EAF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8 (23.5)</w:t>
            </w:r>
          </w:p>
        </w:tc>
        <w:tc>
          <w:tcPr>
            <w:tcW w:w="1238" w:type="dxa"/>
          </w:tcPr>
          <w:p w14:paraId="40B4CF6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738491B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13 (27.7)</w:t>
            </w:r>
          </w:p>
        </w:tc>
        <w:tc>
          <w:tcPr>
            <w:tcW w:w="1238" w:type="dxa"/>
          </w:tcPr>
          <w:p w14:paraId="3FD7967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4CB328E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21 (25.9)</w:t>
            </w:r>
          </w:p>
        </w:tc>
        <w:tc>
          <w:tcPr>
            <w:tcW w:w="1239" w:type="dxa"/>
          </w:tcPr>
          <w:p w14:paraId="10359E3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54E70819" w14:textId="77777777" w:rsidTr="009C73E4">
        <w:trPr>
          <w:trHeight w:val="397"/>
        </w:trPr>
        <w:tc>
          <w:tcPr>
            <w:tcW w:w="1929" w:type="dxa"/>
          </w:tcPr>
          <w:p w14:paraId="5BBE6CF2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AST increased</w:t>
            </w:r>
          </w:p>
        </w:tc>
        <w:tc>
          <w:tcPr>
            <w:tcW w:w="1238" w:type="dxa"/>
          </w:tcPr>
          <w:p w14:paraId="3366673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7 (20.6)</w:t>
            </w:r>
          </w:p>
        </w:tc>
        <w:tc>
          <w:tcPr>
            <w:tcW w:w="1238" w:type="dxa"/>
          </w:tcPr>
          <w:p w14:paraId="7A937B8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(8.8)</w:t>
            </w:r>
          </w:p>
        </w:tc>
        <w:tc>
          <w:tcPr>
            <w:tcW w:w="1239" w:type="dxa"/>
          </w:tcPr>
          <w:p w14:paraId="06F5F6B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(6.4)</w:t>
            </w:r>
          </w:p>
        </w:tc>
        <w:tc>
          <w:tcPr>
            <w:tcW w:w="1238" w:type="dxa"/>
          </w:tcPr>
          <w:p w14:paraId="250728F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(2.1)</w:t>
            </w:r>
          </w:p>
        </w:tc>
        <w:tc>
          <w:tcPr>
            <w:tcW w:w="1238" w:type="dxa"/>
          </w:tcPr>
          <w:p w14:paraId="1EBA8A8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10 (12.3)</w:t>
            </w:r>
          </w:p>
        </w:tc>
        <w:tc>
          <w:tcPr>
            <w:tcW w:w="1239" w:type="dxa"/>
          </w:tcPr>
          <w:p w14:paraId="75623DB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 (4.9)</w:t>
            </w:r>
          </w:p>
        </w:tc>
      </w:tr>
      <w:tr w:rsidR="00B35B27" w:rsidRPr="009271D9" w14:paraId="046F9E9E" w14:textId="77777777" w:rsidTr="009C73E4">
        <w:trPr>
          <w:trHeight w:val="397"/>
        </w:trPr>
        <w:tc>
          <w:tcPr>
            <w:tcW w:w="1929" w:type="dxa"/>
          </w:tcPr>
          <w:p w14:paraId="3E2E86EA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Arthralgia</w:t>
            </w:r>
          </w:p>
        </w:tc>
        <w:tc>
          <w:tcPr>
            <w:tcW w:w="1238" w:type="dxa"/>
          </w:tcPr>
          <w:p w14:paraId="19FAA51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(17.6)</w:t>
            </w:r>
          </w:p>
        </w:tc>
        <w:tc>
          <w:tcPr>
            <w:tcW w:w="1238" w:type="dxa"/>
          </w:tcPr>
          <w:p w14:paraId="3F9B196D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3C2B306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(12.8)</w:t>
            </w:r>
          </w:p>
        </w:tc>
        <w:tc>
          <w:tcPr>
            <w:tcW w:w="1238" w:type="dxa"/>
          </w:tcPr>
          <w:p w14:paraId="5FEDD0E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4173880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12 (14.8)</w:t>
            </w:r>
          </w:p>
        </w:tc>
        <w:tc>
          <w:tcPr>
            <w:tcW w:w="1239" w:type="dxa"/>
          </w:tcPr>
          <w:p w14:paraId="08356BA7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4B3CD05E" w14:textId="77777777" w:rsidTr="009C73E4">
        <w:trPr>
          <w:trHeight w:val="397"/>
        </w:trPr>
        <w:tc>
          <w:tcPr>
            <w:tcW w:w="1929" w:type="dxa"/>
          </w:tcPr>
          <w:p w14:paraId="4924C8AC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Pyrexia</w:t>
            </w:r>
          </w:p>
        </w:tc>
        <w:tc>
          <w:tcPr>
            <w:tcW w:w="1238" w:type="dxa"/>
          </w:tcPr>
          <w:p w14:paraId="23334DF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(17.6)</w:t>
            </w:r>
          </w:p>
        </w:tc>
        <w:tc>
          <w:tcPr>
            <w:tcW w:w="1238" w:type="dxa"/>
          </w:tcPr>
          <w:p w14:paraId="0242002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390BA2D8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 (8.5)</w:t>
            </w:r>
          </w:p>
        </w:tc>
        <w:tc>
          <w:tcPr>
            <w:tcW w:w="1238" w:type="dxa"/>
          </w:tcPr>
          <w:p w14:paraId="0E72FC6F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6C4AEF2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10 (12.3)</w:t>
            </w:r>
          </w:p>
        </w:tc>
        <w:tc>
          <w:tcPr>
            <w:tcW w:w="1239" w:type="dxa"/>
          </w:tcPr>
          <w:p w14:paraId="11C4F02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0281A4FF" w14:textId="77777777" w:rsidTr="009C73E4">
        <w:trPr>
          <w:trHeight w:val="397"/>
        </w:trPr>
        <w:tc>
          <w:tcPr>
            <w:tcW w:w="1929" w:type="dxa"/>
          </w:tcPr>
          <w:p w14:paraId="771290B2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Anemia</w:t>
            </w:r>
          </w:p>
        </w:tc>
        <w:tc>
          <w:tcPr>
            <w:tcW w:w="1238" w:type="dxa"/>
          </w:tcPr>
          <w:p w14:paraId="1E45E1BF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5 (14.7)</w:t>
            </w:r>
          </w:p>
        </w:tc>
        <w:tc>
          <w:tcPr>
            <w:tcW w:w="1238" w:type="dxa"/>
          </w:tcPr>
          <w:p w14:paraId="79F2113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(5.9)</w:t>
            </w:r>
          </w:p>
        </w:tc>
        <w:tc>
          <w:tcPr>
            <w:tcW w:w="1239" w:type="dxa"/>
          </w:tcPr>
          <w:p w14:paraId="568B20A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(12.8)</w:t>
            </w:r>
          </w:p>
        </w:tc>
        <w:tc>
          <w:tcPr>
            <w:tcW w:w="1238" w:type="dxa"/>
          </w:tcPr>
          <w:p w14:paraId="326F9C6D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(2.1)</w:t>
            </w:r>
          </w:p>
        </w:tc>
        <w:tc>
          <w:tcPr>
            <w:tcW w:w="1238" w:type="dxa"/>
          </w:tcPr>
          <w:p w14:paraId="7ED0D69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11 (13.6)</w:t>
            </w:r>
          </w:p>
        </w:tc>
        <w:tc>
          <w:tcPr>
            <w:tcW w:w="1239" w:type="dxa"/>
          </w:tcPr>
          <w:p w14:paraId="2CC451C4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(3.7)</w:t>
            </w:r>
          </w:p>
        </w:tc>
      </w:tr>
      <w:tr w:rsidR="00B35B27" w:rsidRPr="009271D9" w14:paraId="720E2473" w14:textId="77777777" w:rsidTr="009C73E4">
        <w:trPr>
          <w:trHeight w:val="397"/>
        </w:trPr>
        <w:tc>
          <w:tcPr>
            <w:tcW w:w="1929" w:type="dxa"/>
          </w:tcPr>
          <w:p w14:paraId="42A3877B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Dyspnea</w:t>
            </w:r>
          </w:p>
        </w:tc>
        <w:tc>
          <w:tcPr>
            <w:tcW w:w="1238" w:type="dxa"/>
          </w:tcPr>
          <w:p w14:paraId="1691400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5 (14.7)</w:t>
            </w:r>
          </w:p>
        </w:tc>
        <w:tc>
          <w:tcPr>
            <w:tcW w:w="1238" w:type="dxa"/>
          </w:tcPr>
          <w:p w14:paraId="5D52C5F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(5.9)</w:t>
            </w:r>
          </w:p>
        </w:tc>
        <w:tc>
          <w:tcPr>
            <w:tcW w:w="1239" w:type="dxa"/>
          </w:tcPr>
          <w:p w14:paraId="4B81FBCF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(12.8)</w:t>
            </w:r>
          </w:p>
        </w:tc>
        <w:tc>
          <w:tcPr>
            <w:tcW w:w="1238" w:type="dxa"/>
          </w:tcPr>
          <w:p w14:paraId="54A614E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(2.1)</w:t>
            </w:r>
          </w:p>
        </w:tc>
        <w:tc>
          <w:tcPr>
            <w:tcW w:w="1238" w:type="dxa"/>
          </w:tcPr>
          <w:p w14:paraId="027DDB69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11 (13.6)</w:t>
            </w:r>
          </w:p>
        </w:tc>
        <w:tc>
          <w:tcPr>
            <w:tcW w:w="1239" w:type="dxa"/>
          </w:tcPr>
          <w:p w14:paraId="315702A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(3.7)</w:t>
            </w:r>
          </w:p>
        </w:tc>
      </w:tr>
      <w:tr w:rsidR="00B35B27" w:rsidRPr="009271D9" w14:paraId="462F11B0" w14:textId="77777777" w:rsidTr="009C73E4">
        <w:trPr>
          <w:trHeight w:val="397"/>
        </w:trPr>
        <w:tc>
          <w:tcPr>
            <w:tcW w:w="1929" w:type="dxa"/>
          </w:tcPr>
          <w:p w14:paraId="239947D1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Headache</w:t>
            </w:r>
          </w:p>
        </w:tc>
        <w:tc>
          <w:tcPr>
            <w:tcW w:w="1238" w:type="dxa"/>
          </w:tcPr>
          <w:p w14:paraId="4A64D01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5 (14.7)</w:t>
            </w:r>
          </w:p>
        </w:tc>
        <w:tc>
          <w:tcPr>
            <w:tcW w:w="1238" w:type="dxa"/>
          </w:tcPr>
          <w:p w14:paraId="1890519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7397912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(12.8)</w:t>
            </w:r>
          </w:p>
        </w:tc>
        <w:tc>
          <w:tcPr>
            <w:tcW w:w="1238" w:type="dxa"/>
          </w:tcPr>
          <w:p w14:paraId="18A984C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3A58865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11 (13.6)</w:t>
            </w:r>
          </w:p>
        </w:tc>
        <w:tc>
          <w:tcPr>
            <w:tcW w:w="1239" w:type="dxa"/>
          </w:tcPr>
          <w:p w14:paraId="71257CB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139E5ECC" w14:textId="77777777" w:rsidTr="009C73E4">
        <w:trPr>
          <w:trHeight w:val="397"/>
        </w:trPr>
        <w:tc>
          <w:tcPr>
            <w:tcW w:w="1929" w:type="dxa"/>
          </w:tcPr>
          <w:p w14:paraId="16C65B3E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ALT increased</w:t>
            </w:r>
          </w:p>
        </w:tc>
        <w:tc>
          <w:tcPr>
            <w:tcW w:w="1238" w:type="dxa"/>
          </w:tcPr>
          <w:p w14:paraId="52A705E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 (11.8)</w:t>
            </w:r>
          </w:p>
        </w:tc>
        <w:tc>
          <w:tcPr>
            <w:tcW w:w="1238" w:type="dxa"/>
          </w:tcPr>
          <w:p w14:paraId="6C9976F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1239" w:type="dxa"/>
          </w:tcPr>
          <w:p w14:paraId="5675764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(4.3)</w:t>
            </w:r>
          </w:p>
        </w:tc>
        <w:tc>
          <w:tcPr>
            <w:tcW w:w="1238" w:type="dxa"/>
          </w:tcPr>
          <w:p w14:paraId="7346B97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7B46BF6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(7.4)</w:t>
            </w:r>
          </w:p>
        </w:tc>
        <w:tc>
          <w:tcPr>
            <w:tcW w:w="1239" w:type="dxa"/>
          </w:tcPr>
          <w:p w14:paraId="6428FDD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(1.2)</w:t>
            </w:r>
          </w:p>
        </w:tc>
      </w:tr>
      <w:tr w:rsidR="00B35B27" w:rsidRPr="009271D9" w14:paraId="20A613F2" w14:textId="77777777" w:rsidTr="009C73E4">
        <w:trPr>
          <w:trHeight w:val="397"/>
        </w:trPr>
        <w:tc>
          <w:tcPr>
            <w:tcW w:w="1929" w:type="dxa"/>
          </w:tcPr>
          <w:p w14:paraId="3DA7751A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Dehydration</w:t>
            </w:r>
          </w:p>
        </w:tc>
        <w:tc>
          <w:tcPr>
            <w:tcW w:w="1238" w:type="dxa"/>
          </w:tcPr>
          <w:p w14:paraId="5C443ABD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 (11.8)</w:t>
            </w:r>
          </w:p>
        </w:tc>
        <w:tc>
          <w:tcPr>
            <w:tcW w:w="1238" w:type="dxa"/>
          </w:tcPr>
          <w:p w14:paraId="408E4BC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(5.9)</w:t>
            </w:r>
          </w:p>
        </w:tc>
        <w:tc>
          <w:tcPr>
            <w:tcW w:w="1239" w:type="dxa"/>
          </w:tcPr>
          <w:p w14:paraId="2DFD4F48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(4.3)</w:t>
            </w:r>
          </w:p>
        </w:tc>
        <w:tc>
          <w:tcPr>
            <w:tcW w:w="1238" w:type="dxa"/>
          </w:tcPr>
          <w:p w14:paraId="69D7560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050BE7F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(7.4)</w:t>
            </w:r>
          </w:p>
        </w:tc>
        <w:tc>
          <w:tcPr>
            <w:tcW w:w="1239" w:type="dxa"/>
          </w:tcPr>
          <w:p w14:paraId="34CFBD8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(2.5)</w:t>
            </w:r>
          </w:p>
        </w:tc>
      </w:tr>
      <w:tr w:rsidR="00B35B27" w:rsidRPr="009271D9" w14:paraId="351F7A61" w14:textId="77777777" w:rsidTr="009C73E4">
        <w:trPr>
          <w:trHeight w:val="397"/>
        </w:trPr>
        <w:tc>
          <w:tcPr>
            <w:tcW w:w="1929" w:type="dxa"/>
          </w:tcPr>
          <w:p w14:paraId="1E57FE16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Pruritus</w:t>
            </w:r>
          </w:p>
        </w:tc>
        <w:tc>
          <w:tcPr>
            <w:tcW w:w="1238" w:type="dxa"/>
          </w:tcPr>
          <w:p w14:paraId="30BB5D4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 (11.8)</w:t>
            </w:r>
          </w:p>
        </w:tc>
        <w:tc>
          <w:tcPr>
            <w:tcW w:w="1238" w:type="dxa"/>
          </w:tcPr>
          <w:p w14:paraId="1EF6F524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03273954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 (8.5)</w:t>
            </w:r>
          </w:p>
        </w:tc>
        <w:tc>
          <w:tcPr>
            <w:tcW w:w="1238" w:type="dxa"/>
          </w:tcPr>
          <w:p w14:paraId="12CEF76D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28F6D50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8 (9.9)</w:t>
            </w:r>
          </w:p>
        </w:tc>
        <w:tc>
          <w:tcPr>
            <w:tcW w:w="1239" w:type="dxa"/>
          </w:tcPr>
          <w:p w14:paraId="2056985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0C17B08B" w14:textId="77777777" w:rsidTr="009C73E4">
        <w:trPr>
          <w:trHeight w:val="397"/>
        </w:trPr>
        <w:tc>
          <w:tcPr>
            <w:tcW w:w="1929" w:type="dxa"/>
          </w:tcPr>
          <w:p w14:paraId="13A6B23C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Rash</w:t>
            </w:r>
          </w:p>
        </w:tc>
        <w:tc>
          <w:tcPr>
            <w:tcW w:w="1238" w:type="dxa"/>
          </w:tcPr>
          <w:p w14:paraId="7D1056D9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 (11.8)</w:t>
            </w:r>
          </w:p>
        </w:tc>
        <w:tc>
          <w:tcPr>
            <w:tcW w:w="1238" w:type="dxa"/>
          </w:tcPr>
          <w:p w14:paraId="76E0C5B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280E7D5D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7 (14.9)</w:t>
            </w:r>
          </w:p>
        </w:tc>
        <w:tc>
          <w:tcPr>
            <w:tcW w:w="1238" w:type="dxa"/>
          </w:tcPr>
          <w:p w14:paraId="4EEC17F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525FA3D6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11 (13.6)</w:t>
            </w:r>
          </w:p>
        </w:tc>
        <w:tc>
          <w:tcPr>
            <w:tcW w:w="1239" w:type="dxa"/>
          </w:tcPr>
          <w:p w14:paraId="3A1D2B6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7B5DAF44" w14:textId="77777777" w:rsidTr="009C73E4">
        <w:trPr>
          <w:trHeight w:val="397"/>
        </w:trPr>
        <w:tc>
          <w:tcPr>
            <w:tcW w:w="1929" w:type="dxa"/>
          </w:tcPr>
          <w:p w14:paraId="03DC83F7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Abdominal distension</w:t>
            </w:r>
          </w:p>
        </w:tc>
        <w:tc>
          <w:tcPr>
            <w:tcW w:w="1238" w:type="dxa"/>
          </w:tcPr>
          <w:p w14:paraId="3DBF487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4 (11.8)</w:t>
            </w:r>
          </w:p>
        </w:tc>
        <w:tc>
          <w:tcPr>
            <w:tcW w:w="1238" w:type="dxa"/>
          </w:tcPr>
          <w:p w14:paraId="6E4AC2E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45233BE8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(4.3)</w:t>
            </w:r>
          </w:p>
        </w:tc>
        <w:tc>
          <w:tcPr>
            <w:tcW w:w="1238" w:type="dxa"/>
          </w:tcPr>
          <w:p w14:paraId="73BE0B0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5CB9B38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(7.4)</w:t>
            </w:r>
          </w:p>
        </w:tc>
        <w:tc>
          <w:tcPr>
            <w:tcW w:w="1239" w:type="dxa"/>
          </w:tcPr>
          <w:p w14:paraId="5B2A286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3D07F510" w14:textId="77777777" w:rsidTr="009C73E4">
        <w:trPr>
          <w:trHeight w:val="397"/>
        </w:trPr>
        <w:tc>
          <w:tcPr>
            <w:tcW w:w="1929" w:type="dxa"/>
          </w:tcPr>
          <w:p w14:paraId="5419C374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Dry skin</w:t>
            </w:r>
          </w:p>
        </w:tc>
        <w:tc>
          <w:tcPr>
            <w:tcW w:w="1238" w:type="dxa"/>
          </w:tcPr>
          <w:p w14:paraId="7B6C2DCD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(8.8)</w:t>
            </w:r>
          </w:p>
        </w:tc>
        <w:tc>
          <w:tcPr>
            <w:tcW w:w="1238" w:type="dxa"/>
          </w:tcPr>
          <w:p w14:paraId="00260A9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4E6FD7C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9 (19.1)</w:t>
            </w:r>
          </w:p>
        </w:tc>
        <w:tc>
          <w:tcPr>
            <w:tcW w:w="1238" w:type="dxa"/>
          </w:tcPr>
          <w:p w14:paraId="33B6DB18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0900071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12 (14.8)</w:t>
            </w:r>
          </w:p>
        </w:tc>
        <w:tc>
          <w:tcPr>
            <w:tcW w:w="1239" w:type="dxa"/>
          </w:tcPr>
          <w:p w14:paraId="611D530D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5244A8DA" w14:textId="77777777" w:rsidTr="009C73E4">
        <w:trPr>
          <w:trHeight w:val="397"/>
        </w:trPr>
        <w:tc>
          <w:tcPr>
            <w:tcW w:w="1929" w:type="dxa"/>
          </w:tcPr>
          <w:p w14:paraId="75512A65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Back pain</w:t>
            </w:r>
          </w:p>
        </w:tc>
        <w:tc>
          <w:tcPr>
            <w:tcW w:w="1238" w:type="dxa"/>
          </w:tcPr>
          <w:p w14:paraId="45D45EC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 (8.8)</w:t>
            </w:r>
          </w:p>
        </w:tc>
        <w:tc>
          <w:tcPr>
            <w:tcW w:w="1238" w:type="dxa"/>
          </w:tcPr>
          <w:p w14:paraId="7F43C18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1239" w:type="dxa"/>
          </w:tcPr>
          <w:p w14:paraId="6564CA8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8 (17.0)</w:t>
            </w:r>
          </w:p>
        </w:tc>
        <w:tc>
          <w:tcPr>
            <w:tcW w:w="1238" w:type="dxa"/>
          </w:tcPr>
          <w:p w14:paraId="66B9D556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023A249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11 (13.6)</w:t>
            </w:r>
          </w:p>
        </w:tc>
        <w:tc>
          <w:tcPr>
            <w:tcW w:w="1239" w:type="dxa"/>
          </w:tcPr>
          <w:p w14:paraId="0B9AF20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(1.2)</w:t>
            </w:r>
          </w:p>
        </w:tc>
      </w:tr>
      <w:tr w:rsidR="00B35B27" w:rsidRPr="009271D9" w14:paraId="3F3588B5" w14:textId="77777777" w:rsidTr="009C73E4">
        <w:trPr>
          <w:trHeight w:val="397"/>
        </w:trPr>
        <w:tc>
          <w:tcPr>
            <w:tcW w:w="1929" w:type="dxa"/>
          </w:tcPr>
          <w:p w14:paraId="2F0E92A5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Insomnia</w:t>
            </w:r>
          </w:p>
        </w:tc>
        <w:tc>
          <w:tcPr>
            <w:tcW w:w="1238" w:type="dxa"/>
          </w:tcPr>
          <w:p w14:paraId="5D1C9E3B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 (5.9)</w:t>
            </w:r>
          </w:p>
        </w:tc>
        <w:tc>
          <w:tcPr>
            <w:tcW w:w="1238" w:type="dxa"/>
          </w:tcPr>
          <w:p w14:paraId="2DEF128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47A7924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5 (10.6)</w:t>
            </w:r>
          </w:p>
        </w:tc>
        <w:tc>
          <w:tcPr>
            <w:tcW w:w="1238" w:type="dxa"/>
          </w:tcPr>
          <w:p w14:paraId="02A271B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2CF1A33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7 (8.6)</w:t>
            </w:r>
          </w:p>
        </w:tc>
        <w:tc>
          <w:tcPr>
            <w:tcW w:w="1239" w:type="dxa"/>
          </w:tcPr>
          <w:p w14:paraId="4D0E789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679D81F3" w14:textId="77777777" w:rsidTr="009C73E4">
        <w:trPr>
          <w:trHeight w:val="397"/>
        </w:trPr>
        <w:tc>
          <w:tcPr>
            <w:tcW w:w="1929" w:type="dxa"/>
          </w:tcPr>
          <w:p w14:paraId="03CA5CA7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Peripheral edema</w:t>
            </w:r>
          </w:p>
        </w:tc>
        <w:tc>
          <w:tcPr>
            <w:tcW w:w="1238" w:type="dxa"/>
          </w:tcPr>
          <w:p w14:paraId="05511E6E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1238" w:type="dxa"/>
          </w:tcPr>
          <w:p w14:paraId="1409187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3BFB363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7 (14.9)</w:t>
            </w:r>
          </w:p>
        </w:tc>
        <w:tc>
          <w:tcPr>
            <w:tcW w:w="1238" w:type="dxa"/>
          </w:tcPr>
          <w:p w14:paraId="2F5A9D70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4256AEE6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8 (9.9)</w:t>
            </w:r>
          </w:p>
        </w:tc>
        <w:tc>
          <w:tcPr>
            <w:tcW w:w="1239" w:type="dxa"/>
          </w:tcPr>
          <w:p w14:paraId="128085E6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142F6F7D" w14:textId="77777777" w:rsidTr="009C73E4">
        <w:trPr>
          <w:trHeight w:val="397"/>
        </w:trPr>
        <w:tc>
          <w:tcPr>
            <w:tcW w:w="1929" w:type="dxa"/>
          </w:tcPr>
          <w:p w14:paraId="208F265D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Weight decreased</w:t>
            </w:r>
          </w:p>
        </w:tc>
        <w:tc>
          <w:tcPr>
            <w:tcW w:w="1238" w:type="dxa"/>
          </w:tcPr>
          <w:p w14:paraId="2EBF848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 (2.9)</w:t>
            </w:r>
          </w:p>
        </w:tc>
        <w:tc>
          <w:tcPr>
            <w:tcW w:w="1238" w:type="dxa"/>
          </w:tcPr>
          <w:p w14:paraId="044BA7C7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65703F6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5 (10.6)</w:t>
            </w:r>
          </w:p>
        </w:tc>
        <w:tc>
          <w:tcPr>
            <w:tcW w:w="1238" w:type="dxa"/>
          </w:tcPr>
          <w:p w14:paraId="1E3C4E06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0A89F13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6 (7.4)</w:t>
            </w:r>
          </w:p>
        </w:tc>
        <w:tc>
          <w:tcPr>
            <w:tcW w:w="1239" w:type="dxa"/>
          </w:tcPr>
          <w:p w14:paraId="68F82EFC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  <w:tr w:rsidR="00B35B27" w:rsidRPr="009271D9" w14:paraId="38A95BDF" w14:textId="77777777" w:rsidTr="009C73E4">
        <w:trPr>
          <w:trHeight w:val="397"/>
        </w:trPr>
        <w:tc>
          <w:tcPr>
            <w:tcW w:w="1929" w:type="dxa"/>
          </w:tcPr>
          <w:p w14:paraId="7AD4BE23" w14:textId="77777777" w:rsidR="00B35B27" w:rsidRPr="009271D9" w:rsidRDefault="00B9430F" w:rsidP="009C73E4">
            <w:pPr>
              <w:ind w:left="317" w:hanging="217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Hot flash</w:t>
            </w:r>
          </w:p>
        </w:tc>
        <w:tc>
          <w:tcPr>
            <w:tcW w:w="1238" w:type="dxa"/>
          </w:tcPr>
          <w:p w14:paraId="4E8F399A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67A1B092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40FFB2E5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5 (10.6)</w:t>
            </w:r>
          </w:p>
        </w:tc>
        <w:tc>
          <w:tcPr>
            <w:tcW w:w="1238" w:type="dxa"/>
          </w:tcPr>
          <w:p w14:paraId="2C7EDD93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1A0716D6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5 (6.2)</w:t>
            </w:r>
          </w:p>
        </w:tc>
        <w:tc>
          <w:tcPr>
            <w:tcW w:w="1239" w:type="dxa"/>
          </w:tcPr>
          <w:p w14:paraId="1D03DFB1" w14:textId="77777777" w:rsidR="00B35B27" w:rsidRPr="009271D9" w:rsidRDefault="00B9430F" w:rsidP="009C73E4">
            <w:pPr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0</w:t>
            </w:r>
          </w:p>
        </w:tc>
      </w:tr>
    </w:tbl>
    <w:p w14:paraId="54365A4B" w14:textId="77777777" w:rsidR="00B35B27" w:rsidRPr="009271D9" w:rsidRDefault="00B9430F" w:rsidP="009271D9">
      <w:pPr>
        <w:spacing w:after="0" w:line="480" w:lineRule="auto"/>
        <w:rPr>
          <w:rFonts w:cs="Arial"/>
        </w:rPr>
      </w:pPr>
      <w:proofErr w:type="spellStart"/>
      <w:r w:rsidRPr="009271D9">
        <w:rPr>
          <w:rFonts w:cs="Arial"/>
          <w:vertAlign w:val="superscript"/>
        </w:rPr>
        <w:t>a</w:t>
      </w:r>
      <w:r w:rsidRPr="009271D9">
        <w:rPr>
          <w:rFonts w:cs="Arial"/>
        </w:rPr>
        <w:t>Regardless</w:t>
      </w:r>
      <w:proofErr w:type="spellEnd"/>
      <w:r w:rsidRPr="009271D9">
        <w:rPr>
          <w:rFonts w:cs="Arial"/>
        </w:rPr>
        <w:t xml:space="preserve"> of attribution, occurring in ≥10% of patients.</w:t>
      </w:r>
    </w:p>
    <w:p w14:paraId="6094A242" w14:textId="04A540A1" w:rsidR="00046702" w:rsidRDefault="00B9430F" w:rsidP="009C73E4">
      <w:pPr>
        <w:spacing w:after="0" w:line="480" w:lineRule="auto"/>
        <w:rPr>
          <w:rFonts w:cs="Arial"/>
          <w:color w:val="545454"/>
          <w:highlight w:val="white"/>
        </w:rPr>
      </w:pPr>
      <w:r w:rsidRPr="009271D9">
        <w:rPr>
          <w:rFonts w:cs="Arial"/>
        </w:rPr>
        <w:t>ALT, alanine aminotransferase; AST, aspartate aminotransferase</w:t>
      </w:r>
      <w:r w:rsidRPr="009271D9">
        <w:rPr>
          <w:rFonts w:cs="Arial"/>
          <w:color w:val="545454"/>
          <w:highlight w:val="white"/>
        </w:rPr>
        <w:t>.</w:t>
      </w:r>
      <w:r w:rsidR="009C73E4">
        <w:rPr>
          <w:rFonts w:cs="Arial"/>
          <w:color w:val="545454"/>
          <w:highlight w:val="white"/>
        </w:rPr>
        <w:t xml:space="preserve"> </w:t>
      </w:r>
      <w:r w:rsidR="00046702">
        <w:rPr>
          <w:rFonts w:cs="Arial"/>
          <w:color w:val="545454"/>
          <w:highlight w:val="white"/>
        </w:rPr>
        <w:br w:type="page"/>
      </w:r>
    </w:p>
    <w:p w14:paraId="4EB3D38F" w14:textId="4A189466" w:rsidR="00B35B27" w:rsidRPr="009271D9" w:rsidRDefault="00B9430F" w:rsidP="007D0595">
      <w:pPr>
        <w:spacing w:after="0" w:line="480" w:lineRule="auto"/>
        <w:outlineLvl w:val="1"/>
        <w:rPr>
          <w:rFonts w:cs="Arial"/>
          <w:b/>
        </w:rPr>
      </w:pPr>
      <w:r w:rsidRPr="009271D9">
        <w:rPr>
          <w:rFonts w:cs="Arial"/>
          <w:b/>
        </w:rPr>
        <w:lastRenderedPageBreak/>
        <w:t xml:space="preserve">Supplementary Table </w:t>
      </w:r>
      <w:r w:rsidR="00A70AD0" w:rsidRPr="009271D9">
        <w:rPr>
          <w:rFonts w:cs="Arial"/>
          <w:b/>
        </w:rPr>
        <w:t>S</w:t>
      </w:r>
      <w:r w:rsidR="00782A79">
        <w:rPr>
          <w:rFonts w:cs="Arial"/>
          <w:b/>
        </w:rPr>
        <w:t>5</w:t>
      </w:r>
      <w:r w:rsidRPr="009271D9">
        <w:rPr>
          <w:rFonts w:cs="Arial"/>
          <w:b/>
        </w:rPr>
        <w:t xml:space="preserve">. Outcomes in patients with concurrent </w:t>
      </w:r>
      <w:r w:rsidRPr="009271D9">
        <w:rPr>
          <w:rFonts w:cs="Arial"/>
          <w:b/>
          <w:i/>
        </w:rPr>
        <w:t>HER2</w:t>
      </w:r>
      <w:r w:rsidRPr="009271D9">
        <w:rPr>
          <w:rFonts w:cs="Arial"/>
          <w:b/>
        </w:rPr>
        <w:t xml:space="preserve"> and </w:t>
      </w:r>
      <w:r w:rsidRPr="009271D9">
        <w:rPr>
          <w:rFonts w:cs="Arial"/>
          <w:b/>
          <w:i/>
        </w:rPr>
        <w:t>HER3</w:t>
      </w:r>
      <w:r w:rsidRPr="009271D9">
        <w:rPr>
          <w:rFonts w:cs="Arial"/>
          <w:b/>
        </w:rPr>
        <w:t xml:space="preserve"> mutations</w:t>
      </w:r>
    </w:p>
    <w:tbl>
      <w:tblPr>
        <w:tblStyle w:val="3"/>
        <w:tblW w:w="8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17"/>
        <w:gridCol w:w="1335"/>
        <w:gridCol w:w="1860"/>
        <w:gridCol w:w="1515"/>
        <w:gridCol w:w="1455"/>
      </w:tblGrid>
      <w:tr w:rsidR="00B35B27" w:rsidRPr="009271D9" w14:paraId="395D0417" w14:textId="77777777" w:rsidTr="009C73E4">
        <w:trPr>
          <w:trHeight w:val="20"/>
        </w:trPr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7E785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Patient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9B99A" w14:textId="77777777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BOR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20C15" w14:textId="2C01DA3B" w:rsidR="00B35B27" w:rsidRPr="00324707" w:rsidRDefault="00B9430F" w:rsidP="009C73E4">
            <w:pPr>
              <w:spacing w:after="0" w:line="276" w:lineRule="auto"/>
              <w:ind w:left="100"/>
              <w:rPr>
                <w:rFonts w:cs="Arial"/>
                <w:b/>
                <w:bCs/>
                <w:sz w:val="20"/>
                <w:szCs w:val="20"/>
              </w:rPr>
            </w:pPr>
            <w:r w:rsidRPr="00324707">
              <w:rPr>
                <w:rFonts w:cs="Arial"/>
                <w:b/>
                <w:bCs/>
              </w:rPr>
              <w:t>PFS (weeks)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651E2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i/>
                <w:sz w:val="20"/>
                <w:szCs w:val="20"/>
              </w:rPr>
              <w:t>ERBB2</w:t>
            </w:r>
            <w:r w:rsidRPr="009271D9">
              <w:rPr>
                <w:rFonts w:cs="Arial"/>
                <w:b/>
                <w:sz w:val="20"/>
                <w:szCs w:val="20"/>
              </w:rPr>
              <w:t xml:space="preserve"> domain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EFECD2" w14:textId="77777777" w:rsidR="00B35B27" w:rsidRPr="009271D9" w:rsidRDefault="00B9430F" w:rsidP="009C73E4">
            <w:pPr>
              <w:spacing w:after="0" w:line="276" w:lineRule="auto"/>
              <w:ind w:left="100"/>
              <w:jc w:val="center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Mutation</w:t>
            </w:r>
          </w:p>
        </w:tc>
      </w:tr>
      <w:tr w:rsidR="00B35B27" w:rsidRPr="009271D9" w14:paraId="553A016B" w14:textId="77777777" w:rsidTr="009C73E4">
        <w:trPr>
          <w:trHeight w:val="20"/>
        </w:trPr>
        <w:tc>
          <w:tcPr>
            <w:tcW w:w="1418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AAFD" w14:textId="77777777" w:rsidR="00B35B27" w:rsidRPr="009271D9" w:rsidRDefault="00B35B27" w:rsidP="009C73E4">
            <w:pPr>
              <w:spacing w:after="0" w:line="276" w:lineRule="auto"/>
              <w:ind w:left="100"/>
              <w:rPr>
                <w:rFonts w:cs="Arial"/>
              </w:rPr>
            </w:pPr>
          </w:p>
        </w:tc>
        <w:tc>
          <w:tcPr>
            <w:tcW w:w="817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9470" w14:textId="77777777" w:rsidR="00B35B27" w:rsidRPr="009271D9" w:rsidRDefault="00B35B27" w:rsidP="009C73E4">
            <w:pPr>
              <w:spacing w:after="0" w:line="276" w:lineRule="auto"/>
              <w:ind w:left="38"/>
              <w:jc w:val="both"/>
              <w:rPr>
                <w:rFonts w:cs="Arial"/>
              </w:rPr>
            </w:pPr>
          </w:p>
        </w:tc>
        <w:tc>
          <w:tcPr>
            <w:tcW w:w="1335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4F14" w14:textId="77777777" w:rsidR="00B35B27" w:rsidRPr="009271D9" w:rsidRDefault="00B35B27" w:rsidP="009C73E4">
            <w:pPr>
              <w:spacing w:after="0" w:line="276" w:lineRule="auto"/>
              <w:ind w:left="100"/>
              <w:rPr>
                <w:rFonts w:cs="Arial"/>
              </w:rPr>
            </w:pPr>
          </w:p>
        </w:tc>
        <w:tc>
          <w:tcPr>
            <w:tcW w:w="186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6331" w14:textId="77777777" w:rsidR="00B35B27" w:rsidRPr="009271D9" w:rsidRDefault="00B35B27" w:rsidP="009C73E4">
            <w:pPr>
              <w:spacing w:after="0" w:line="276" w:lineRule="auto"/>
              <w:ind w:left="100"/>
              <w:rPr>
                <w:rFonts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C94017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b/>
                <w:i/>
                <w:sz w:val="20"/>
                <w:szCs w:val="20"/>
              </w:rPr>
            </w:pPr>
            <w:r w:rsidRPr="009271D9">
              <w:rPr>
                <w:rFonts w:cs="Arial"/>
                <w:b/>
                <w:i/>
                <w:sz w:val="20"/>
                <w:szCs w:val="20"/>
              </w:rPr>
              <w:t>ERBB2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ACA4C6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b/>
                <w:i/>
                <w:sz w:val="20"/>
                <w:szCs w:val="20"/>
              </w:rPr>
            </w:pPr>
            <w:r w:rsidRPr="009271D9">
              <w:rPr>
                <w:rFonts w:cs="Arial"/>
                <w:b/>
                <w:i/>
                <w:sz w:val="20"/>
                <w:szCs w:val="20"/>
              </w:rPr>
              <w:t>ERBB3</w:t>
            </w:r>
          </w:p>
        </w:tc>
      </w:tr>
      <w:tr w:rsidR="00B35B27" w:rsidRPr="009271D9" w14:paraId="6A418D8E" w14:textId="77777777" w:rsidTr="009C73E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3645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CB16" w14:textId="77777777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PD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D28D" w14:textId="5E1DE6B8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</w:rPr>
              <w:t>3.6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309B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  <w:vertAlign w:val="superscript"/>
              </w:rPr>
            </w:pPr>
            <w:r w:rsidRPr="009271D9">
              <w:rPr>
                <w:rFonts w:cs="Arial"/>
                <w:sz w:val="20"/>
                <w:szCs w:val="20"/>
              </w:rPr>
              <w:t xml:space="preserve">Extracellular </w:t>
            </w:r>
            <w:proofErr w:type="spellStart"/>
            <w:r w:rsidRPr="009271D9">
              <w:rPr>
                <w:rFonts w:cs="Arial"/>
                <w:sz w:val="20"/>
                <w:szCs w:val="20"/>
              </w:rPr>
              <w:t>hotspot</w:t>
            </w:r>
            <w:r w:rsidRPr="009271D9">
              <w:rPr>
                <w:rFonts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8BCB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S310F/D582N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AA49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E332K</w:t>
            </w:r>
          </w:p>
        </w:tc>
      </w:tr>
      <w:tr w:rsidR="00B35B27" w:rsidRPr="009271D9" w14:paraId="6D3CD218" w14:textId="77777777" w:rsidTr="009C73E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7506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4B5D" w14:textId="77777777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PD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DCB7" w14:textId="3C29002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</w:rPr>
              <w:t>7.6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3F96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Kinase domain, hotspot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0E93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L755S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CFE8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E928G</w:t>
            </w:r>
          </w:p>
        </w:tc>
      </w:tr>
      <w:tr w:rsidR="00B35B27" w:rsidRPr="009271D9" w14:paraId="216E5AC0" w14:textId="77777777" w:rsidTr="009C73E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C240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01DE" w14:textId="77777777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SD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7BB6" w14:textId="0BF7B3CF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</w:rPr>
              <w:t>11.2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DBB2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Kinase domain, non-hotspot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08C4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L841V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1D85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K329I</w:t>
            </w:r>
          </w:p>
        </w:tc>
      </w:tr>
      <w:tr w:rsidR="00B35B27" w:rsidRPr="009271D9" w14:paraId="26DEA3D9" w14:textId="77777777" w:rsidTr="009C73E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2CA7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BF48" w14:textId="77777777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SD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2B57" w14:textId="38B9C54C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</w:rPr>
              <w:t>14.0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5797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Kinase domain, hotspot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EB0F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L755S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88ED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E928G</w:t>
            </w:r>
          </w:p>
        </w:tc>
      </w:tr>
      <w:tr w:rsidR="00B35B27" w:rsidRPr="009271D9" w14:paraId="487201F4" w14:textId="77777777" w:rsidTr="009C73E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74B4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F210" w14:textId="77777777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9271D9">
              <w:rPr>
                <w:rFonts w:cs="Arial"/>
                <w:sz w:val="20"/>
                <w:szCs w:val="20"/>
              </w:rPr>
              <w:t>uPR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0D08" w14:textId="49D2B7D2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</w:rPr>
              <w:t>14.0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AEBD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Kinase domain, hotspot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89C3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L869R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D67B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E928G</w:t>
            </w:r>
          </w:p>
        </w:tc>
      </w:tr>
      <w:tr w:rsidR="00B35B27" w:rsidRPr="009271D9" w14:paraId="5191DC17" w14:textId="77777777" w:rsidTr="009C73E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BC3D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5EC2" w14:textId="33E2CA82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9271D9">
              <w:rPr>
                <w:rFonts w:cs="Arial"/>
                <w:sz w:val="20"/>
                <w:szCs w:val="20"/>
              </w:rPr>
              <w:t>uPR</w:t>
            </w:r>
            <w:r w:rsidR="00711067" w:rsidRPr="00711067">
              <w:rPr>
                <w:rFonts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EFD9" w14:textId="1E7FA130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</w:rPr>
              <w:t>15.6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3A97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Kinase domain, hotspot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75C4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L869R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C1E9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E928G</w:t>
            </w:r>
          </w:p>
        </w:tc>
      </w:tr>
      <w:tr w:rsidR="00B35B27" w:rsidRPr="009271D9" w14:paraId="0D144E1E" w14:textId="77777777" w:rsidTr="009C73E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2D07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5B1B" w14:textId="77777777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9271D9">
              <w:rPr>
                <w:rFonts w:cs="Arial"/>
                <w:sz w:val="20"/>
                <w:szCs w:val="20"/>
              </w:rPr>
              <w:t>uPR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F46D" w14:textId="21577E9D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</w:rPr>
              <w:t>14.0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B65E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proofErr w:type="spellStart"/>
            <w:r w:rsidRPr="009271D9">
              <w:rPr>
                <w:rFonts w:cs="Arial"/>
                <w:sz w:val="20"/>
                <w:szCs w:val="20"/>
              </w:rPr>
              <w:t>Juxtamembrane</w:t>
            </w:r>
            <w:proofErr w:type="spellEnd"/>
            <w:r w:rsidRPr="009271D9">
              <w:rPr>
                <w:rFonts w:cs="Arial"/>
                <w:sz w:val="20"/>
                <w:szCs w:val="20"/>
              </w:rPr>
              <w:t>, hotspot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F389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V697L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C23D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K329E</w:t>
            </w:r>
          </w:p>
        </w:tc>
      </w:tr>
      <w:tr w:rsidR="00B35B27" w:rsidRPr="009271D9" w14:paraId="5D84909D" w14:textId="77777777" w:rsidTr="009C73E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91F7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79 (ongoing)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A2FC" w14:textId="77777777" w:rsidR="00B35B27" w:rsidRPr="009271D9" w:rsidRDefault="00B9430F" w:rsidP="009C73E4">
            <w:pPr>
              <w:spacing w:after="0" w:line="276" w:lineRule="auto"/>
              <w:ind w:left="38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9271D9">
              <w:rPr>
                <w:rFonts w:cs="Arial"/>
                <w:sz w:val="20"/>
                <w:szCs w:val="20"/>
              </w:rPr>
              <w:t>cCR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8E8A" w14:textId="34A10E26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</w:rPr>
              <w:t>52.0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1AAD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Extracellular hotspot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30D1" w14:textId="77777777" w:rsidR="00B35B27" w:rsidRPr="009271D9" w:rsidRDefault="00B9430F" w:rsidP="009C73E4">
            <w:pPr>
              <w:spacing w:after="0" w:line="276" w:lineRule="auto"/>
              <w:ind w:left="100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S310F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B730" w14:textId="77777777" w:rsidR="00B35B27" w:rsidRPr="009271D9" w:rsidRDefault="00B9430F" w:rsidP="009C73E4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K329E/S846I</w:t>
            </w:r>
          </w:p>
        </w:tc>
      </w:tr>
    </w:tbl>
    <w:p w14:paraId="41ACD19E" w14:textId="77777777" w:rsidR="00B35B27" w:rsidRPr="009271D9" w:rsidRDefault="00B9430F" w:rsidP="009271D9">
      <w:pPr>
        <w:spacing w:before="240" w:after="0" w:line="480" w:lineRule="auto"/>
        <w:rPr>
          <w:rFonts w:cs="Arial"/>
        </w:rPr>
      </w:pPr>
      <w:r w:rsidRPr="009271D9">
        <w:rPr>
          <w:rFonts w:cs="Arial"/>
        </w:rPr>
        <w:t>BOR, best overall response; c, confirmed; CR, complete response; PD, progressive disease; PR, partial response; SD, stable disease; Tx, treatment; u, unconfirmed.</w:t>
      </w:r>
    </w:p>
    <w:p w14:paraId="72A09895" w14:textId="5C6AF2D4" w:rsidR="007D0595" w:rsidRDefault="00B9430F" w:rsidP="008D03E0">
      <w:pPr>
        <w:spacing w:before="240" w:after="0" w:line="480" w:lineRule="auto"/>
        <w:rPr>
          <w:rFonts w:cs="Arial"/>
          <w:b/>
        </w:rPr>
      </w:pPr>
      <w:proofErr w:type="spellStart"/>
      <w:r w:rsidRPr="009271D9">
        <w:rPr>
          <w:rFonts w:cs="Arial"/>
          <w:vertAlign w:val="superscript"/>
        </w:rPr>
        <w:t>a</w:t>
      </w:r>
      <w:r w:rsidRPr="009271D9">
        <w:rPr>
          <w:rFonts w:cs="Arial"/>
        </w:rPr>
        <w:t>Refers</w:t>
      </w:r>
      <w:proofErr w:type="spellEnd"/>
      <w:r w:rsidRPr="009271D9">
        <w:rPr>
          <w:rFonts w:cs="Arial"/>
        </w:rPr>
        <w:t xml:space="preserve"> to S310F mutation; D582N occurs in the extracellular domain and is a non-hotspot mutation. </w:t>
      </w:r>
      <w:proofErr w:type="spellStart"/>
      <w:r w:rsidR="00711067" w:rsidRPr="00711067">
        <w:rPr>
          <w:rFonts w:cs="Arial"/>
          <w:sz w:val="20"/>
          <w:szCs w:val="20"/>
          <w:vertAlign w:val="superscript"/>
        </w:rPr>
        <w:t>b</w:t>
      </w:r>
      <w:r w:rsidR="00711067">
        <w:rPr>
          <w:rFonts w:cs="Arial"/>
        </w:rPr>
        <w:t>According</w:t>
      </w:r>
      <w:proofErr w:type="spellEnd"/>
      <w:r w:rsidR="00711067">
        <w:rPr>
          <w:rFonts w:cs="Arial"/>
        </w:rPr>
        <w:t xml:space="preserve"> to</w:t>
      </w:r>
      <w:r w:rsidRPr="009271D9">
        <w:rPr>
          <w:rFonts w:cs="Arial"/>
        </w:rPr>
        <w:t xml:space="preserve"> </w:t>
      </w:r>
      <w:r w:rsidR="00FD6172" w:rsidRPr="00FD6172">
        <w:rPr>
          <w:rFonts w:cs="Arial"/>
        </w:rPr>
        <w:t xml:space="preserve">positron-emission tomography </w:t>
      </w:r>
      <w:r w:rsidRPr="009271D9">
        <w:rPr>
          <w:rFonts w:cs="Arial"/>
        </w:rPr>
        <w:t>response</w:t>
      </w:r>
      <w:r w:rsidR="00FD6172">
        <w:rPr>
          <w:rFonts w:cs="Arial"/>
        </w:rPr>
        <w:t>.</w:t>
      </w:r>
    </w:p>
    <w:p w14:paraId="2E8AE9BE" w14:textId="77777777" w:rsidR="007D0595" w:rsidRDefault="007D059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60A79E7" w14:textId="0DF29B11" w:rsidR="00B35B27" w:rsidRPr="009271D9" w:rsidRDefault="00B9430F" w:rsidP="007D0595">
      <w:pPr>
        <w:spacing w:after="0" w:line="480" w:lineRule="auto"/>
        <w:outlineLvl w:val="1"/>
        <w:rPr>
          <w:rFonts w:cs="Arial"/>
          <w:b/>
        </w:rPr>
      </w:pPr>
      <w:r w:rsidRPr="009271D9">
        <w:rPr>
          <w:rFonts w:cs="Arial"/>
          <w:b/>
        </w:rPr>
        <w:lastRenderedPageBreak/>
        <w:t xml:space="preserve">Supplementary Table </w:t>
      </w:r>
      <w:r w:rsidR="00A70AD0" w:rsidRPr="009271D9">
        <w:rPr>
          <w:rFonts w:cs="Arial"/>
          <w:b/>
        </w:rPr>
        <w:t>S</w:t>
      </w:r>
      <w:r w:rsidR="00782A79">
        <w:rPr>
          <w:rFonts w:cs="Arial"/>
          <w:b/>
        </w:rPr>
        <w:t>6</w:t>
      </w:r>
      <w:r w:rsidRPr="009271D9">
        <w:rPr>
          <w:rFonts w:cs="Arial"/>
          <w:b/>
        </w:rPr>
        <w:t xml:space="preserve">. Acquired </w:t>
      </w:r>
      <w:r w:rsidRPr="009271D9">
        <w:rPr>
          <w:rFonts w:cs="Arial"/>
          <w:b/>
          <w:i/>
        </w:rPr>
        <w:t>ERBB2</w:t>
      </w:r>
      <w:r w:rsidRPr="009271D9">
        <w:rPr>
          <w:rFonts w:cs="Arial"/>
          <w:b/>
        </w:rPr>
        <w:t xml:space="preserve"> sequencing results from paired tumor and </w:t>
      </w:r>
      <w:proofErr w:type="spellStart"/>
      <w:r w:rsidRPr="009271D9">
        <w:rPr>
          <w:rFonts w:cs="Arial"/>
          <w:b/>
        </w:rPr>
        <w:t>cfDNA</w:t>
      </w:r>
      <w:proofErr w:type="spellEnd"/>
      <w:r w:rsidRPr="009271D9">
        <w:rPr>
          <w:rFonts w:cs="Arial"/>
          <w:b/>
        </w:rPr>
        <w:t xml:space="preserve"> analysis</w:t>
      </w:r>
    </w:p>
    <w:tbl>
      <w:tblPr>
        <w:tblStyle w:val="2"/>
        <w:tblW w:w="96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8"/>
        <w:gridCol w:w="1216"/>
        <w:gridCol w:w="1674"/>
        <w:gridCol w:w="874"/>
        <w:gridCol w:w="981"/>
        <w:gridCol w:w="1582"/>
        <w:gridCol w:w="1240"/>
        <w:gridCol w:w="1180"/>
      </w:tblGrid>
      <w:tr w:rsidR="00B35B27" w:rsidRPr="008D03E0" w14:paraId="0B842934" w14:textId="77777777" w:rsidTr="001969DA">
        <w:trPr>
          <w:trHeight w:val="440"/>
        </w:trPr>
        <w:tc>
          <w:tcPr>
            <w:tcW w:w="9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34A71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Patient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7B9B61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BOR</w:t>
            </w:r>
          </w:p>
          <w:p w14:paraId="6B04B945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 xml:space="preserve">(Tx duration, </w:t>
            </w:r>
            <w:proofErr w:type="spellStart"/>
            <w:r w:rsidRPr="008D03E0">
              <w:rPr>
                <w:rFonts w:cs="Arial"/>
                <w:b/>
                <w:sz w:val="20"/>
                <w:szCs w:val="20"/>
              </w:rPr>
              <w:t>wks</w:t>
            </w:r>
            <w:proofErr w:type="spellEnd"/>
            <w:r w:rsidRPr="008D03E0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5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446E86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Pre-treatment</w:t>
            </w:r>
          </w:p>
        </w:tc>
        <w:tc>
          <w:tcPr>
            <w:tcW w:w="40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0D83A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Post-treatment</w:t>
            </w:r>
          </w:p>
        </w:tc>
      </w:tr>
      <w:tr w:rsidR="00B35B27" w:rsidRPr="008D03E0" w14:paraId="238AEAD9" w14:textId="77777777" w:rsidTr="008D03E0">
        <w:trPr>
          <w:trHeight w:val="700"/>
        </w:trPr>
        <w:tc>
          <w:tcPr>
            <w:tcW w:w="938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5461" w14:textId="77777777" w:rsidR="00B35B27" w:rsidRPr="008D03E0" w:rsidRDefault="00B35B27" w:rsidP="008D03E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F8B0" w14:textId="77777777" w:rsidR="00B35B27" w:rsidRPr="008D03E0" w:rsidRDefault="00B35B27" w:rsidP="008D03E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F33D8B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ERBB2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8CF3E3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Tissue AF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4FEA4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Plasma AF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9B5BD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ERBB2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9DFD89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Plasma AF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143D93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b/>
                <w:sz w:val="20"/>
                <w:szCs w:val="20"/>
              </w:rPr>
            </w:pPr>
            <w:r w:rsidRPr="008D03E0">
              <w:rPr>
                <w:rFonts w:cs="Arial"/>
                <w:b/>
                <w:sz w:val="20"/>
                <w:szCs w:val="20"/>
              </w:rPr>
              <w:t>Tissue AF</w:t>
            </w:r>
          </w:p>
        </w:tc>
      </w:tr>
      <w:tr w:rsidR="00B35B27" w:rsidRPr="008D03E0" w14:paraId="3BB6F99D" w14:textId="77777777" w:rsidTr="008D03E0">
        <w:trPr>
          <w:trHeight w:val="10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5463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1B01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D03E0">
              <w:rPr>
                <w:rFonts w:cs="Arial"/>
                <w:sz w:val="20"/>
                <w:szCs w:val="20"/>
              </w:rPr>
              <w:t>cPR</w:t>
            </w:r>
            <w:proofErr w:type="spellEnd"/>
            <w:r w:rsidRPr="008D03E0">
              <w:rPr>
                <w:rFonts w:cs="Arial"/>
                <w:sz w:val="20"/>
                <w:szCs w:val="20"/>
              </w:rPr>
              <w:t xml:space="preserve"> (32)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C251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G778_P780dup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65CE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7B81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04BE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G778_P780dup</w:t>
            </w:r>
          </w:p>
          <w:p w14:paraId="578CB0AF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I767M</w:t>
            </w:r>
          </w:p>
          <w:p w14:paraId="4B63043D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Amplification</w:t>
            </w:r>
          </w:p>
          <w:p w14:paraId="30A669C2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S310Y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09E5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0.41</w:t>
            </w:r>
          </w:p>
          <w:p w14:paraId="166C8EE7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0.0034</w:t>
            </w:r>
          </w:p>
          <w:p w14:paraId="5DB2FF5F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Detected</w:t>
            </w:r>
          </w:p>
          <w:p w14:paraId="36FBB5FB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292F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0.56</w:t>
            </w:r>
          </w:p>
          <w:p w14:paraId="0315E976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ND</w:t>
            </w:r>
          </w:p>
          <w:p w14:paraId="7AAA113B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Detected</w:t>
            </w:r>
          </w:p>
          <w:p w14:paraId="6963FB92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0.44</w:t>
            </w:r>
          </w:p>
        </w:tc>
      </w:tr>
      <w:tr w:rsidR="00B35B27" w:rsidRPr="008D03E0" w14:paraId="34B25EC2" w14:textId="77777777" w:rsidTr="008D03E0">
        <w:trPr>
          <w:trHeight w:val="1217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D340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2893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D03E0">
              <w:rPr>
                <w:rFonts w:cs="Arial"/>
                <w:sz w:val="20"/>
                <w:szCs w:val="20"/>
              </w:rPr>
              <w:t>uPR</w:t>
            </w:r>
            <w:proofErr w:type="spellEnd"/>
            <w:r w:rsidRPr="008D03E0">
              <w:rPr>
                <w:rFonts w:cs="Arial"/>
                <w:sz w:val="20"/>
                <w:szCs w:val="20"/>
              </w:rPr>
              <w:t xml:space="preserve"> (64.1)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5FA6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L869R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51C0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02B2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5F99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L869R</w:t>
            </w:r>
          </w:p>
          <w:p w14:paraId="21A750DE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S310Y</w:t>
            </w:r>
          </w:p>
          <w:p w14:paraId="2AD617C9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D769Y</w:t>
            </w:r>
          </w:p>
          <w:p w14:paraId="725B4A44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L755S</w:t>
            </w:r>
          </w:p>
          <w:p w14:paraId="333D0126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T798I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DEC1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0.14</w:t>
            </w:r>
          </w:p>
          <w:p w14:paraId="33AB64AF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0.0015</w:t>
            </w:r>
          </w:p>
          <w:p w14:paraId="51426DDB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0.0009</w:t>
            </w:r>
          </w:p>
          <w:p w14:paraId="7C7D540E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0.0022</w:t>
            </w:r>
          </w:p>
          <w:p w14:paraId="6F0E93B2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0230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0.44</w:t>
            </w:r>
          </w:p>
          <w:p w14:paraId="7B719BEA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ND</w:t>
            </w:r>
          </w:p>
          <w:p w14:paraId="50774DDA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ND</w:t>
            </w:r>
          </w:p>
          <w:p w14:paraId="0BF28921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ND</w:t>
            </w:r>
          </w:p>
          <w:p w14:paraId="72835DCC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ND</w:t>
            </w:r>
          </w:p>
        </w:tc>
      </w:tr>
      <w:tr w:rsidR="00B35B27" w:rsidRPr="008D03E0" w14:paraId="76E46D88" w14:textId="77777777" w:rsidTr="008D03E0">
        <w:trPr>
          <w:trHeight w:val="4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17DC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3587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D03E0">
              <w:rPr>
                <w:rFonts w:cs="Arial"/>
                <w:sz w:val="20"/>
                <w:szCs w:val="20"/>
              </w:rPr>
              <w:t>uPR</w:t>
            </w:r>
            <w:proofErr w:type="spellEnd"/>
            <w:r w:rsidRPr="008D03E0">
              <w:rPr>
                <w:rFonts w:cs="Arial"/>
                <w:sz w:val="20"/>
                <w:szCs w:val="20"/>
              </w:rPr>
              <w:t xml:space="preserve"> (16.0)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5762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V697L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0E30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1B23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0.018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BD12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V697L</w:t>
            </w:r>
          </w:p>
          <w:p w14:paraId="26A52D96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Amplification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A95D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0.0058</w:t>
            </w:r>
          </w:p>
          <w:p w14:paraId="11B80E68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7968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0.74</w:t>
            </w:r>
          </w:p>
          <w:p w14:paraId="68F76B83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Detected</w:t>
            </w:r>
          </w:p>
        </w:tc>
      </w:tr>
      <w:tr w:rsidR="00B35B27" w:rsidRPr="008D03E0" w14:paraId="75787C8E" w14:textId="77777777" w:rsidTr="008D03E0">
        <w:trPr>
          <w:trHeight w:val="103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FEA8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3D70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SD (30.1)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B354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L755S</w:t>
            </w:r>
          </w:p>
          <w:p w14:paraId="6E61557C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L755P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6A30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0.29</w:t>
            </w:r>
          </w:p>
          <w:p w14:paraId="150B7BE5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CC77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0.045</w:t>
            </w:r>
          </w:p>
          <w:p w14:paraId="3E5CEDFD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0.0086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C706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L755S</w:t>
            </w:r>
          </w:p>
          <w:p w14:paraId="6739E8ED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L755P</w:t>
            </w:r>
          </w:p>
          <w:p w14:paraId="33A9AB55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T862A</w:t>
            </w:r>
          </w:p>
          <w:p w14:paraId="0F1EB08D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S310F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CE71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0.24</w:t>
            </w:r>
          </w:p>
          <w:p w14:paraId="546787E3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0.14</w:t>
            </w:r>
          </w:p>
          <w:p w14:paraId="22D4EA35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0.0017</w:t>
            </w:r>
          </w:p>
          <w:p w14:paraId="5D29A574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47CE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NA</w:t>
            </w:r>
          </w:p>
        </w:tc>
      </w:tr>
      <w:tr w:rsidR="00B35B27" w:rsidRPr="008D03E0" w14:paraId="74A31A27" w14:textId="77777777" w:rsidTr="008D03E0">
        <w:trPr>
          <w:trHeight w:val="141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41CF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D2B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PD (9.0)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1297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L755S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E7C7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6442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FCD7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L755S</w:t>
            </w:r>
          </w:p>
          <w:p w14:paraId="268A8050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D769H</w:t>
            </w:r>
          </w:p>
          <w:p w14:paraId="2A6941BC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K1171N</w:t>
            </w:r>
          </w:p>
          <w:p w14:paraId="230BA220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D1016Y</w:t>
            </w:r>
          </w:p>
          <w:p w14:paraId="10577923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D1089Y</w:t>
            </w:r>
          </w:p>
          <w:p w14:paraId="06CEE4D6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D962H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888C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0.14</w:t>
            </w:r>
          </w:p>
          <w:p w14:paraId="4FDC37CA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0.0017</w:t>
            </w:r>
          </w:p>
          <w:p w14:paraId="4E552922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0.002</w:t>
            </w:r>
          </w:p>
          <w:p w14:paraId="3417D4A5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0.0029</w:t>
            </w:r>
          </w:p>
          <w:p w14:paraId="114588DF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0.0039</w:t>
            </w:r>
          </w:p>
          <w:p w14:paraId="33A09F11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10AA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NA</w:t>
            </w:r>
          </w:p>
        </w:tc>
      </w:tr>
      <w:tr w:rsidR="00B35B27" w:rsidRPr="008D03E0" w14:paraId="442F4DD8" w14:textId="77777777" w:rsidTr="008D03E0">
        <w:trPr>
          <w:trHeight w:val="6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468D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56C8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D03E0">
              <w:rPr>
                <w:rFonts w:cs="Arial"/>
                <w:sz w:val="20"/>
                <w:szCs w:val="20"/>
              </w:rPr>
              <w:t>cPR</w:t>
            </w:r>
            <w:proofErr w:type="spellEnd"/>
            <w:r w:rsidRPr="008D03E0">
              <w:rPr>
                <w:rFonts w:cs="Arial"/>
                <w:sz w:val="20"/>
                <w:szCs w:val="20"/>
              </w:rPr>
              <w:t xml:space="preserve"> (88.0)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FC09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V777L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ED1D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5784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0.015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1E98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V777L</w:t>
            </w:r>
          </w:p>
          <w:p w14:paraId="0D5D9D8A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T798I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7566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0.02</w:t>
            </w:r>
          </w:p>
          <w:p w14:paraId="2AB1A1B9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FD9C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NA</w:t>
            </w:r>
          </w:p>
        </w:tc>
      </w:tr>
      <w:tr w:rsidR="00B35B27" w:rsidRPr="008D03E0" w14:paraId="3FCD36B1" w14:textId="77777777" w:rsidTr="008D03E0">
        <w:trPr>
          <w:trHeight w:val="44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4131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D9F5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SD (88.6)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47B9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G776V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5521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B36C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0.053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074F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G776V</w:t>
            </w:r>
          </w:p>
          <w:p w14:paraId="63DC29B4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I767M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CD96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0.11</w:t>
            </w:r>
          </w:p>
          <w:p w14:paraId="6E33BC3F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0.0018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A509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NA</w:t>
            </w:r>
          </w:p>
        </w:tc>
      </w:tr>
      <w:tr w:rsidR="00B35B27" w:rsidRPr="008D03E0" w14:paraId="59AA2614" w14:textId="77777777" w:rsidTr="008D03E0">
        <w:trPr>
          <w:trHeight w:val="15"/>
        </w:trPr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F7C5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27BE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8D03E0">
              <w:rPr>
                <w:rFonts w:cs="Arial"/>
                <w:sz w:val="20"/>
                <w:szCs w:val="20"/>
              </w:rPr>
              <w:t>cCR</w:t>
            </w:r>
            <w:proofErr w:type="spellEnd"/>
            <w:r w:rsidRPr="008D03E0">
              <w:rPr>
                <w:rFonts w:cs="Arial"/>
                <w:sz w:val="20"/>
                <w:szCs w:val="20"/>
              </w:rPr>
              <w:t xml:space="preserve"> (80.0)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826F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S310F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B111" w14:textId="77777777" w:rsidR="00B35B27" w:rsidRPr="008D03E0" w:rsidRDefault="00B9430F" w:rsidP="008D03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C3B9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7549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S310F</w:t>
            </w:r>
          </w:p>
          <w:p w14:paraId="25184CA2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L785F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B7E5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AC40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0.11</w:t>
            </w:r>
          </w:p>
          <w:p w14:paraId="2F6BE7D8" w14:textId="77777777" w:rsidR="00B35B27" w:rsidRPr="008D03E0" w:rsidRDefault="00B9430F" w:rsidP="008D03E0">
            <w:pPr>
              <w:spacing w:after="0" w:line="240" w:lineRule="auto"/>
              <w:ind w:left="-32"/>
              <w:rPr>
                <w:rFonts w:cs="Arial"/>
                <w:sz w:val="20"/>
                <w:szCs w:val="20"/>
              </w:rPr>
            </w:pPr>
            <w:r w:rsidRPr="008D03E0">
              <w:rPr>
                <w:rFonts w:cs="Arial"/>
                <w:sz w:val="20"/>
                <w:szCs w:val="20"/>
              </w:rPr>
              <w:t>0.10</w:t>
            </w:r>
          </w:p>
        </w:tc>
      </w:tr>
    </w:tbl>
    <w:p w14:paraId="6F83BA95" w14:textId="77777777" w:rsidR="00B35B27" w:rsidRPr="008D03E0" w:rsidRDefault="00B9430F" w:rsidP="009271D9">
      <w:pPr>
        <w:spacing w:after="0" w:line="480" w:lineRule="auto"/>
        <w:rPr>
          <w:rFonts w:cs="Arial"/>
          <w:sz w:val="20"/>
          <w:szCs w:val="20"/>
        </w:rPr>
      </w:pPr>
      <w:r w:rsidRPr="008D03E0">
        <w:rPr>
          <w:rFonts w:cs="Arial"/>
          <w:sz w:val="20"/>
          <w:szCs w:val="20"/>
        </w:rPr>
        <w:t xml:space="preserve">AF, allele frequency; BOR, best overall response; c, confirmed; </w:t>
      </w:r>
      <w:proofErr w:type="spellStart"/>
      <w:r w:rsidRPr="008D03E0">
        <w:rPr>
          <w:rFonts w:cs="Arial"/>
          <w:sz w:val="20"/>
          <w:szCs w:val="20"/>
        </w:rPr>
        <w:t>cfDNA</w:t>
      </w:r>
      <w:proofErr w:type="spellEnd"/>
      <w:r w:rsidRPr="008D03E0">
        <w:rPr>
          <w:rFonts w:cs="Arial"/>
          <w:sz w:val="20"/>
          <w:szCs w:val="20"/>
        </w:rPr>
        <w:t>, cell-free DNA; CR, complete response; NA, not available; ND, not detected; PD, progressive disease; PR, partial response; SD, stable disease; Tx, treatment; u, unconfirmed.</w:t>
      </w:r>
    </w:p>
    <w:p w14:paraId="3A56E81D" w14:textId="77777777" w:rsidR="007D0595" w:rsidRDefault="007D059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A3A3BCC" w14:textId="2F338BCE" w:rsidR="00B35B27" w:rsidRPr="009271D9" w:rsidRDefault="00B9430F" w:rsidP="007D0595">
      <w:pPr>
        <w:spacing w:after="0" w:line="480" w:lineRule="auto"/>
        <w:outlineLvl w:val="1"/>
        <w:rPr>
          <w:rFonts w:cs="Arial"/>
          <w:b/>
        </w:rPr>
      </w:pPr>
      <w:r w:rsidRPr="009271D9">
        <w:rPr>
          <w:rFonts w:cs="Arial"/>
          <w:b/>
        </w:rPr>
        <w:lastRenderedPageBreak/>
        <w:t xml:space="preserve">Supplementary Table </w:t>
      </w:r>
      <w:r w:rsidR="00A70AD0" w:rsidRPr="009271D9">
        <w:rPr>
          <w:rFonts w:cs="Arial"/>
          <w:b/>
        </w:rPr>
        <w:t>S</w:t>
      </w:r>
      <w:r w:rsidR="00782A79">
        <w:rPr>
          <w:rFonts w:cs="Arial"/>
          <w:b/>
        </w:rPr>
        <w:t>7</w:t>
      </w:r>
      <w:r w:rsidRPr="009271D9">
        <w:rPr>
          <w:rFonts w:cs="Arial"/>
          <w:b/>
        </w:rPr>
        <w:t>. PET Response Criteria</w:t>
      </w:r>
    </w:p>
    <w:tbl>
      <w:tblPr>
        <w:tblStyle w:val="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7224"/>
      </w:tblGrid>
      <w:tr w:rsidR="00B35B27" w:rsidRPr="009271D9" w14:paraId="46C41115" w14:textId="77777777">
        <w:trPr>
          <w:trHeight w:val="720"/>
        </w:trPr>
        <w:tc>
          <w:tcPr>
            <w:tcW w:w="2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CB97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Response category</w:t>
            </w:r>
          </w:p>
        </w:tc>
        <w:tc>
          <w:tcPr>
            <w:tcW w:w="72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2876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  <w:vertAlign w:val="subscript"/>
              </w:rPr>
            </w:pPr>
            <w:r w:rsidRPr="009271D9">
              <w:rPr>
                <w:rFonts w:cs="Arial"/>
                <w:sz w:val="20"/>
                <w:szCs w:val="20"/>
              </w:rPr>
              <w:t>Based on sum of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  <w:r w:rsidRPr="009271D9">
              <w:rPr>
                <w:rFonts w:cs="Arial"/>
                <w:sz w:val="20"/>
                <w:szCs w:val="20"/>
              </w:rPr>
              <w:t xml:space="preserve"> from 1 to 5 target lesions. Each target lesion with initial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  <w:r w:rsidRPr="009271D9">
              <w:rPr>
                <w:rFonts w:cs="Arial"/>
                <w:sz w:val="20"/>
                <w:szCs w:val="20"/>
              </w:rPr>
              <w:t xml:space="preserve"> of &gt;1.5 × normal liver background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</w:p>
        </w:tc>
      </w:tr>
      <w:tr w:rsidR="00B35B27" w:rsidRPr="009271D9" w14:paraId="73B67AE2" w14:textId="77777777">
        <w:trPr>
          <w:trHeight w:val="172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20C7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Complete metabolic response (CMR)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5D71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Reduction of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  <w:r w:rsidRPr="009271D9">
              <w:rPr>
                <w:rFonts w:cs="Arial"/>
                <w:sz w:val="20"/>
                <w:szCs w:val="20"/>
              </w:rPr>
              <w:t xml:space="preserve"> of all target lesions to less than normal liver background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  <w:r w:rsidRPr="009271D9">
              <w:rPr>
                <w:rFonts w:cs="Arial"/>
                <w:sz w:val="20"/>
                <w:szCs w:val="20"/>
              </w:rPr>
              <w:t xml:space="preserve"> (for non-brain lesions) or less than normal brain background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  <w:r w:rsidRPr="009271D9">
              <w:rPr>
                <w:rFonts w:cs="Arial"/>
                <w:sz w:val="20"/>
                <w:szCs w:val="20"/>
              </w:rPr>
              <w:t xml:space="preserve"> (for brain lesions)</w:t>
            </w:r>
          </w:p>
          <w:p w14:paraId="36BB884D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AND</w:t>
            </w:r>
          </w:p>
          <w:p w14:paraId="5368BA0E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  <w:vertAlign w:val="subscript"/>
              </w:rPr>
            </w:pPr>
            <w:r w:rsidRPr="009271D9">
              <w:rPr>
                <w:rFonts w:cs="Arial"/>
                <w:sz w:val="20"/>
                <w:szCs w:val="20"/>
              </w:rPr>
              <w:t>The reduction of all other FDG-avid lesions consistent with disease to less than normal liver background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</w:p>
        </w:tc>
      </w:tr>
      <w:tr w:rsidR="00B35B27" w:rsidRPr="009271D9" w14:paraId="27820AF4" w14:textId="77777777">
        <w:trPr>
          <w:trHeight w:val="12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1B1A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Partial metabolic response (PMR)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769C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Sum of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  <w:r w:rsidRPr="009271D9">
              <w:rPr>
                <w:rFonts w:cs="Arial"/>
                <w:sz w:val="20"/>
                <w:szCs w:val="20"/>
              </w:rPr>
              <w:t xml:space="preserve"> of all target lesions is decreased by ≥30% compared to baseline sum of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  <w:r w:rsidRPr="009271D9">
              <w:rPr>
                <w:rFonts w:cs="Arial"/>
                <w:sz w:val="20"/>
                <w:szCs w:val="20"/>
              </w:rPr>
              <w:t xml:space="preserve"> of all target lesions</w:t>
            </w:r>
          </w:p>
          <w:p w14:paraId="21FC010F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AND</w:t>
            </w:r>
          </w:p>
          <w:p w14:paraId="5BC173BD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No new lesions</w:t>
            </w:r>
          </w:p>
        </w:tc>
      </w:tr>
      <w:tr w:rsidR="00B35B27" w:rsidRPr="009271D9" w14:paraId="5CC10C91" w14:textId="77777777">
        <w:trPr>
          <w:trHeight w:val="66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FEB1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Stable metabolic disease (SMD)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B427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Not satisfying the criteria for CMR, PMR, PMD, or NE</w:t>
            </w:r>
          </w:p>
        </w:tc>
      </w:tr>
      <w:tr w:rsidR="00B35B27" w:rsidRPr="009271D9" w14:paraId="4B944889" w14:textId="77777777">
        <w:trPr>
          <w:trHeight w:val="92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ECB1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Progressive metabolic disease (PMD)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3038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Sum of SUV</w:t>
            </w:r>
            <w:r w:rsidRPr="009271D9">
              <w:rPr>
                <w:rFonts w:cs="Arial"/>
                <w:sz w:val="20"/>
                <w:szCs w:val="20"/>
                <w:vertAlign w:val="subscript"/>
              </w:rPr>
              <w:t>max</w:t>
            </w:r>
            <w:r w:rsidRPr="009271D9">
              <w:rPr>
                <w:rFonts w:cs="Arial"/>
                <w:sz w:val="20"/>
                <w:szCs w:val="20"/>
              </w:rPr>
              <w:t xml:space="preserve"> of all target lesions is increased by ≥30%</w:t>
            </w:r>
          </w:p>
          <w:p w14:paraId="1B3AC02B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OR</w:t>
            </w:r>
          </w:p>
          <w:p w14:paraId="37EAF3B5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Appearance of one or more unequivocal new FDG-avid lesions</w:t>
            </w:r>
          </w:p>
        </w:tc>
      </w:tr>
      <w:tr w:rsidR="00B35B27" w:rsidRPr="009271D9" w14:paraId="03E53B3F" w14:textId="77777777">
        <w:trPr>
          <w:trHeight w:val="1140"/>
        </w:trPr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8B2F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b/>
                <w:sz w:val="20"/>
                <w:szCs w:val="20"/>
              </w:rPr>
            </w:pPr>
            <w:r w:rsidRPr="009271D9">
              <w:rPr>
                <w:rFonts w:cs="Arial"/>
                <w:b/>
                <w:sz w:val="20"/>
                <w:szCs w:val="20"/>
              </w:rPr>
              <w:t>Not evaluable (NE)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54A0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Missing FDG-PET series or incomplete anatomy at follow-up timepoint</w:t>
            </w:r>
          </w:p>
          <w:p w14:paraId="5D6A7410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A PET/CT scanner change from baseline</w:t>
            </w:r>
          </w:p>
          <w:p w14:paraId="57F3600E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Variation in FDG uptake time ≥15 minutes compared to baseline</w:t>
            </w:r>
          </w:p>
          <w:p w14:paraId="2EB8D58D" w14:textId="77777777" w:rsidR="00B35B27" w:rsidRPr="009271D9" w:rsidRDefault="00B9430F" w:rsidP="009271D9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 w:rsidRPr="009271D9">
              <w:rPr>
                <w:rFonts w:cs="Arial"/>
                <w:sz w:val="20"/>
                <w:szCs w:val="20"/>
              </w:rPr>
              <w:t>Change in reconstruction algorithm</w:t>
            </w:r>
          </w:p>
        </w:tc>
      </w:tr>
    </w:tbl>
    <w:p w14:paraId="66D54227" w14:textId="4327C681" w:rsidR="00B35B27" w:rsidRPr="009271D9" w:rsidRDefault="00B9430F" w:rsidP="00F2557A">
      <w:pPr>
        <w:spacing w:after="0" w:line="480" w:lineRule="auto"/>
        <w:rPr>
          <w:rFonts w:cs="Arial"/>
        </w:rPr>
      </w:pPr>
      <w:r w:rsidRPr="009271D9">
        <w:rPr>
          <w:rFonts w:cs="Arial"/>
        </w:rPr>
        <w:t xml:space="preserve">CT, computed tomography; FDG-PET, </w:t>
      </w:r>
      <w:r w:rsidRPr="009271D9">
        <w:rPr>
          <w:rFonts w:cs="Arial"/>
          <w:vertAlign w:val="superscript"/>
        </w:rPr>
        <w:t>18</w:t>
      </w:r>
      <w:r w:rsidRPr="009271D9">
        <w:rPr>
          <w:rFonts w:cs="Arial"/>
        </w:rPr>
        <w:t>F-fluorodeoxyglucose positron-emission tomography; SUV</w:t>
      </w:r>
      <w:r w:rsidRPr="009271D9">
        <w:rPr>
          <w:rFonts w:cs="Arial"/>
          <w:vertAlign w:val="subscript"/>
        </w:rPr>
        <w:t>max</w:t>
      </w:r>
      <w:r w:rsidRPr="009271D9">
        <w:rPr>
          <w:rFonts w:cs="Arial"/>
        </w:rPr>
        <w:t>, maximum standardized uptake value.</w:t>
      </w:r>
    </w:p>
    <w:sectPr w:rsidR="00B35B27" w:rsidRPr="009271D9">
      <w:pgSz w:w="12240" w:h="15840"/>
      <w:pgMar w:top="1440" w:right="1440" w:bottom="1440" w:left="1440" w:header="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B442" w14:textId="77777777" w:rsidR="00FE3293" w:rsidRDefault="00FE3293">
      <w:pPr>
        <w:spacing w:after="0" w:line="240" w:lineRule="auto"/>
      </w:pPr>
      <w:r>
        <w:separator/>
      </w:r>
    </w:p>
  </w:endnote>
  <w:endnote w:type="continuationSeparator" w:id="0">
    <w:p w14:paraId="7C487BF1" w14:textId="77777777" w:rsidR="00FE3293" w:rsidRDefault="00FE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CE0F" w14:textId="77777777" w:rsidR="000F2D25" w:rsidRDefault="000F2D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C6A6" w14:textId="77777777" w:rsidR="00FE3293" w:rsidRDefault="00FE3293">
      <w:pPr>
        <w:spacing w:after="0" w:line="240" w:lineRule="auto"/>
      </w:pPr>
      <w:r>
        <w:separator/>
      </w:r>
    </w:p>
  </w:footnote>
  <w:footnote w:type="continuationSeparator" w:id="0">
    <w:p w14:paraId="227EFD9E" w14:textId="77777777" w:rsidR="00FE3293" w:rsidRDefault="00FE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A3FD" w14:textId="77777777" w:rsidR="000F2D25" w:rsidRDefault="000F2D25">
    <w:pPr>
      <w:pStyle w:val="Heading1"/>
      <w:rPr>
        <w:sz w:val="22"/>
        <w:szCs w:val="22"/>
      </w:rPr>
    </w:pPr>
    <w:bookmarkStart w:id="1" w:name="_17dp8vu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DFE"/>
    <w:multiLevelType w:val="multilevel"/>
    <w:tmpl w:val="10108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2294A"/>
    <w:multiLevelType w:val="multilevel"/>
    <w:tmpl w:val="66A44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27"/>
    <w:rsid w:val="00014299"/>
    <w:rsid w:val="00046702"/>
    <w:rsid w:val="00047181"/>
    <w:rsid w:val="00053592"/>
    <w:rsid w:val="0006787D"/>
    <w:rsid w:val="0007096E"/>
    <w:rsid w:val="00083572"/>
    <w:rsid w:val="000977DA"/>
    <w:rsid w:val="000A4483"/>
    <w:rsid w:val="000B09AD"/>
    <w:rsid w:val="000B3E78"/>
    <w:rsid w:val="000B4D13"/>
    <w:rsid w:val="000B5231"/>
    <w:rsid w:val="000C27D4"/>
    <w:rsid w:val="000C41CF"/>
    <w:rsid w:val="000D793E"/>
    <w:rsid w:val="000E019C"/>
    <w:rsid w:val="000E0200"/>
    <w:rsid w:val="000F170E"/>
    <w:rsid w:val="000F1F2A"/>
    <w:rsid w:val="000F25D8"/>
    <w:rsid w:val="000F2D25"/>
    <w:rsid w:val="00117675"/>
    <w:rsid w:val="00132B3D"/>
    <w:rsid w:val="00134C75"/>
    <w:rsid w:val="001372C6"/>
    <w:rsid w:val="001406F0"/>
    <w:rsid w:val="00144690"/>
    <w:rsid w:val="001651FA"/>
    <w:rsid w:val="00171137"/>
    <w:rsid w:val="00171D68"/>
    <w:rsid w:val="00177D34"/>
    <w:rsid w:val="001969DA"/>
    <w:rsid w:val="00197A86"/>
    <w:rsid w:val="00197E28"/>
    <w:rsid w:val="001A31FC"/>
    <w:rsid w:val="001A6C91"/>
    <w:rsid w:val="001B171B"/>
    <w:rsid w:val="001C2D0B"/>
    <w:rsid w:val="001C36BD"/>
    <w:rsid w:val="001F1F3F"/>
    <w:rsid w:val="00217C89"/>
    <w:rsid w:val="00226B39"/>
    <w:rsid w:val="002272F9"/>
    <w:rsid w:val="00235809"/>
    <w:rsid w:val="0024453E"/>
    <w:rsid w:val="0025060B"/>
    <w:rsid w:val="002537AC"/>
    <w:rsid w:val="0026097D"/>
    <w:rsid w:val="00272BF8"/>
    <w:rsid w:val="00287490"/>
    <w:rsid w:val="002930AC"/>
    <w:rsid w:val="002972F5"/>
    <w:rsid w:val="002A1050"/>
    <w:rsid w:val="002B08D1"/>
    <w:rsid w:val="002B6365"/>
    <w:rsid w:val="002C00C9"/>
    <w:rsid w:val="002C547C"/>
    <w:rsid w:val="002C58C2"/>
    <w:rsid w:val="002D14D0"/>
    <w:rsid w:val="002D307B"/>
    <w:rsid w:val="0030527D"/>
    <w:rsid w:val="00305CB6"/>
    <w:rsid w:val="0032392F"/>
    <w:rsid w:val="00324707"/>
    <w:rsid w:val="00330B75"/>
    <w:rsid w:val="00336E0F"/>
    <w:rsid w:val="00347604"/>
    <w:rsid w:val="003611C1"/>
    <w:rsid w:val="00370896"/>
    <w:rsid w:val="00385A7E"/>
    <w:rsid w:val="0039046D"/>
    <w:rsid w:val="00392EB8"/>
    <w:rsid w:val="003A2C42"/>
    <w:rsid w:val="003B4874"/>
    <w:rsid w:val="003C1E3E"/>
    <w:rsid w:val="003C4F1F"/>
    <w:rsid w:val="003C69C8"/>
    <w:rsid w:val="003C7BB4"/>
    <w:rsid w:val="003D3D57"/>
    <w:rsid w:val="003E4028"/>
    <w:rsid w:val="00406139"/>
    <w:rsid w:val="00413C8E"/>
    <w:rsid w:val="00433998"/>
    <w:rsid w:val="0046488D"/>
    <w:rsid w:val="00474C95"/>
    <w:rsid w:val="0049222B"/>
    <w:rsid w:val="004C2871"/>
    <w:rsid w:val="004E0A64"/>
    <w:rsid w:val="004E4584"/>
    <w:rsid w:val="004F2525"/>
    <w:rsid w:val="00501BC1"/>
    <w:rsid w:val="005430AC"/>
    <w:rsid w:val="005522E6"/>
    <w:rsid w:val="005542A9"/>
    <w:rsid w:val="00560552"/>
    <w:rsid w:val="00566DE9"/>
    <w:rsid w:val="00585448"/>
    <w:rsid w:val="0059394A"/>
    <w:rsid w:val="00595761"/>
    <w:rsid w:val="005A506F"/>
    <w:rsid w:val="005A66DC"/>
    <w:rsid w:val="005B0C9D"/>
    <w:rsid w:val="005C2C79"/>
    <w:rsid w:val="005C7A05"/>
    <w:rsid w:val="005E003A"/>
    <w:rsid w:val="005E0E49"/>
    <w:rsid w:val="005E5109"/>
    <w:rsid w:val="005E5AB4"/>
    <w:rsid w:val="005F511E"/>
    <w:rsid w:val="005F7604"/>
    <w:rsid w:val="006023D7"/>
    <w:rsid w:val="00606D6E"/>
    <w:rsid w:val="00611598"/>
    <w:rsid w:val="00621BC6"/>
    <w:rsid w:val="0063060B"/>
    <w:rsid w:val="0063658D"/>
    <w:rsid w:val="0064074D"/>
    <w:rsid w:val="00650012"/>
    <w:rsid w:val="00675D90"/>
    <w:rsid w:val="00687BD7"/>
    <w:rsid w:val="006B316A"/>
    <w:rsid w:val="006B50AF"/>
    <w:rsid w:val="006C19EB"/>
    <w:rsid w:val="006D746C"/>
    <w:rsid w:val="006F2A10"/>
    <w:rsid w:val="00711067"/>
    <w:rsid w:val="007114E2"/>
    <w:rsid w:val="007209C6"/>
    <w:rsid w:val="007227A3"/>
    <w:rsid w:val="00753CB6"/>
    <w:rsid w:val="00754C17"/>
    <w:rsid w:val="00755792"/>
    <w:rsid w:val="00756417"/>
    <w:rsid w:val="007769A0"/>
    <w:rsid w:val="00782A79"/>
    <w:rsid w:val="0078591D"/>
    <w:rsid w:val="00790979"/>
    <w:rsid w:val="007A14C6"/>
    <w:rsid w:val="007A63A9"/>
    <w:rsid w:val="007B73B0"/>
    <w:rsid w:val="007C7E5D"/>
    <w:rsid w:val="007D0595"/>
    <w:rsid w:val="007E149D"/>
    <w:rsid w:val="007E4FC6"/>
    <w:rsid w:val="007E71D5"/>
    <w:rsid w:val="008004CD"/>
    <w:rsid w:val="008019DE"/>
    <w:rsid w:val="0081046C"/>
    <w:rsid w:val="0082235C"/>
    <w:rsid w:val="008239EE"/>
    <w:rsid w:val="00832ADD"/>
    <w:rsid w:val="008561D3"/>
    <w:rsid w:val="008628A2"/>
    <w:rsid w:val="008648C5"/>
    <w:rsid w:val="008972B9"/>
    <w:rsid w:val="008A79FA"/>
    <w:rsid w:val="008C49B6"/>
    <w:rsid w:val="008D03E0"/>
    <w:rsid w:val="008F1C34"/>
    <w:rsid w:val="008F239E"/>
    <w:rsid w:val="008F599E"/>
    <w:rsid w:val="009021E5"/>
    <w:rsid w:val="00906035"/>
    <w:rsid w:val="009271D9"/>
    <w:rsid w:val="00930955"/>
    <w:rsid w:val="0094358C"/>
    <w:rsid w:val="00963085"/>
    <w:rsid w:val="009710F5"/>
    <w:rsid w:val="009974A2"/>
    <w:rsid w:val="009B3842"/>
    <w:rsid w:val="009C17C4"/>
    <w:rsid w:val="009C73E4"/>
    <w:rsid w:val="009E2464"/>
    <w:rsid w:val="009E3996"/>
    <w:rsid w:val="009E6453"/>
    <w:rsid w:val="009F0C04"/>
    <w:rsid w:val="00A01C09"/>
    <w:rsid w:val="00A25464"/>
    <w:rsid w:val="00A260B7"/>
    <w:rsid w:val="00A32BB9"/>
    <w:rsid w:val="00A676B0"/>
    <w:rsid w:val="00A67B70"/>
    <w:rsid w:val="00A70AD0"/>
    <w:rsid w:val="00A725F2"/>
    <w:rsid w:val="00A7275F"/>
    <w:rsid w:val="00A7485C"/>
    <w:rsid w:val="00A833EB"/>
    <w:rsid w:val="00A94413"/>
    <w:rsid w:val="00AA7C9C"/>
    <w:rsid w:val="00AB1624"/>
    <w:rsid w:val="00AD647B"/>
    <w:rsid w:val="00AD7BAA"/>
    <w:rsid w:val="00AF075C"/>
    <w:rsid w:val="00AF11D3"/>
    <w:rsid w:val="00AF661B"/>
    <w:rsid w:val="00AF6B79"/>
    <w:rsid w:val="00B03613"/>
    <w:rsid w:val="00B12BA2"/>
    <w:rsid w:val="00B15544"/>
    <w:rsid w:val="00B35B27"/>
    <w:rsid w:val="00B506A2"/>
    <w:rsid w:val="00B61534"/>
    <w:rsid w:val="00B657F8"/>
    <w:rsid w:val="00B7012E"/>
    <w:rsid w:val="00B9430F"/>
    <w:rsid w:val="00BC2387"/>
    <w:rsid w:val="00BC27C4"/>
    <w:rsid w:val="00BD30B5"/>
    <w:rsid w:val="00BD57FD"/>
    <w:rsid w:val="00BE63E7"/>
    <w:rsid w:val="00BF4E6C"/>
    <w:rsid w:val="00C01822"/>
    <w:rsid w:val="00C17C94"/>
    <w:rsid w:val="00C274A5"/>
    <w:rsid w:val="00C44AF3"/>
    <w:rsid w:val="00C47113"/>
    <w:rsid w:val="00C61421"/>
    <w:rsid w:val="00C65CAD"/>
    <w:rsid w:val="00C74FAB"/>
    <w:rsid w:val="00C80B27"/>
    <w:rsid w:val="00C81A2A"/>
    <w:rsid w:val="00C96A24"/>
    <w:rsid w:val="00CA5564"/>
    <w:rsid w:val="00CB6CF3"/>
    <w:rsid w:val="00CC0CCC"/>
    <w:rsid w:val="00CC2A26"/>
    <w:rsid w:val="00CE4964"/>
    <w:rsid w:val="00CF2193"/>
    <w:rsid w:val="00D00CAC"/>
    <w:rsid w:val="00D105AB"/>
    <w:rsid w:val="00D11AC7"/>
    <w:rsid w:val="00D208FB"/>
    <w:rsid w:val="00D231BA"/>
    <w:rsid w:val="00D35A0D"/>
    <w:rsid w:val="00D36064"/>
    <w:rsid w:val="00D3640C"/>
    <w:rsid w:val="00D4308F"/>
    <w:rsid w:val="00D43263"/>
    <w:rsid w:val="00D5185E"/>
    <w:rsid w:val="00D52EE1"/>
    <w:rsid w:val="00D54A24"/>
    <w:rsid w:val="00D65526"/>
    <w:rsid w:val="00D6655E"/>
    <w:rsid w:val="00D72515"/>
    <w:rsid w:val="00D72DF2"/>
    <w:rsid w:val="00D76229"/>
    <w:rsid w:val="00D76F3D"/>
    <w:rsid w:val="00D77CC3"/>
    <w:rsid w:val="00D80357"/>
    <w:rsid w:val="00D8083D"/>
    <w:rsid w:val="00D947C1"/>
    <w:rsid w:val="00D954EF"/>
    <w:rsid w:val="00D96955"/>
    <w:rsid w:val="00DA19D5"/>
    <w:rsid w:val="00DB5D15"/>
    <w:rsid w:val="00DB5E72"/>
    <w:rsid w:val="00DB78CF"/>
    <w:rsid w:val="00DE2D1F"/>
    <w:rsid w:val="00E24EA1"/>
    <w:rsid w:val="00E42A3E"/>
    <w:rsid w:val="00E62484"/>
    <w:rsid w:val="00E644CF"/>
    <w:rsid w:val="00E7137B"/>
    <w:rsid w:val="00E80315"/>
    <w:rsid w:val="00E9764F"/>
    <w:rsid w:val="00EB77C6"/>
    <w:rsid w:val="00EC4DCB"/>
    <w:rsid w:val="00EE4F7D"/>
    <w:rsid w:val="00EE7E12"/>
    <w:rsid w:val="00EF5BAC"/>
    <w:rsid w:val="00EF7FAE"/>
    <w:rsid w:val="00F21A77"/>
    <w:rsid w:val="00F253BC"/>
    <w:rsid w:val="00F2557A"/>
    <w:rsid w:val="00F567B6"/>
    <w:rsid w:val="00F56C42"/>
    <w:rsid w:val="00F84572"/>
    <w:rsid w:val="00F85A15"/>
    <w:rsid w:val="00F9498F"/>
    <w:rsid w:val="00FA51A1"/>
    <w:rsid w:val="00FA799D"/>
    <w:rsid w:val="00FC4B93"/>
    <w:rsid w:val="00FD1580"/>
    <w:rsid w:val="00FD617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F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675"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after="400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0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0F"/>
    <w:rPr>
      <w:b/>
      <w:bCs/>
      <w:sz w:val="20"/>
      <w:szCs w:val="20"/>
    </w:rPr>
  </w:style>
  <w:style w:type="character" w:customStyle="1" w:styleId="jrnl">
    <w:name w:val="jrnl"/>
    <w:basedOn w:val="DefaultParagraphFont"/>
    <w:rsid w:val="00C80B27"/>
  </w:style>
  <w:style w:type="character" w:styleId="Hyperlink">
    <w:name w:val="Hyperlink"/>
    <w:basedOn w:val="DefaultParagraphFont"/>
    <w:uiPriority w:val="99"/>
    <w:semiHidden/>
    <w:unhideWhenUsed/>
    <w:rsid w:val="00A32BB9"/>
    <w:rPr>
      <w:color w:val="0000FF"/>
      <w:u w:val="single"/>
    </w:rPr>
  </w:style>
  <w:style w:type="paragraph" w:styleId="Revision">
    <w:name w:val="Revision"/>
    <w:hidden/>
    <w:uiPriority w:val="99"/>
    <w:semiHidden/>
    <w:rsid w:val="00EF5BAC"/>
    <w:pPr>
      <w:spacing w:after="0" w:line="240" w:lineRule="auto"/>
    </w:pPr>
  </w:style>
  <w:style w:type="table" w:styleId="TableGrid">
    <w:name w:val="Table Grid"/>
    <w:basedOn w:val="TableNormal"/>
    <w:uiPriority w:val="39"/>
    <w:rsid w:val="00A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83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4">
    <w:name w:val="Grid Table 2 Accent 4"/>
    <w:basedOn w:val="TableNormal"/>
    <w:uiPriority w:val="47"/>
    <w:rsid w:val="00D00CA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PlainTable4">
    <w:name w:val="Plain Table 4"/>
    <w:basedOn w:val="TableNormal"/>
    <w:uiPriority w:val="44"/>
    <w:rsid w:val="007564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5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5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2019-11-08T11:03:00Z</dcterms:created>
  <dcterms:modified xsi:type="dcterms:W3CDTF">2019-11-08T11:03:00Z</dcterms:modified>
</cp:coreProperties>
</file>