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BA" w:rsidRPr="00FA28B2" w:rsidRDefault="00E847BA" w:rsidP="00E847BA">
      <w:pPr>
        <w:rPr>
          <w:rFonts w:ascii="Arial" w:eastAsia="Calibri" w:hAnsi="Arial" w:cs="Arial"/>
          <w:sz w:val="24"/>
          <w:lang w:val="en-US" w:eastAsia="en-US"/>
        </w:rPr>
      </w:pPr>
      <w:r w:rsidRPr="00FA28B2">
        <w:rPr>
          <w:rFonts w:ascii="Arial" w:eastAsia="Calibri" w:hAnsi="Arial" w:cs="Arial"/>
          <w:b/>
          <w:sz w:val="24"/>
          <w:lang w:val="en-US" w:eastAsia="en-US"/>
        </w:rPr>
        <w:t xml:space="preserve">Supplementary Table 3. </w:t>
      </w:r>
      <w:r w:rsidRPr="00FA28B2">
        <w:rPr>
          <w:rFonts w:ascii="Arial" w:eastAsia="Calibri" w:hAnsi="Arial" w:cs="Arial"/>
          <w:sz w:val="24"/>
          <w:lang w:val="en-US" w:eastAsia="en-US"/>
        </w:rPr>
        <w:t>Demographics and baseline disease characteristics for patients with paired samples and the subset with initial radiologic SD</w:t>
      </w:r>
    </w:p>
    <w:p w:rsidR="00E847BA" w:rsidRPr="00FA28B2" w:rsidRDefault="00E847BA" w:rsidP="00E847BA">
      <w:pPr>
        <w:rPr>
          <w:rFonts w:ascii="Arial" w:eastAsia="Calibri" w:hAnsi="Arial" w:cs="Arial"/>
          <w:lang w:val="en-US" w:eastAsia="en-US"/>
        </w:rPr>
      </w:pPr>
    </w:p>
    <w:tbl>
      <w:tblPr>
        <w:tblW w:w="92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1"/>
        <w:gridCol w:w="1843"/>
        <w:gridCol w:w="1376"/>
        <w:gridCol w:w="1940"/>
      </w:tblGrid>
      <w:tr w:rsidR="00E847BA" w:rsidRPr="00FA28B2" w:rsidTr="005D3F56">
        <w:trPr>
          <w:trHeight w:val="175"/>
        </w:trPr>
        <w:tc>
          <w:tcPr>
            <w:tcW w:w="411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ind w:right="93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ind w:right="93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ind w:right="9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Patients with paired samples</w:t>
            </w:r>
          </w:p>
        </w:tc>
        <w:tc>
          <w:tcPr>
            <w:tcW w:w="19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ind w:right="9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Patients with initial SD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171</w:t>
            </w:r>
          </w:p>
        </w:tc>
        <w:tc>
          <w:tcPr>
            <w:tcW w:w="19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74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Mean (SD)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62.6 (9.8)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63.1 (10.9)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Range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23-87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23-87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Median (IQR)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63 (57-69)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64 (57-71)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Gender,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Female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67 (39)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24 (32)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Male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104 (61)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50 (68)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Race,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White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119 (70)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49 (66)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Asian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45 (26)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21 (28)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African American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 (1)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 (1)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Other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5 (3)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3 (4)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Prior lines of therapy,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17 (10)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8 (11)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41 (24)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14 (19)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31 (18)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14 (19)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40 (23)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15 (20)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4+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39 (23)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21 (28)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Smoking history,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Never smoker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31 (18)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13 (18)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Current/former smoker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104 (61)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51 (69)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Unknown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36 (21)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kern w:val="24"/>
                <w:sz w:val="24"/>
                <w:szCs w:val="24"/>
                <w:lang w:val="en-US" w:eastAsia="en-US"/>
              </w:rPr>
              <w:t>10 (14)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Tumor type,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NSCLC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102 (60)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48 (65)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UC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46 (27)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16 (22)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Other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23 (13)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10 (14)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Tumor stage,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19 (11)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8 (11)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140 (82)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60 (81)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Other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12 (7)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5 (7)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ECOG/WHO PS,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59 (35)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26 (35)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111 (65)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47 (64)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Other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 (1)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 (1)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Tumoral</w:t>
            </w:r>
            <w:proofErr w:type="spellEnd"/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 xml:space="preserve"> PD-L1 expression,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&lt;25%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47 (27)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16 (22)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≥25%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103 (60)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47 (64)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Unknown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21 (12)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11 (15)</w:t>
            </w:r>
          </w:p>
        </w:tc>
      </w:tr>
      <w:tr w:rsidR="00E847BA" w:rsidRPr="00FA28B2" w:rsidTr="005D3F56">
        <w:trPr>
          <w:trHeight w:val="312"/>
        </w:trPr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Liver metastasis, n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32 (19)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:rsidR="00E847BA" w:rsidRPr="00FA28B2" w:rsidRDefault="00E847BA" w:rsidP="005D3F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A28B2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US" w:eastAsia="en-US"/>
              </w:rPr>
              <w:t>9 (12)</w:t>
            </w:r>
          </w:p>
        </w:tc>
      </w:tr>
    </w:tbl>
    <w:p w:rsidR="00E847BA" w:rsidRPr="00FA28B2" w:rsidRDefault="00E847BA" w:rsidP="00E847BA">
      <w:pPr>
        <w:jc w:val="center"/>
        <w:rPr>
          <w:rFonts w:ascii="Arial" w:eastAsia="Calibri" w:hAnsi="Arial" w:cs="Arial"/>
          <w:lang w:val="en-US" w:eastAsia="en-US"/>
        </w:rPr>
      </w:pPr>
    </w:p>
    <w:p w:rsidR="00E847BA" w:rsidRPr="00FA28B2" w:rsidRDefault="00E847BA" w:rsidP="00E847BA">
      <w:pPr>
        <w:spacing w:before="240"/>
        <w:rPr>
          <w:rFonts w:ascii="Arial" w:eastAsia="Calibri" w:hAnsi="Arial" w:cs="Arial"/>
          <w:sz w:val="24"/>
          <w:lang w:val="en-US" w:eastAsia="en-US"/>
        </w:rPr>
      </w:pPr>
      <w:r w:rsidRPr="00FA28B2">
        <w:rPr>
          <w:rFonts w:ascii="Arial" w:eastAsia="Calibri" w:hAnsi="Arial" w:cs="Arial"/>
          <w:sz w:val="24"/>
          <w:lang w:val="en-US" w:eastAsia="en-US"/>
        </w:rPr>
        <w:t>ECOG, Eastern Cooperative Oncology Group; NSCLC, non-small cell lung cancer; PS, performance status; UC, urothelial carcinoma; WHO, World Health Organization</w:t>
      </w:r>
    </w:p>
    <w:p w:rsidR="00B1328B" w:rsidRPr="00E847BA" w:rsidRDefault="00B1328B">
      <w:pPr>
        <w:rPr>
          <w:lang w:val="en-US"/>
        </w:rPr>
      </w:pPr>
      <w:bookmarkStart w:id="0" w:name="_GoBack"/>
      <w:bookmarkEnd w:id="0"/>
    </w:p>
    <w:sectPr w:rsidR="00B1328B" w:rsidRPr="00E8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BA"/>
    <w:rsid w:val="007C39DE"/>
    <w:rsid w:val="00B1328B"/>
    <w:rsid w:val="00E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6E1DD-CB8F-4193-8C6A-D9C1C757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2020-08-04T13:56:00Z</dcterms:created>
  <dcterms:modified xsi:type="dcterms:W3CDTF">2020-08-04T13:58:00Z</dcterms:modified>
</cp:coreProperties>
</file>