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BF" w:rsidRPr="009702BF" w:rsidRDefault="009702BF" w:rsidP="009702BF">
      <w:pPr>
        <w:rPr>
          <w:rFonts w:ascii="Arial" w:eastAsia="Calibri" w:hAnsi="Arial" w:cs="Arial"/>
          <w:b/>
          <w:sz w:val="24"/>
          <w:lang w:val="en-US" w:eastAsia="en-US"/>
        </w:rPr>
      </w:pPr>
      <w:r w:rsidRPr="009702BF">
        <w:rPr>
          <w:rFonts w:ascii="Arial" w:eastAsia="Calibri" w:hAnsi="Arial" w:cs="Arial"/>
          <w:b/>
          <w:sz w:val="24"/>
          <w:lang w:val="en-US" w:eastAsia="en-US"/>
        </w:rPr>
        <w:t>Supplementary Appendix</w:t>
      </w:r>
    </w:p>
    <w:p w:rsidR="009702BF" w:rsidRPr="009702BF" w:rsidRDefault="009702BF" w:rsidP="009702BF">
      <w:pPr>
        <w:rPr>
          <w:rFonts w:ascii="Arial" w:eastAsia="Calibri" w:hAnsi="Arial" w:cs="Arial"/>
          <w:b/>
          <w:sz w:val="24"/>
          <w:lang w:val="en-US" w:eastAsia="en-US"/>
        </w:rPr>
      </w:pPr>
      <w:r w:rsidRPr="009702BF">
        <w:rPr>
          <w:rFonts w:ascii="Arial" w:eastAsia="Calibri" w:hAnsi="Arial" w:cs="Arial"/>
          <w:b/>
          <w:sz w:val="24"/>
          <w:lang w:val="en-US" w:eastAsia="en-US"/>
        </w:rPr>
        <w:t>Supplementary Materials and Methods</w:t>
      </w:r>
    </w:p>
    <w:p w:rsidR="009702BF" w:rsidRPr="009702BF" w:rsidRDefault="009702BF" w:rsidP="009702BF">
      <w:pPr>
        <w:spacing w:line="360" w:lineRule="auto"/>
        <w:rPr>
          <w:rFonts w:ascii="Arial" w:eastAsia="Calibri" w:hAnsi="Arial" w:cs="Arial"/>
          <w:i/>
          <w:iCs/>
          <w:sz w:val="24"/>
          <w:lang w:val="en-US" w:eastAsia="en-US"/>
        </w:rPr>
      </w:pPr>
      <w:r w:rsidRPr="009702BF">
        <w:rPr>
          <w:rFonts w:ascii="Arial" w:eastAsia="Calibri" w:hAnsi="Arial" w:cs="Arial"/>
          <w:i/>
          <w:iCs/>
          <w:sz w:val="24"/>
          <w:lang w:val="en-US" w:eastAsia="en-US"/>
        </w:rPr>
        <w:t>Development of a composite score and comparison with a ratio-based metric for “molecular response”</w:t>
      </w:r>
    </w:p>
    <w:p w:rsidR="009702BF" w:rsidRPr="009702BF" w:rsidRDefault="009702BF" w:rsidP="009702BF">
      <w:pPr>
        <w:spacing w:line="360" w:lineRule="auto"/>
        <w:rPr>
          <w:rFonts w:ascii="Arial" w:eastAsia="Calibri" w:hAnsi="Arial" w:cs="Arial"/>
          <w:sz w:val="24"/>
          <w:lang w:val="en-US" w:eastAsia="en-US"/>
        </w:rPr>
      </w:pPr>
      <w:r w:rsidRPr="009702BF">
        <w:rPr>
          <w:rFonts w:ascii="Arial" w:eastAsia="Calibri" w:hAnsi="Arial" w:cs="Arial"/>
          <w:sz w:val="24"/>
          <w:lang w:val="en-US" w:eastAsia="en-US"/>
        </w:rPr>
        <w:t xml:space="preserve">We developed a composite score incorporating pretreatment and on-treatment ctDNA levels, consisting of a linear combination of delta-VAF and on-treatment VAF </w:t>
      </w:r>
      <w:proofErr w:type="gramStart"/>
      <w:r w:rsidRPr="009702BF">
        <w:rPr>
          <w:rFonts w:ascii="Arial" w:eastAsia="Calibri" w:hAnsi="Arial" w:cs="Arial"/>
          <w:sz w:val="24"/>
          <w:lang w:val="en-US" w:eastAsia="en-US"/>
        </w:rPr>
        <w:t>which</w:t>
      </w:r>
      <w:proofErr w:type="gramEnd"/>
      <w:r w:rsidRPr="009702BF">
        <w:rPr>
          <w:rFonts w:ascii="Arial" w:eastAsia="Calibri" w:hAnsi="Arial" w:cs="Arial"/>
          <w:sz w:val="24"/>
          <w:lang w:val="en-US" w:eastAsia="en-US"/>
        </w:rPr>
        <w:t xml:space="preserve"> is described in the following equation: </w:t>
      </w:r>
    </w:p>
    <w:p w:rsidR="009702BF" w:rsidRPr="009702BF" w:rsidRDefault="009702BF" w:rsidP="009702BF">
      <w:pPr>
        <w:spacing w:line="360" w:lineRule="auto"/>
        <w:rPr>
          <w:rFonts w:ascii="Arial" w:eastAsia="Calibri" w:hAnsi="Arial" w:cs="Arial"/>
          <w:sz w:val="24"/>
          <w:lang w:val="en-US" w:eastAsia="en-US"/>
        </w:rPr>
      </w:pPr>
      <w:r w:rsidRPr="009702BF">
        <w:rPr>
          <w:rFonts w:ascii="Arial" w:eastAsia="Calibri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860858B" wp14:editId="79EFD2C0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4368800" cy="2794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307" b="3719"/>
                    <a:stretch/>
                  </pic:blipFill>
                  <pic:spPr bwMode="auto">
                    <a:xfrm>
                      <a:off x="0" y="0"/>
                      <a:ext cx="4368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2BF" w:rsidRPr="009702BF" w:rsidRDefault="009702BF" w:rsidP="009702BF">
      <w:pPr>
        <w:spacing w:line="360" w:lineRule="auto"/>
        <w:jc w:val="center"/>
        <w:rPr>
          <w:rFonts w:ascii="Arial" w:eastAsia="Calibri" w:hAnsi="Arial" w:cs="Arial"/>
          <w:sz w:val="24"/>
          <w:lang w:val="en-US" w:eastAsia="en-US"/>
        </w:rPr>
      </w:pPr>
    </w:p>
    <w:p w:rsidR="009702BF" w:rsidRPr="009702BF" w:rsidRDefault="009702BF" w:rsidP="009702BF">
      <w:pPr>
        <w:spacing w:line="360" w:lineRule="auto"/>
        <w:rPr>
          <w:rFonts w:ascii="Arial" w:eastAsia="Calibri" w:hAnsi="Arial" w:cs="Arial"/>
          <w:sz w:val="24"/>
          <w:lang w:val="en-US" w:eastAsia="en-US"/>
        </w:rPr>
      </w:pPr>
      <w:r w:rsidRPr="009702BF">
        <w:rPr>
          <w:rFonts w:ascii="Arial" w:eastAsia="Calibri" w:hAnsi="Arial" w:cs="Arial"/>
          <w:sz w:val="24"/>
          <w:lang w:val="en-US" w:eastAsia="en-US"/>
        </w:rPr>
        <w:t xml:space="preserve">The weights </w:t>
      </w:r>
      <w:r w:rsidRPr="009702BF">
        <w:rPr>
          <w:rFonts w:ascii="Arial" w:eastAsia="Calibri" w:hAnsi="Arial" w:cs="Arial"/>
          <w:i/>
          <w:sz w:val="24"/>
          <w:lang w:val="en-US" w:eastAsia="en-US"/>
        </w:rPr>
        <w:t>w1</w:t>
      </w:r>
      <w:r w:rsidRPr="009702BF">
        <w:rPr>
          <w:rFonts w:ascii="Arial" w:eastAsia="Calibri" w:hAnsi="Arial" w:cs="Arial"/>
          <w:sz w:val="24"/>
          <w:lang w:val="en-US" w:eastAsia="en-US"/>
        </w:rPr>
        <w:t xml:space="preserve"> and </w:t>
      </w:r>
      <w:r w:rsidRPr="009702BF">
        <w:rPr>
          <w:rFonts w:ascii="Arial" w:eastAsia="Calibri" w:hAnsi="Arial" w:cs="Arial"/>
          <w:i/>
          <w:sz w:val="24"/>
          <w:lang w:val="en-US" w:eastAsia="en-US"/>
        </w:rPr>
        <w:t>w2</w:t>
      </w:r>
      <w:r w:rsidRPr="009702BF">
        <w:rPr>
          <w:rFonts w:ascii="Arial" w:eastAsia="Calibri" w:hAnsi="Arial" w:cs="Arial"/>
          <w:sz w:val="24"/>
          <w:lang w:val="en-US" w:eastAsia="en-US"/>
        </w:rPr>
        <w:t xml:space="preserve"> </w:t>
      </w:r>
      <w:proofErr w:type="gramStart"/>
      <w:r w:rsidRPr="009702BF">
        <w:rPr>
          <w:rFonts w:ascii="Arial" w:eastAsia="Calibri" w:hAnsi="Arial" w:cs="Arial"/>
          <w:sz w:val="24"/>
          <w:lang w:val="en-US" w:eastAsia="en-US"/>
        </w:rPr>
        <w:t>were assessed</w:t>
      </w:r>
      <w:proofErr w:type="gramEnd"/>
      <w:r w:rsidRPr="009702BF">
        <w:rPr>
          <w:rFonts w:ascii="Arial" w:eastAsia="Calibri" w:hAnsi="Arial" w:cs="Arial"/>
          <w:sz w:val="24"/>
          <w:lang w:val="en-US" w:eastAsia="en-US"/>
        </w:rPr>
        <w:t xml:space="preserve"> by comparing their association with Response Evaluation Criteria in Solid Tumors (RECIST)-defined best overall response in Study 1108 using ROC analysis; the optimal AUC was achieved with equal contribution of each (Supplementary Figure 7A). Similar results </w:t>
      </w:r>
      <w:proofErr w:type="gramStart"/>
      <w:r w:rsidRPr="009702BF">
        <w:rPr>
          <w:rFonts w:ascii="Arial" w:eastAsia="Calibri" w:hAnsi="Arial" w:cs="Arial"/>
          <w:sz w:val="24"/>
          <w:lang w:val="en-US" w:eastAsia="en-US"/>
        </w:rPr>
        <w:t>were produced</w:t>
      </w:r>
      <w:proofErr w:type="gramEnd"/>
      <w:r w:rsidRPr="009702BF">
        <w:rPr>
          <w:rFonts w:ascii="Arial" w:eastAsia="Calibri" w:hAnsi="Arial" w:cs="Arial"/>
          <w:sz w:val="24"/>
          <w:lang w:val="en-US" w:eastAsia="en-US"/>
        </w:rPr>
        <w:t xml:space="preserve"> using a hazard ratio analysis (Supplementary Figure 7B).</w:t>
      </w:r>
      <w:r w:rsidRPr="009702BF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Pr="009702BF">
        <w:rPr>
          <w:rFonts w:ascii="Arial" w:eastAsia="Calibri" w:hAnsi="Arial" w:cs="Arial"/>
          <w:sz w:val="24"/>
          <w:lang w:val="en-US" w:eastAsia="en-US"/>
        </w:rPr>
        <w:t>The composite score had a stronger association with RECIST response compared with on-treatment VAF alone (Supplementary Figure 7C, AUC=0.86, 95% CI 0.77, 0.95 for the composite score and AUC=0.73, 95% CI 0.61, 0.85 for on-treatment VAF). The composite score also showed a significant association with OS (p</w:t>
      </w:r>
      <w:r w:rsidRPr="009702BF">
        <w:rPr>
          <w:rFonts w:ascii="Arial" w:eastAsia="Calibri" w:hAnsi="Arial" w:cs="Arial"/>
          <w:i/>
          <w:sz w:val="24"/>
          <w:lang w:val="en-US" w:eastAsia="en-US"/>
        </w:rPr>
        <w:t>=</w:t>
      </w:r>
      <w:r w:rsidRPr="009702BF">
        <w:rPr>
          <w:rFonts w:ascii="Arial" w:eastAsia="Calibri" w:hAnsi="Arial" w:cs="Arial"/>
          <w:sz w:val="24"/>
          <w:lang w:val="en-US" w:eastAsia="en-US"/>
        </w:rPr>
        <w:t>4.4×10</w:t>
      </w:r>
      <w:r w:rsidRPr="009702BF">
        <w:rPr>
          <w:rFonts w:ascii="Arial" w:eastAsia="Calibri" w:hAnsi="Arial" w:cs="Arial"/>
          <w:sz w:val="24"/>
          <w:vertAlign w:val="superscript"/>
          <w:lang w:val="en-US" w:eastAsia="en-US"/>
        </w:rPr>
        <w:t>-5</w:t>
      </w:r>
      <w:r w:rsidRPr="009702BF">
        <w:rPr>
          <w:rFonts w:ascii="Arial" w:eastAsia="Calibri" w:hAnsi="Arial" w:cs="Arial"/>
          <w:sz w:val="24"/>
          <w:lang w:val="en-US" w:eastAsia="en-US"/>
        </w:rPr>
        <w:t xml:space="preserve">, unadjusted Cox analysis for the composite score), supporting the value of the composite ctDNA metric. </w:t>
      </w:r>
    </w:p>
    <w:p w:rsidR="009702BF" w:rsidRPr="009702BF" w:rsidRDefault="009702BF" w:rsidP="009702BF">
      <w:pPr>
        <w:spacing w:line="360" w:lineRule="auto"/>
        <w:rPr>
          <w:rFonts w:ascii="Arial" w:eastAsia="Calibri" w:hAnsi="Arial" w:cs="Arial"/>
          <w:sz w:val="24"/>
          <w:lang w:val="en-US" w:eastAsia="en-US"/>
        </w:rPr>
      </w:pPr>
      <w:r w:rsidRPr="009702BF">
        <w:rPr>
          <w:rFonts w:ascii="Arial" w:eastAsia="Arial" w:hAnsi="Arial" w:cs="Arial"/>
          <w:sz w:val="24"/>
          <w:szCs w:val="24"/>
          <w:lang w:val="en-US" w:eastAsia="en-US"/>
        </w:rPr>
        <w:t xml:space="preserve">During optimization of the composite score, we identified instances were </w:t>
      </w:r>
      <w:r w:rsidRPr="009702BF">
        <w:rPr>
          <w:rFonts w:ascii="Arial" w:eastAsia="Arial" w:hAnsi="Arial" w:cs="Arial"/>
          <w:i/>
          <w:iCs/>
          <w:sz w:val="24"/>
          <w:szCs w:val="24"/>
          <w:lang w:val="en-US" w:eastAsia="en-US"/>
        </w:rPr>
        <w:t>n=m</w:t>
      </w:r>
      <w:r w:rsidRPr="009702BF">
        <w:rPr>
          <w:rFonts w:ascii="Arial" w:eastAsia="Arial" w:hAnsi="Arial" w:cs="Arial"/>
          <w:sz w:val="24"/>
          <w:szCs w:val="24"/>
          <w:lang w:val="en-US" w:eastAsia="en-US"/>
        </w:rPr>
        <w:t xml:space="preserve"> (where the number of variants which emerged on-treatment were equivalent to the number pretreatment).</w:t>
      </w:r>
      <w:r w:rsidRPr="009702BF">
        <w:rPr>
          <w:rFonts w:ascii="Arial" w:eastAsia="Calibri" w:hAnsi="Arial" w:cs="Arial"/>
          <w:sz w:val="24"/>
          <w:szCs w:val="24"/>
          <w:lang w:val="en-US" w:eastAsia="en-US"/>
        </w:rPr>
        <w:t xml:space="preserve"> Using a </w:t>
      </w:r>
      <w:proofErr w:type="spellStart"/>
      <w:r w:rsidRPr="009702BF">
        <w:rPr>
          <w:rFonts w:ascii="Arial" w:eastAsia="Calibri" w:hAnsi="Arial" w:cs="Arial"/>
          <w:sz w:val="24"/>
          <w:szCs w:val="24"/>
          <w:lang w:val="en-US" w:eastAsia="en-US"/>
        </w:rPr>
        <w:t>cutpoint</w:t>
      </w:r>
      <w:proofErr w:type="spellEnd"/>
      <w:r w:rsidRPr="009702BF">
        <w:rPr>
          <w:rFonts w:ascii="Arial" w:eastAsia="Calibri" w:hAnsi="Arial" w:cs="Arial"/>
          <w:sz w:val="24"/>
          <w:szCs w:val="24"/>
          <w:lang w:val="en-US" w:eastAsia="en-US"/>
        </w:rPr>
        <w:t xml:space="preserve"> for response of a &gt;50% decrease in VAF, a ratio of on-treatment to pretreatment ctDNA VAF was equivalent to the composite score. </w:t>
      </w:r>
      <w:r w:rsidRPr="009702BF">
        <w:rPr>
          <w:rFonts w:ascii="Arial" w:eastAsia="Calibri" w:hAnsi="Arial" w:cs="Arial"/>
          <w:sz w:val="24"/>
          <w:lang w:val="en-US" w:eastAsia="en-US"/>
        </w:rPr>
        <w:t>The composite score also displayed similar results to the ratio when used as a definition for molecular response (Supplementary Figure 7D and 7E).</w:t>
      </w:r>
    </w:p>
    <w:p w:rsidR="00B1328B" w:rsidRPr="009702BF" w:rsidRDefault="00B1328B">
      <w:pPr>
        <w:rPr>
          <w:lang w:val="en-US"/>
        </w:rPr>
      </w:pPr>
      <w:bookmarkStart w:id="0" w:name="_GoBack"/>
      <w:bookmarkEnd w:id="0"/>
    </w:p>
    <w:sectPr w:rsidR="00B1328B" w:rsidRPr="0097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F"/>
    <w:rsid w:val="007C39DE"/>
    <w:rsid w:val="009702BF"/>
    <w:rsid w:val="00B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CCDF-A90B-4D75-9301-0C6397D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2020-08-04T12:55:00Z</dcterms:created>
  <dcterms:modified xsi:type="dcterms:W3CDTF">2020-08-04T12:56:00Z</dcterms:modified>
</cp:coreProperties>
</file>