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E05A" w14:textId="77777777" w:rsidR="00720142" w:rsidRPr="00720142" w:rsidRDefault="00720142" w:rsidP="00720142">
      <w:pPr>
        <w:autoSpaceDE w:val="0"/>
        <w:autoSpaceDN w:val="0"/>
        <w:adjustRightInd w:val="0"/>
        <w:spacing w:line="480" w:lineRule="auto"/>
        <w:rPr>
          <w:rFonts w:ascii="Arial" w:hAnsi="Arial" w:cs="Arial"/>
          <w:b/>
          <w:color w:val="000000"/>
          <w:kern w:val="0"/>
          <w:sz w:val="22"/>
        </w:rPr>
      </w:pPr>
      <w:r w:rsidRPr="00720142">
        <w:rPr>
          <w:rFonts w:ascii="Arial" w:hAnsi="Arial" w:cs="Arial"/>
          <w:b/>
          <w:color w:val="000000"/>
          <w:kern w:val="0"/>
          <w:sz w:val="22"/>
        </w:rPr>
        <w:t>List of Supplementary Materials:</w:t>
      </w:r>
    </w:p>
    <w:p w14:paraId="0CCED14A" w14:textId="2A2E23E8" w:rsidR="00720142" w:rsidRPr="00720142" w:rsidRDefault="00720142" w:rsidP="00720142">
      <w:pPr>
        <w:autoSpaceDE w:val="0"/>
        <w:autoSpaceDN w:val="0"/>
        <w:adjustRightInd w:val="0"/>
        <w:spacing w:line="480" w:lineRule="auto"/>
        <w:rPr>
          <w:rFonts w:ascii="Arial" w:hAnsi="Arial" w:cs="Arial"/>
          <w:color w:val="000000"/>
          <w:kern w:val="0"/>
          <w:sz w:val="22"/>
        </w:rPr>
      </w:pPr>
      <w:r w:rsidRPr="00720142">
        <w:rPr>
          <w:rFonts w:ascii="Arial" w:hAnsi="Arial" w:cs="Arial"/>
          <w:color w:val="000000"/>
          <w:kern w:val="0"/>
          <w:sz w:val="22"/>
        </w:rPr>
        <w:t>Supplementary Methods</w:t>
      </w:r>
    </w:p>
    <w:p w14:paraId="753FA945" w14:textId="77777777" w:rsidR="00720142" w:rsidRPr="00720142" w:rsidRDefault="00720142" w:rsidP="00720142">
      <w:pPr>
        <w:autoSpaceDE w:val="0"/>
        <w:autoSpaceDN w:val="0"/>
        <w:adjustRightInd w:val="0"/>
        <w:spacing w:line="480" w:lineRule="auto"/>
        <w:rPr>
          <w:rFonts w:ascii="Arial" w:hAnsi="Arial" w:cs="Arial"/>
          <w:color w:val="000000"/>
          <w:kern w:val="0"/>
          <w:sz w:val="22"/>
        </w:rPr>
      </w:pPr>
      <w:r w:rsidRPr="00720142">
        <w:rPr>
          <w:rFonts w:ascii="Arial" w:hAnsi="Arial" w:cs="Arial"/>
          <w:color w:val="000000"/>
          <w:kern w:val="0"/>
          <w:sz w:val="22"/>
        </w:rPr>
        <w:t>Supplementary Figures</w:t>
      </w:r>
    </w:p>
    <w:p w14:paraId="0D28ACD1" w14:textId="77777777" w:rsidR="00720142" w:rsidRPr="00720142" w:rsidRDefault="00720142" w:rsidP="00720142">
      <w:pPr>
        <w:autoSpaceDE w:val="0"/>
        <w:autoSpaceDN w:val="0"/>
        <w:adjustRightInd w:val="0"/>
        <w:spacing w:line="480" w:lineRule="auto"/>
        <w:rPr>
          <w:rFonts w:ascii="Arial" w:hAnsi="Arial" w:cs="Arial"/>
          <w:b/>
          <w:bCs/>
          <w:color w:val="000000"/>
          <w:kern w:val="0"/>
          <w:sz w:val="22"/>
        </w:rPr>
      </w:pPr>
    </w:p>
    <w:p w14:paraId="6C7A8A04" w14:textId="77777777" w:rsidR="00720142" w:rsidRPr="00720142" w:rsidRDefault="00720142" w:rsidP="00720142">
      <w:pPr>
        <w:widowControl/>
        <w:jc w:val="left"/>
        <w:rPr>
          <w:rFonts w:ascii="Arial" w:hAnsi="Arial" w:cs="Arial"/>
          <w:color w:val="000000"/>
          <w:kern w:val="0"/>
          <w:sz w:val="22"/>
        </w:rPr>
      </w:pPr>
      <w:r w:rsidRPr="00720142">
        <w:rPr>
          <w:rFonts w:ascii="Arial" w:hAnsi="Arial" w:cs="Arial"/>
          <w:color w:val="000000"/>
          <w:kern w:val="0"/>
          <w:sz w:val="22"/>
        </w:rPr>
        <w:br w:type="page"/>
      </w:r>
    </w:p>
    <w:p w14:paraId="340DAF38" w14:textId="4CB08013" w:rsidR="00720142" w:rsidRPr="00720142" w:rsidRDefault="00720142" w:rsidP="00720142">
      <w:pPr>
        <w:autoSpaceDE w:val="0"/>
        <w:autoSpaceDN w:val="0"/>
        <w:adjustRightInd w:val="0"/>
        <w:spacing w:line="480" w:lineRule="auto"/>
        <w:rPr>
          <w:rFonts w:ascii="Arial" w:hAnsi="Arial" w:cs="Arial"/>
          <w:b/>
          <w:color w:val="000000"/>
          <w:kern w:val="0"/>
          <w:sz w:val="22"/>
        </w:rPr>
      </w:pPr>
      <w:bookmarkStart w:id="0" w:name="_Hlk30092550"/>
      <w:r w:rsidRPr="00720142">
        <w:rPr>
          <w:rFonts w:ascii="Arial" w:hAnsi="Arial" w:cs="Arial"/>
          <w:b/>
          <w:color w:val="000000"/>
          <w:kern w:val="0"/>
          <w:sz w:val="22"/>
        </w:rPr>
        <w:lastRenderedPageBreak/>
        <w:t>Supplementary Methods</w:t>
      </w:r>
    </w:p>
    <w:bookmarkEnd w:id="0"/>
    <w:p w14:paraId="0C07C340" w14:textId="77777777" w:rsidR="00720142" w:rsidRPr="00720142" w:rsidRDefault="00720142" w:rsidP="00720142">
      <w:pPr>
        <w:widowControl/>
        <w:jc w:val="left"/>
        <w:rPr>
          <w:rFonts w:ascii="Arial" w:hAnsi="Arial" w:cs="Arial"/>
          <w:b/>
          <w:color w:val="000000"/>
          <w:kern w:val="0"/>
          <w:sz w:val="22"/>
        </w:rPr>
      </w:pPr>
    </w:p>
    <w:p w14:paraId="76B5924F" w14:textId="77777777" w:rsidR="00720142" w:rsidRPr="009A7CDB" w:rsidRDefault="00720142" w:rsidP="00720142">
      <w:pPr>
        <w:spacing w:line="480" w:lineRule="auto"/>
        <w:rPr>
          <w:rFonts w:ascii="Arial" w:hAnsi="Arial" w:cs="Arial"/>
          <w:b/>
        </w:rPr>
      </w:pPr>
      <w:r w:rsidRPr="009A7CDB">
        <w:rPr>
          <w:rFonts w:ascii="Arial" w:hAnsi="Arial" w:cs="Arial"/>
          <w:b/>
        </w:rPr>
        <w:t>shRNA and Control shRNA Cell Lines</w:t>
      </w:r>
    </w:p>
    <w:p w14:paraId="2EBAD9B6" w14:textId="77777777" w:rsidR="00720142" w:rsidRDefault="00720142" w:rsidP="00720142">
      <w:pPr>
        <w:spacing w:line="480" w:lineRule="auto"/>
        <w:rPr>
          <w:rFonts w:ascii="Arial" w:hAnsi="Arial" w:cs="Arial"/>
        </w:rPr>
      </w:pPr>
      <w:r w:rsidRPr="00100BC8">
        <w:rPr>
          <w:rFonts w:ascii="Arial" w:hAnsi="Arial" w:cs="Arial"/>
          <w:color w:val="000000" w:themeColor="text1"/>
        </w:rPr>
        <w:t xml:space="preserve">MSH6 knockdown HT1080 and MGG152 cells were generated with lentiviral transduction as described previously </w:t>
      </w:r>
      <w:r>
        <w:rPr>
          <w:rFonts w:ascii="Arial" w:hAnsi="Arial" w:cs="Arial"/>
          <w:color w:val="000000" w:themeColor="text1"/>
        </w:rPr>
        <w:fldChar w:fldCharType="begin">
          <w:fldData xml:space="preserve">PEVuZE5vdGU+PENpdGU+PEF1dGhvcj5UYXRlaXNoaTwvQXV0aG9yPjxZZWFyPjIwMTc8L1llYXI+
PFJlY051bT43Nzk8L1JlY051bT48RGlzcGxheVRleHQ+KDIwKTwvRGlzcGxheVRleHQ+PHJlY29y
ZD48cmVjLW51bWJlcj43Nzk8L3JlYy1udW1iZXI+PGZvcmVpZ24ta2V5cz48a2V5IGFwcD0iRU4i
IGRiLWlkPSJ6NTVwejl0c216OWYwM2V6MjIzNTB6eDcydnZlemVzemQ1czIiIHRpbWVzdGFtcD0i
MTU2MDg2NDc2NiI+Nzc5PC9rZXk+PGtleSBhcHA9IkVOV2ViIiBkYi1pZD0iIj4wPC9rZXk+PC9m
b3JlaWduLWtleXM+PHJlZi10eXBlIG5hbWU9IkpvdXJuYWwgQXJ0aWNsZSI+MTc8L3JlZi10eXBl
Pjxjb250cmlidXRvcnM+PGF1dGhvcnM+PGF1dGhvcj5UYXRlaXNoaSwgSy48L2F1dGhvcj48YXV0
aG9yPkhpZ3VjaGksIEYuPC9hdXRob3I+PGF1dGhvcj5NaWxsZXIsIEouIEouPC9hdXRob3I+PGF1
dGhvcj5Lb2VybmVyLCBNLiBWLiBBLjwvYXV0aG9yPjxhdXRob3I+TGVsaWMsIE4uPC9hdXRob3I+
PGF1dGhvcj5TaGFua2FyLCBHLiBNLjwvYXV0aG9yPjxhdXRob3I+VGFuYWthLCBTLjwvYXV0aG9y
PjxhdXRob3I+RmlzaGVyLCBELiBFLjwvYXV0aG9yPjxhdXRob3I+QmF0Y2hlbG9yLCBULiBULjwv
YXV0aG9yPjxhdXRob3I+SWFmcmF0ZSwgQS4gSi48L2F1dGhvcj48YXV0aG9yPldha2ltb3RvLCBI
LjwvYXV0aG9yPjxhdXRob3I+Q2hpLCBBLiBTLjwvYXV0aG9yPjxhdXRob3I+Q2FoaWxsLCBELiBQ
LjwvYXV0aG9yPjwvYXV0aG9ycz48L2NvbnRyaWJ1dG9ycz48YXV0aC1hZGRyZXNzPkRlcGFydG1l
bnQgb2YgTmV1cm9zdXJnZXJ5LCBNYXNzYWNodXNldHRzIEdlbmVyYWwgSG9zcGl0YWwgQ2FuY2Vy
IENlbnRlciwgSGFydmFyZCBNZWRpY2FsIFNjaG9vbCwgQm9zdG9uLCBNYXNzYWNodXNldHRzLiYj
eEQ7RGVwYXJ0bWVudCBvZiBOZXVyb3N1cmdlcnksIFlva29oYW1hIENpdHkgVW5pdmVyc2l0eSwg
WW9rb2hhbWEsIEthbmFnYXdhLCBKYXBhbi4mI3hEO1RyYW5zbGF0aW9uYWwgTmV1cm8tT25jb2xv
Z3kgTGFib3JhdG9yeSwgTWFzc2FjaHVzZXR0cyBHZW5lcmFsIEhvc3BpdGFsIENhbmNlciBDZW50
ZXIsIEhhcnZhcmQgTWVkaWNhbCBTY2hvb2wsIEJvc3RvbiwgTWFzc2FjaHVzZXR0cy4mI3hEO0Rp
dmlzaW9uIG9mIEhlbWF0b2xvZ3kvT25jb2xvZ3ksIE1hc3NhY2h1c2V0dHMgR2VuZXJhbCBIb3Nw
aXRhbCBDYW5jZXIgQ2VudGVyLCBIYXJ2YXJkIE1lZGljYWwgU2Nob29sLCBCb3N0b24sIE1hc3Nh
Y2h1c2V0dHMuJiN4RDtTdGVwaGVuIEUuIGFuZCBDYXRoZXJpbmUgUGFwcGFzIENlbnRlciBmb3Ig
TmV1cm8tT25jb2xvZ3ksIERlcGFydG1lbnQgb2YgTmV1cm9sb2d5LCBNYXNzYWNodXNldHRzIEdl
bmVyYWwgSG9zcGl0YWwgQ2FuY2VyIENlbnRlciwgSGFydmFyZCBNZWRpY2FsIFNjaG9vbCwgQm9z
dG9uLCBNYXNzYWNodXNldHRzLiYjeEQ7RGVwYXJ0bWVudCBvZiBEZXJtYXRvbG9neSwgTWFzc2Fj
aHVzZXR0cyBHZW5lcmFsIEhvc3BpdGFsIENhbmNlciBDZW50ZXIsIEhhcnZhcmQgTWVkaWNhbCBT
Y2hvb2wsIEJvc3RvbiwgTWFzc2FjaHVzZXR0cy4mI3hEO0RlcGFydG1lbnQgb2YgUGF0aG9sb2d5
LCBNYXNzYWNodXNldHRzIEdlbmVyYWwgSG9zcGl0YWwgQ2FuY2VyIENlbnRlciwgSGFydmFyZCBN
ZWRpY2FsIFNjaG9vbCwgQm9zdG9uLCBNYXNzYWNodXNldHRzLiYjeEQ7RGVwYXJ0bWVudCBvZiBO
ZXVyb3N1cmdlcnksIE1hc3NhY2h1c2V0dHMgR2VuZXJhbCBIb3NwaXRhbCBDYW5jZXIgQ2VudGVy
LCBIYXJ2YXJkIE1lZGljYWwgU2Nob29sLCBCb3N0b24sIE1hc3NhY2h1c2V0dHMuIGNhaGlsbEBt
Z2guaGFydmFyZC5lZHUgaHdha2ltb3RvQG1naC5oYXJ2YXJkLmVkdSBjaGlhMDFAbnl1bWMub3Jn
LiYjeEQ7VHJhbnNsYXRpb25hbCBOZXVyby1PbmNvbG9neSBMYWJvcmF0b3J5LCBNYXNzYWNodXNl
dHRzIEdlbmVyYWwgSG9zcGl0YWwgQ2FuY2VyIENlbnRlciwgSGFydmFyZCBNZWRpY2FsIFNjaG9v
bCwgQm9zdG9uLCBNYXNzYWNodXNldHRzLiBjYWhpbGxAbWdoLmhhcnZhcmQuZWR1IGh3YWtpbW90
b0BtZ2guaGFydmFyZC5lZHUgY2hpYTAxQG55dW1jLm9yZy4mI3hEO0xhdXJhIGFuZCBJc2FhYyBQ
ZXJsbXV0dGVyIENhbmNlciBDZW50ZXIsIE5ZVSBMYW5nb25lIE1lZGljYWwgQ2VudGVyLCBOZXcg
WW9yaywgTmV3IFlvcmsuPC9hdXRoLWFkZHJlc3M+PHRpdGxlcz48dGl0bGU+VGhlIEFsa3lsYXRp
bmcgQ2hlbW90aGVyYXBldXRpYyBUZW1vem9sb21pZGUgSW5kdWNlcyBNZXRhYm9saWMgU3RyZXNz
IGluIElESDEtTXV0YW50IENhbmNlcnMgYW5kIFBvdGVudGlhdGVzIE5BRCgrKSBEZXBsZXRpb24t
TWVkaWF0ZWQgQ3l0b3RveGljaXR5PC90aXRsZT48c2Vjb25kYXJ5LXRpdGxlPkNhbmNlciBSZXM8
L3NlY29uZGFyeS10aXRsZT48L3RpdGxlcz48cGVyaW9kaWNhbD48ZnVsbC10aXRsZT5DYW5jZXIg
UmVzPC9mdWxsLXRpdGxlPjwvcGVyaW9kaWNhbD48cGFnZXM+NDEwMi00MTE1PC9wYWdlcz48dm9s
dW1lPjc3PC92b2x1bWU+PG51bWJlcj4xNTwvbnVtYmVyPjxlZGl0aW9uPjIwMTcvMDYvMjA8L2Vk
aXRpb24+PGtleXdvcmRzPjxrZXl3b3JkPkFjcnlsYW1pZGVzL3BoYXJtYWNvbG9neTwva2V5d29y
ZD48a2V5d29yZD5BbmltYWxzPC9rZXl3b3JkPjxrZXl3b3JkPkFudGluZW9wbGFzdGljIEFnZW50
cywgQWxreWxhdGluZy8qcGhhcm1hY29sb2d5PC9rZXl3b3JkPjxrZXl3b3JkPkNlbGwgTGluZSwg
VHVtb3I8L2tleXdvcmQ+PGtleXdvcmQ+RGFjYXJiYXppbmUvKmFuYWxvZ3MgJmFtcDsgZGVyaXZh
dGl2ZXMvcGhhcm1hY29sb2d5PC9rZXl3b3JkPjxrZXl3b3JkPkVuenltZSBJbmhpYml0b3JzL3Bo
YXJtYWNvbG9neTwva2V5d29yZD48a2V5d29yZD5GZW1hbGU8L2tleXdvcmQ+PGtleXdvcmQ+R2xp
b21hL2dlbmV0aWNzLyptZXRhYm9saXNtPC9rZXl3b3JkPjxrZXl3b3JkPkh1bWFuczwva2V5d29y
ZD48a2V5d29yZD5Jc29jaXRyYXRlIERlaHlkcm9nZW5hc2UvZ2VuZXRpY3M8L2tleXdvcmQ+PGtl
eXdvcmQ+TWljZTwva2V5d29yZD48a2V5d29yZD5NaWNlLCBTQ0lEPC9rZXl3b3JkPjxrZXl3b3Jk
Pk11dGF0aW9uPC9rZXl3b3JkPjxrZXl3b3JkPk5hZDwva2V5d29yZD48a2V5d29yZD5OaWNvdGlu
YW1pZGUgUGhvc3Bob3JpYm9zeWx0cmFuc2ZlcmFzZS9hbnRhZ29uaXN0cyAmYW1wOyBpbmhpYml0
b3JzPC9rZXl3b3JkPjxrZXl3b3JkPlBpcGVyaWRpbmVzL3BoYXJtYWNvbG9neTwva2V5d29yZD48
a2V5d29yZD5SYW5kb20gQWxsb2NhdGlvbjwva2V5d29yZD48a2V5d29yZD5TdHJlc3MsIFBoeXNp
b2xvZ2ljYWwvKmRydWcgZWZmZWN0czwva2V5d29yZD48a2V5d29yZD5YZW5vZ3JhZnQgTW9kZWwg
QW50aXR1bW9yIEFzc2F5czwva2V5d29yZD48L2tleXdvcmRzPjxkYXRlcz48eWVhcj4yMDE3PC95
ZWFyPjxwdWItZGF0ZXM+PGRhdGU+QXVnIDE8L2RhdGU+PC9wdWItZGF0ZXM+PC9kYXRlcz48aXNi
bj4xNTM4LTc0NDUgKEVsZWN0cm9uaWMpJiN4RDswMDA4LTU0NzIgKExpbmtpbmcpPC9pc2JuPjxh
Y2Nlc3Npb24tbnVtPjI4NjI1OTc4PC9hY2Nlc3Npb24tbnVtPjx1cmxzPjxyZWxhdGVkLXVybHM+
PHVybD5odHRwczovL3d3dy5uY2JpLm5sbS5uaWguZ292L3B1Ym1lZC8yODYyNTk3ODwvdXJsPjwv
cmVsYXRlZC11cmxzPjwvdXJscz48ZWxlY3Ryb25pYy1yZXNvdXJjZS1udW0+MTAuMTE1OC8wMDA4
LTU0NzIuQ0FOLTE2LTIyNjM8L2VsZWN0cm9uaWMtcmVzb3VyY2UtbnVtPjwvcmVjb3JkPjwvQ2l0
ZT48L0VuZE5vdGU+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PEVuZE5vdGU+PENpdGU+PEF1dGhvcj5UYXRlaXNoaTwvQXV0aG9yPjxZZWFyPjIwMTc8L1llYXI+
PFJlY051bT43Nzk8L1JlY051bT48RGlzcGxheVRleHQ+KDIwKTwvRGlzcGxheVRleHQ+PHJlY29y
ZD48cmVjLW51bWJlcj43Nzk8L3JlYy1udW1iZXI+PGZvcmVpZ24ta2V5cz48a2V5IGFwcD0iRU4i
IGRiLWlkPSJ6NTVwejl0c216OWYwM2V6MjIzNTB6eDcydnZlemVzemQ1czIiIHRpbWVzdGFtcD0i
MTU2MDg2NDc2NiI+Nzc5PC9rZXk+PGtleSBhcHA9IkVOV2ViIiBkYi1pZD0iIj4wPC9rZXk+PC9m
b3JlaWduLWtleXM+PHJlZi10eXBlIG5hbWU9IkpvdXJuYWwgQXJ0aWNsZSI+MTc8L3JlZi10eXBl
Pjxjb250cmlidXRvcnM+PGF1dGhvcnM+PGF1dGhvcj5UYXRlaXNoaSwgSy48L2F1dGhvcj48YXV0
aG9yPkhpZ3VjaGksIEYuPC9hdXRob3I+PGF1dGhvcj5NaWxsZXIsIEouIEouPC9hdXRob3I+PGF1
dGhvcj5Lb2VybmVyLCBNLiBWLiBBLjwvYXV0aG9yPjxhdXRob3I+TGVsaWMsIE4uPC9hdXRob3I+
PGF1dGhvcj5TaGFua2FyLCBHLiBNLjwvYXV0aG9yPjxhdXRob3I+VGFuYWthLCBTLjwvYXV0aG9y
PjxhdXRob3I+RmlzaGVyLCBELiBFLjwvYXV0aG9yPjxhdXRob3I+QmF0Y2hlbG9yLCBULiBULjwv
YXV0aG9yPjxhdXRob3I+SWFmcmF0ZSwgQS4gSi48L2F1dGhvcj48YXV0aG9yPldha2ltb3RvLCBI
LjwvYXV0aG9yPjxhdXRob3I+Q2hpLCBBLiBTLjwvYXV0aG9yPjxhdXRob3I+Q2FoaWxsLCBELiBQ
LjwvYXV0aG9yPjwvYXV0aG9ycz48L2NvbnRyaWJ1dG9ycz48YXV0aC1hZGRyZXNzPkRlcGFydG1l
bnQgb2YgTmV1cm9zdXJnZXJ5LCBNYXNzYWNodXNldHRzIEdlbmVyYWwgSG9zcGl0YWwgQ2FuY2Vy
IENlbnRlciwgSGFydmFyZCBNZWRpY2FsIFNjaG9vbCwgQm9zdG9uLCBNYXNzYWNodXNldHRzLiYj
eEQ7RGVwYXJ0bWVudCBvZiBOZXVyb3N1cmdlcnksIFlva29oYW1hIENpdHkgVW5pdmVyc2l0eSwg
WW9rb2hhbWEsIEthbmFnYXdhLCBKYXBhbi4mI3hEO1RyYW5zbGF0aW9uYWwgTmV1cm8tT25jb2xv
Z3kgTGFib3JhdG9yeSwgTWFzc2FjaHVzZXR0cyBHZW5lcmFsIEhvc3BpdGFsIENhbmNlciBDZW50
ZXIsIEhhcnZhcmQgTWVkaWNhbCBTY2hvb2wsIEJvc3RvbiwgTWFzc2FjaHVzZXR0cy4mI3hEO0Rp
dmlzaW9uIG9mIEhlbWF0b2xvZ3kvT25jb2xvZ3ksIE1hc3NhY2h1c2V0dHMgR2VuZXJhbCBIb3Nw
aXRhbCBDYW5jZXIgQ2VudGVyLCBIYXJ2YXJkIE1lZGljYWwgU2Nob29sLCBCb3N0b24sIE1hc3Nh
Y2h1c2V0dHMuJiN4RDtTdGVwaGVuIEUuIGFuZCBDYXRoZXJpbmUgUGFwcGFzIENlbnRlciBmb3Ig
TmV1cm8tT25jb2xvZ3ksIERlcGFydG1lbnQgb2YgTmV1cm9sb2d5LCBNYXNzYWNodXNldHRzIEdl
bmVyYWwgSG9zcGl0YWwgQ2FuY2VyIENlbnRlciwgSGFydmFyZCBNZWRpY2FsIFNjaG9vbCwgQm9z
dG9uLCBNYXNzYWNodXNldHRzLiYjeEQ7RGVwYXJ0bWVudCBvZiBEZXJtYXRvbG9neSwgTWFzc2Fj
aHVzZXR0cyBHZW5lcmFsIEhvc3BpdGFsIENhbmNlciBDZW50ZXIsIEhhcnZhcmQgTWVkaWNhbCBT
Y2hvb2wsIEJvc3RvbiwgTWFzc2FjaHVzZXR0cy4mI3hEO0RlcGFydG1lbnQgb2YgUGF0aG9sb2d5
LCBNYXNzYWNodXNldHRzIEdlbmVyYWwgSG9zcGl0YWwgQ2FuY2VyIENlbnRlciwgSGFydmFyZCBN
ZWRpY2FsIFNjaG9vbCwgQm9zdG9uLCBNYXNzYWNodXNldHRzLiYjeEQ7RGVwYXJ0bWVudCBvZiBO
ZXVyb3N1cmdlcnksIE1hc3NhY2h1c2V0dHMgR2VuZXJhbCBIb3NwaXRhbCBDYW5jZXIgQ2VudGVy
LCBIYXJ2YXJkIE1lZGljYWwgU2Nob29sLCBCb3N0b24sIE1hc3NhY2h1c2V0dHMuIGNhaGlsbEBt
Z2guaGFydmFyZC5lZHUgaHdha2ltb3RvQG1naC5oYXJ2YXJkLmVkdSBjaGlhMDFAbnl1bWMub3Jn
LiYjeEQ7VHJhbnNsYXRpb25hbCBOZXVyby1PbmNvbG9neSBMYWJvcmF0b3J5LCBNYXNzYWNodXNl
dHRzIEdlbmVyYWwgSG9zcGl0YWwgQ2FuY2VyIENlbnRlciwgSGFydmFyZCBNZWRpY2FsIFNjaG9v
bCwgQm9zdG9uLCBNYXNzYWNodXNldHRzLiBjYWhpbGxAbWdoLmhhcnZhcmQuZWR1IGh3YWtpbW90
b0BtZ2guaGFydmFyZC5lZHUgY2hpYTAxQG55dW1jLm9yZy4mI3hEO0xhdXJhIGFuZCBJc2FhYyBQ
ZXJsbXV0dGVyIENhbmNlciBDZW50ZXIsIE5ZVSBMYW5nb25lIE1lZGljYWwgQ2VudGVyLCBOZXcg
WW9yaywgTmV3IFlvcmsuPC9hdXRoLWFkZHJlc3M+PHRpdGxlcz48dGl0bGU+VGhlIEFsa3lsYXRp
bmcgQ2hlbW90aGVyYXBldXRpYyBUZW1vem9sb21pZGUgSW5kdWNlcyBNZXRhYm9saWMgU3RyZXNz
IGluIElESDEtTXV0YW50IENhbmNlcnMgYW5kIFBvdGVudGlhdGVzIE5BRCgrKSBEZXBsZXRpb24t
TWVkaWF0ZWQgQ3l0b3RveGljaXR5PC90aXRsZT48c2Vjb25kYXJ5LXRpdGxlPkNhbmNlciBSZXM8
L3NlY29uZGFyeS10aXRsZT48L3RpdGxlcz48cGVyaW9kaWNhbD48ZnVsbC10aXRsZT5DYW5jZXIg
UmVzPC9mdWxsLXRpdGxlPjwvcGVyaW9kaWNhbD48cGFnZXM+NDEwMi00MTE1PC9wYWdlcz48dm9s
dW1lPjc3PC92b2x1bWU+PG51bWJlcj4xNTwvbnVtYmVyPjxlZGl0aW9uPjIwMTcvMDYvMjA8L2Vk
aXRpb24+PGtleXdvcmRzPjxrZXl3b3JkPkFjcnlsYW1pZGVzL3BoYXJtYWNvbG9neTwva2V5d29y
ZD48a2V5d29yZD5BbmltYWxzPC9rZXl3b3JkPjxrZXl3b3JkPkFudGluZW9wbGFzdGljIEFnZW50
cywgQWxreWxhdGluZy8qcGhhcm1hY29sb2d5PC9rZXl3b3JkPjxrZXl3b3JkPkNlbGwgTGluZSwg
VHVtb3I8L2tleXdvcmQ+PGtleXdvcmQ+RGFjYXJiYXppbmUvKmFuYWxvZ3MgJmFtcDsgZGVyaXZh
dGl2ZXMvcGhhcm1hY29sb2d5PC9rZXl3b3JkPjxrZXl3b3JkPkVuenltZSBJbmhpYml0b3JzL3Bo
YXJtYWNvbG9neTwva2V5d29yZD48a2V5d29yZD5GZW1hbGU8L2tleXdvcmQ+PGtleXdvcmQ+R2xp
b21hL2dlbmV0aWNzLyptZXRhYm9saXNtPC9rZXl3b3JkPjxrZXl3b3JkPkh1bWFuczwva2V5d29y
ZD48a2V5d29yZD5Jc29jaXRyYXRlIERlaHlkcm9nZW5hc2UvZ2VuZXRpY3M8L2tleXdvcmQ+PGtl
eXdvcmQ+TWljZTwva2V5d29yZD48a2V5d29yZD5NaWNlLCBTQ0lEPC9rZXl3b3JkPjxrZXl3b3Jk
Pk11dGF0aW9uPC9rZXl3b3JkPjxrZXl3b3JkPk5hZDwva2V5d29yZD48a2V5d29yZD5OaWNvdGlu
YW1pZGUgUGhvc3Bob3JpYm9zeWx0cmFuc2ZlcmFzZS9hbnRhZ29uaXN0cyAmYW1wOyBpbmhpYml0
b3JzPC9rZXl3b3JkPjxrZXl3b3JkPlBpcGVyaWRpbmVzL3BoYXJtYWNvbG9neTwva2V5d29yZD48
a2V5d29yZD5SYW5kb20gQWxsb2NhdGlvbjwva2V5d29yZD48a2V5d29yZD5TdHJlc3MsIFBoeXNp
b2xvZ2ljYWwvKmRydWcgZWZmZWN0czwva2V5d29yZD48a2V5d29yZD5YZW5vZ3JhZnQgTW9kZWwg
QW50aXR1bW9yIEFzc2F5czwva2V5d29yZD48L2tleXdvcmRzPjxkYXRlcz48eWVhcj4yMDE3PC95
ZWFyPjxwdWItZGF0ZXM+PGRhdGU+QXVnIDE8L2RhdGU+PC9wdWItZGF0ZXM+PC9kYXRlcz48aXNi
bj4xNTM4LTc0NDUgKEVsZWN0cm9uaWMpJiN4RDswMDA4LTU0NzIgKExpbmtpbmcpPC9pc2JuPjxh
Y2Nlc3Npb24tbnVtPjI4NjI1OTc4PC9hY2Nlc3Npb24tbnVtPjx1cmxzPjxyZWxhdGVkLXVybHM+
PHVybD5odHRwczovL3d3dy5uY2JpLm5sbS5uaWguZ292L3B1Ym1lZC8yODYyNTk3ODwvdXJsPjwv
cmVsYXRlZC11cmxzPjwvdXJscz48ZWxlY3Ryb25pYy1yZXNvdXJjZS1udW0+MTAuMTE1OC8wMDA4
LTU0NzIuQ0FOLTE2LTIyNjM8L2VsZWN0cm9uaWMtcmVzb3VyY2UtbnVtPjwvcmVjb3JkPjwvQ2l0
ZT48L0VuZE5vdGU+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(20)</w:t>
      </w:r>
      <w:r>
        <w:rPr>
          <w:rFonts w:ascii="Arial" w:hAnsi="Arial" w:cs="Arial"/>
          <w:color w:val="000000" w:themeColor="text1"/>
        </w:rPr>
        <w:fldChar w:fldCharType="end"/>
      </w:r>
      <w:r w:rsidRPr="00100BC8">
        <w:rPr>
          <w:rFonts w:ascii="Arial" w:hAnsi="Arial" w:cs="Arial"/>
          <w:color w:val="000000" w:themeColor="text1"/>
        </w:rPr>
        <w:t xml:space="preserve">. </w:t>
      </w:r>
      <w:r w:rsidRPr="009A7CDB">
        <w:rPr>
          <w:rFonts w:ascii="Arial" w:hAnsi="Arial" w:cs="Arial"/>
        </w:rPr>
        <w:t xml:space="preserve">For knockdown of MSH6, 293T cells were transfected with lentivirus vector packaging plasmid DNA containing 6 μg of human MSH6 shRNA (#1, TRCN0000286578, Sigma-Aldrich), 4 μg of pCMV-dr8.2-dvpr, and 2 </w:t>
      </w:r>
      <w:proofErr w:type="spellStart"/>
      <w:r w:rsidRPr="009A7CDB">
        <w:rPr>
          <w:rFonts w:ascii="Arial" w:hAnsi="Arial" w:cs="Arial"/>
        </w:rPr>
        <w:t>μg</w:t>
      </w:r>
      <w:proofErr w:type="spellEnd"/>
      <w:r w:rsidRPr="009A7CDB">
        <w:rPr>
          <w:rFonts w:ascii="Arial" w:hAnsi="Arial" w:cs="Arial"/>
        </w:rPr>
        <w:t xml:space="preserve"> of </w:t>
      </w:r>
      <w:proofErr w:type="spellStart"/>
      <w:r w:rsidRPr="009A7CDB">
        <w:rPr>
          <w:rFonts w:ascii="Arial" w:hAnsi="Arial" w:cs="Arial"/>
        </w:rPr>
        <w:t>pCMV</w:t>
      </w:r>
      <w:proofErr w:type="spellEnd"/>
      <w:r w:rsidRPr="009A7CDB">
        <w:rPr>
          <w:rFonts w:ascii="Arial" w:hAnsi="Arial" w:cs="Arial"/>
        </w:rPr>
        <w:t xml:space="preserve">-VSVG with </w:t>
      </w:r>
      <w:proofErr w:type="spellStart"/>
      <w:r w:rsidRPr="009A7CDB">
        <w:rPr>
          <w:rFonts w:ascii="Arial" w:hAnsi="Arial" w:cs="Arial"/>
        </w:rPr>
        <w:t>ScreenFect</w:t>
      </w:r>
      <w:proofErr w:type="spellEnd"/>
      <w:r w:rsidRPr="009A7CDB">
        <w:rPr>
          <w:rFonts w:ascii="Arial" w:hAnsi="Arial" w:cs="Arial"/>
        </w:rPr>
        <w:t xml:space="preserve"> (Wako Chemicals). GIPZ lentiviral human MSH6 shRNA (MSH6 #2, V3LHS_318784) was purchased from GE </w:t>
      </w:r>
      <w:proofErr w:type="spellStart"/>
      <w:r w:rsidRPr="009A7CDB">
        <w:rPr>
          <w:rFonts w:ascii="Arial" w:hAnsi="Arial" w:cs="Arial"/>
        </w:rPr>
        <w:t>Dharmacon</w:t>
      </w:r>
      <w:proofErr w:type="spellEnd"/>
      <w:r w:rsidRPr="009A7CDB">
        <w:rPr>
          <w:rFonts w:ascii="Arial" w:hAnsi="Arial" w:cs="Arial"/>
        </w:rPr>
        <w:t xml:space="preserve">. MGG152 or HT1080 cells were infected with lentivirus with polybrene (8 μg/mL) for 8 h. After 1 week, the cells were selected with puromycin (0.2–0.5 μg/mL) for 7 days and used in experiments. </w:t>
      </w:r>
      <w:proofErr w:type="spellStart"/>
      <w:r w:rsidRPr="009A7CDB">
        <w:rPr>
          <w:rFonts w:ascii="Arial" w:hAnsi="Arial" w:cs="Arial"/>
        </w:rPr>
        <w:t>pLKO</w:t>
      </w:r>
      <w:proofErr w:type="spellEnd"/>
      <w:r w:rsidRPr="009A7CDB">
        <w:rPr>
          <w:rFonts w:ascii="Arial" w:hAnsi="Arial" w:cs="Arial"/>
        </w:rPr>
        <w:t xml:space="preserve"> Non-silencing shRNA Control (SHC002, Sigma-Aldrich) was used as a non-silencing control.</w:t>
      </w:r>
      <w:r>
        <w:rPr>
          <w:rFonts w:ascii="Arial" w:hAnsi="Arial" w:cs="Arial"/>
        </w:rPr>
        <w:t xml:space="preserve"> </w:t>
      </w:r>
    </w:p>
    <w:p w14:paraId="513EDC14" w14:textId="77777777" w:rsidR="00720142" w:rsidRDefault="00720142" w:rsidP="00720142">
      <w:pPr>
        <w:spacing w:line="480" w:lineRule="auto"/>
        <w:rPr>
          <w:rFonts w:ascii="Arial" w:hAnsi="Arial" w:cs="Arial"/>
        </w:rPr>
      </w:pPr>
      <w:r>
        <w:rPr>
          <w:rFonts w:ascii="Arial" w:hAnsi="Arial" w:cs="Arial"/>
        </w:rPr>
        <w:t>Sequences were as follows:</w:t>
      </w:r>
    </w:p>
    <w:p w14:paraId="738DD79C" w14:textId="77777777" w:rsidR="00720142" w:rsidRDefault="00720142" w:rsidP="00720142">
      <w:pPr>
        <w:spacing w:line="480" w:lineRule="auto"/>
        <w:rPr>
          <w:rFonts w:ascii="Arial" w:hAnsi="Arial" w:cs="Arial"/>
        </w:rPr>
      </w:pPr>
      <w:proofErr w:type="spellStart"/>
      <w:r w:rsidRPr="009A7CDB">
        <w:rPr>
          <w:rFonts w:ascii="Arial" w:hAnsi="Arial" w:cs="Arial"/>
        </w:rPr>
        <w:t>pLKO</w:t>
      </w:r>
      <w:proofErr w:type="spellEnd"/>
      <w:r w:rsidRPr="009A7CDB">
        <w:rPr>
          <w:rFonts w:ascii="Arial" w:hAnsi="Arial" w:cs="Arial"/>
        </w:rPr>
        <w:t xml:space="preserve"> Non-silencing shRNA</w:t>
      </w:r>
      <w:r>
        <w:rPr>
          <w:rFonts w:ascii="Arial" w:hAnsi="Arial" w:cs="Arial"/>
        </w:rPr>
        <w:t xml:space="preserve"> (</w:t>
      </w:r>
      <w:r w:rsidRPr="009A7CDB">
        <w:rPr>
          <w:rFonts w:ascii="Arial" w:hAnsi="Arial" w:cs="Arial"/>
        </w:rPr>
        <w:t>Sigma-Aldrich</w:t>
      </w:r>
      <w:r>
        <w:rPr>
          <w:rFonts w:ascii="Arial" w:hAnsi="Arial" w:cs="Arial"/>
        </w:rPr>
        <w:t xml:space="preserve">, </w:t>
      </w:r>
      <w:r w:rsidRPr="009A7CDB">
        <w:rPr>
          <w:rFonts w:ascii="Arial" w:eastAsia="Times New Roman" w:hAnsi="Arial" w:cs="Arial"/>
          <w:shd w:val="clear" w:color="auto" w:fill="FFFFFF"/>
        </w:rPr>
        <w:t>SHC002</w:t>
      </w:r>
      <w:r>
        <w:rPr>
          <w:rFonts w:ascii="Arial" w:eastAsia="Times New Roman" w:hAnsi="Arial" w:cs="Arial"/>
          <w:shd w:val="clear" w:color="auto" w:fill="FFFFFF"/>
        </w:rPr>
        <w:t>)</w:t>
      </w:r>
      <w:r w:rsidRPr="009A7CDB">
        <w:rPr>
          <w:rFonts w:ascii="Arial" w:hAnsi="Arial" w:cs="Arial"/>
        </w:rPr>
        <w:t>: ATCTCGCTTGGGCGAGAGTAAG</w:t>
      </w:r>
    </w:p>
    <w:p w14:paraId="23956E8A" w14:textId="77777777" w:rsidR="00720142" w:rsidRDefault="00720142" w:rsidP="00720142">
      <w:pPr>
        <w:spacing w:line="480" w:lineRule="auto"/>
        <w:rPr>
          <w:rFonts w:ascii="Arial" w:hAnsi="Arial" w:cs="Arial"/>
        </w:rPr>
      </w:pPr>
      <w:r w:rsidRPr="009A7CDB">
        <w:rPr>
          <w:rFonts w:ascii="Arial" w:hAnsi="Arial" w:cs="Arial"/>
        </w:rPr>
        <w:t xml:space="preserve">Plasmid: </w:t>
      </w:r>
      <w:proofErr w:type="spellStart"/>
      <w:r w:rsidRPr="009A7CDB">
        <w:rPr>
          <w:rFonts w:ascii="Arial" w:hAnsi="Arial" w:cs="Arial"/>
        </w:rPr>
        <w:t>pLKO</w:t>
      </w:r>
      <w:proofErr w:type="spellEnd"/>
      <w:r w:rsidRPr="009A7CDB">
        <w:rPr>
          <w:rFonts w:ascii="Arial" w:hAnsi="Arial" w:cs="Arial"/>
        </w:rPr>
        <w:t>. MSH6 shRNA (MSH6 #1</w:t>
      </w:r>
      <w:r>
        <w:rPr>
          <w:rFonts w:ascii="Arial" w:hAnsi="Arial" w:cs="Arial"/>
        </w:rPr>
        <w:t xml:space="preserve">, </w:t>
      </w:r>
      <w:r w:rsidRPr="009A7CDB">
        <w:rPr>
          <w:rFonts w:ascii="Arial" w:hAnsi="Arial" w:cs="Arial"/>
        </w:rPr>
        <w:t>Sigma-Aldrich</w:t>
      </w:r>
      <w:r>
        <w:rPr>
          <w:rFonts w:ascii="Arial" w:hAnsi="Arial" w:cs="Arial"/>
        </w:rPr>
        <w:t xml:space="preserve">, </w:t>
      </w:r>
      <w:r w:rsidRPr="009A7CDB">
        <w:rPr>
          <w:rFonts w:ascii="Arial" w:eastAsia="Times New Roman" w:hAnsi="Arial" w:cs="Arial"/>
          <w:shd w:val="clear" w:color="auto" w:fill="FFFFFF"/>
        </w:rPr>
        <w:t>TRCN0000286578</w:t>
      </w:r>
      <w:r w:rsidRPr="009A7CDB">
        <w:rPr>
          <w:rFonts w:ascii="Arial" w:hAnsi="Arial" w:cs="Arial"/>
        </w:rPr>
        <w:t>): GCCAGAAGAATACGAGTTGAA</w:t>
      </w:r>
    </w:p>
    <w:p w14:paraId="5FEB0B73" w14:textId="41D46F15" w:rsidR="00720142" w:rsidRPr="00720142" w:rsidRDefault="00720142" w:rsidP="00720142">
      <w:pPr>
        <w:spacing w:line="480" w:lineRule="auto"/>
        <w:rPr>
          <w:rFonts w:ascii="Arial" w:hAnsi="Arial" w:cs="Arial"/>
        </w:rPr>
      </w:pPr>
      <w:r w:rsidRPr="009A7CDB">
        <w:rPr>
          <w:rFonts w:ascii="Arial" w:hAnsi="Arial" w:cs="Arial"/>
        </w:rPr>
        <w:t>Plasmid: GIPZ lentiviral MSH6 shRNA (MSH6 #2</w:t>
      </w:r>
      <w:r>
        <w:rPr>
          <w:rFonts w:ascii="Arial" w:hAnsi="Arial" w:cs="Arial"/>
        </w:rPr>
        <w:t xml:space="preserve">, </w:t>
      </w:r>
      <w:proofErr w:type="spellStart"/>
      <w:r w:rsidRPr="009A7CDB">
        <w:rPr>
          <w:rFonts w:ascii="Arial" w:hAnsi="Arial" w:cs="Arial"/>
        </w:rPr>
        <w:t>Dharmacon</w:t>
      </w:r>
      <w:proofErr w:type="spellEnd"/>
      <w:r w:rsidRPr="009A7CDB">
        <w:rPr>
          <w:rFonts w:ascii="Arial" w:hAnsi="Arial" w:cs="Arial"/>
        </w:rPr>
        <w:t>/Horizontal Discovery</w:t>
      </w:r>
      <w:r>
        <w:rPr>
          <w:rFonts w:ascii="Arial" w:eastAsia="Times New Roman" w:hAnsi="Arial" w:cs="Arial"/>
          <w:shd w:val="clear" w:color="auto" w:fill="FFFFFF"/>
        </w:rPr>
        <w:t xml:space="preserve">, </w:t>
      </w:r>
      <w:r w:rsidRPr="009A7CDB">
        <w:rPr>
          <w:rFonts w:ascii="Arial" w:eastAsia="Times New Roman" w:hAnsi="Arial" w:cs="Arial"/>
          <w:shd w:val="clear" w:color="auto" w:fill="FFFFFF"/>
        </w:rPr>
        <w:t>V3LHS_318784</w:t>
      </w:r>
      <w:r w:rsidRPr="009A7CDB">
        <w:rPr>
          <w:rFonts w:ascii="Arial" w:hAnsi="Arial" w:cs="Arial"/>
        </w:rPr>
        <w:t>): TACACATTACTTTGAATCC</w:t>
      </w:r>
    </w:p>
    <w:p w14:paraId="327EEEF4" w14:textId="77777777" w:rsidR="00314189" w:rsidRDefault="00314189" w:rsidP="00314189">
      <w:pPr>
        <w:spacing w:line="480" w:lineRule="auto"/>
        <w:rPr>
          <w:rFonts w:ascii="Arial" w:hAnsi="Arial" w:cs="Arial"/>
          <w:b/>
        </w:rPr>
      </w:pPr>
    </w:p>
    <w:p w14:paraId="7A30A82B" w14:textId="77777777" w:rsidR="00720142" w:rsidRDefault="00720142" w:rsidP="00720142">
      <w:pPr>
        <w:spacing w:line="480" w:lineRule="auto"/>
        <w:rPr>
          <w:rFonts w:ascii="Arial" w:hAnsi="Arial" w:cs="Arial"/>
          <w:b/>
          <w:color w:val="000000"/>
          <w:kern w:val="0"/>
          <w:sz w:val="22"/>
        </w:rPr>
      </w:pPr>
    </w:p>
    <w:p w14:paraId="17945322" w14:textId="57232433" w:rsidR="00720142" w:rsidRDefault="00720142" w:rsidP="00720142">
      <w:pPr>
        <w:spacing w:line="480" w:lineRule="auto"/>
        <w:rPr>
          <w:rFonts w:ascii="Arial" w:hAnsi="Arial" w:cs="Arial"/>
          <w:b/>
          <w:color w:val="000000"/>
          <w:kern w:val="0"/>
          <w:sz w:val="22"/>
        </w:rPr>
      </w:pPr>
      <w:bookmarkStart w:id="1" w:name="_Hlk30092656"/>
      <w:r>
        <w:rPr>
          <w:rFonts w:ascii="Arial" w:hAnsi="Arial" w:cs="Arial"/>
          <w:b/>
          <w:color w:val="000000"/>
          <w:kern w:val="0"/>
          <w:sz w:val="22"/>
        </w:rPr>
        <w:t>Molecular Analyses</w:t>
      </w:r>
    </w:p>
    <w:p w14:paraId="4D6B2A4E" w14:textId="31B7ABAB" w:rsidR="00720142" w:rsidRPr="00720142" w:rsidRDefault="00720142" w:rsidP="00720142">
      <w:pPr>
        <w:spacing w:line="480" w:lineRule="auto"/>
        <w:rPr>
          <w:rFonts w:ascii="Arial" w:hAnsi="Arial" w:cs="Arial"/>
          <w:sz w:val="22"/>
        </w:rPr>
      </w:pPr>
      <w:r w:rsidRPr="00720142">
        <w:rPr>
          <w:rFonts w:ascii="Arial" w:hAnsi="Arial" w:cs="Arial"/>
          <w:sz w:val="22"/>
        </w:rPr>
        <w:t xml:space="preserve">Genomic and bisulfite-modified DNA was extracted using </w:t>
      </w:r>
      <w:proofErr w:type="spellStart"/>
      <w:r w:rsidR="007E12D1">
        <w:rPr>
          <w:rFonts w:ascii="Arial" w:hAnsi="Arial" w:cs="Arial"/>
          <w:sz w:val="22"/>
        </w:rPr>
        <w:t>AllPrep</w:t>
      </w:r>
      <w:proofErr w:type="spellEnd"/>
      <w:r w:rsidR="007E12D1">
        <w:rPr>
          <w:rFonts w:ascii="Arial" w:hAnsi="Arial" w:cs="Arial"/>
          <w:sz w:val="22"/>
        </w:rPr>
        <w:t xml:space="preserve"> DNA/RNA/miRNA Universal Kit</w:t>
      </w:r>
      <w:bookmarkStart w:id="2" w:name="_GoBack"/>
      <w:bookmarkEnd w:id="2"/>
      <w:r w:rsidRPr="00720142">
        <w:rPr>
          <w:rFonts w:ascii="Arial" w:hAnsi="Arial" w:cs="Arial"/>
          <w:sz w:val="22"/>
        </w:rPr>
        <w:t xml:space="preserve"> and </w:t>
      </w:r>
      <w:proofErr w:type="spellStart"/>
      <w:r w:rsidRPr="00720142">
        <w:rPr>
          <w:rFonts w:ascii="Arial" w:hAnsi="Arial" w:cs="Arial"/>
          <w:sz w:val="22"/>
        </w:rPr>
        <w:t>EpiTect</w:t>
      </w:r>
      <w:proofErr w:type="spellEnd"/>
      <w:r w:rsidRPr="00720142">
        <w:rPr>
          <w:rFonts w:ascii="Arial" w:hAnsi="Arial" w:cs="Arial"/>
          <w:sz w:val="22"/>
        </w:rPr>
        <w:t xml:space="preserve"> Bisulfite kits (Qiagen) per the manufacturer’s protocol. </w:t>
      </w:r>
      <w:bookmarkEnd w:id="1"/>
      <w:r w:rsidRPr="00720142">
        <w:rPr>
          <w:rFonts w:ascii="Arial" w:hAnsi="Arial" w:cs="Arial"/>
          <w:sz w:val="22"/>
        </w:rPr>
        <w:t>For cell line fingerprinting, Sanger Sequencing, Pyrosequencing, FISH, MLPA, multiplex PCR technology (</w:t>
      </w:r>
      <w:proofErr w:type="spellStart"/>
      <w:r w:rsidRPr="00720142">
        <w:rPr>
          <w:rFonts w:ascii="Arial" w:hAnsi="Arial" w:cs="Arial"/>
          <w:sz w:val="22"/>
        </w:rPr>
        <w:t>SNaPshot</w:t>
      </w:r>
      <w:proofErr w:type="spellEnd"/>
      <w:r w:rsidRPr="00720142">
        <w:rPr>
          <w:rFonts w:ascii="Arial" w:hAnsi="Arial" w:cs="Arial"/>
          <w:sz w:val="22"/>
        </w:rPr>
        <w:t xml:space="preserve">), and microsatellite instability analysis were used. To detect single nucleotide variants (SNVs), insertion/deletion (indels), and copy number in genomic DNA, the multiplex polymerase chain reaction (PCR) technology Anchored Multiplex PCR (AMP(3), </w:t>
      </w:r>
      <w:proofErr w:type="spellStart"/>
      <w:r w:rsidRPr="00720142">
        <w:rPr>
          <w:rFonts w:ascii="Arial" w:hAnsi="Arial" w:cs="Arial"/>
          <w:sz w:val="22"/>
        </w:rPr>
        <w:t>SNaPshot</w:t>
      </w:r>
      <w:proofErr w:type="spellEnd"/>
      <w:r w:rsidRPr="00720142">
        <w:rPr>
          <w:rFonts w:ascii="Arial" w:hAnsi="Arial" w:cs="Arial"/>
          <w:sz w:val="22"/>
        </w:rPr>
        <w:t xml:space="preserve">) was used on the </w:t>
      </w:r>
      <w:proofErr w:type="spellStart"/>
      <w:r w:rsidRPr="00720142">
        <w:rPr>
          <w:rFonts w:ascii="Arial" w:hAnsi="Arial" w:cs="Arial"/>
          <w:sz w:val="22"/>
        </w:rPr>
        <w:lastRenderedPageBreak/>
        <w:t>ArcherDx</w:t>
      </w:r>
      <w:proofErr w:type="spellEnd"/>
      <w:r w:rsidRPr="00720142">
        <w:rPr>
          <w:rFonts w:ascii="Arial" w:hAnsi="Arial" w:cs="Arial"/>
          <w:sz w:val="22"/>
        </w:rPr>
        <w:t xml:space="preserve"> platform in conjunction with Illumina </w:t>
      </w:r>
      <w:proofErr w:type="spellStart"/>
      <w:r w:rsidRPr="00720142">
        <w:rPr>
          <w:rFonts w:ascii="Arial" w:hAnsi="Arial" w:cs="Arial"/>
          <w:sz w:val="22"/>
        </w:rPr>
        <w:t>NextSeq</w:t>
      </w:r>
      <w:proofErr w:type="spellEnd"/>
      <w:r w:rsidRPr="00720142">
        <w:rPr>
          <w:rFonts w:ascii="Arial" w:hAnsi="Arial" w:cs="Arial"/>
          <w:sz w:val="22"/>
        </w:rPr>
        <w:t xml:space="preserve"> next-generation sequencing (NGS). After enzymatic shearing, the genomic DNA was end-repaired, adenylated, and ligated with a half-functional adapter. Two hemi-nested PCR reactions were performed to generate a sequencing library targeting hotspots and full exons. Then, </w:t>
      </w:r>
      <w:proofErr w:type="spellStart"/>
      <w:r w:rsidRPr="00720142">
        <w:rPr>
          <w:rFonts w:ascii="Arial" w:hAnsi="Arial" w:cs="Arial"/>
          <w:sz w:val="22"/>
        </w:rPr>
        <w:t>NovoAlign</w:t>
      </w:r>
      <w:proofErr w:type="spellEnd"/>
      <w:r w:rsidRPr="00720142">
        <w:rPr>
          <w:rFonts w:ascii="Arial" w:hAnsi="Arial" w:cs="Arial"/>
          <w:sz w:val="22"/>
        </w:rPr>
        <w:t xml:space="preserve"> was used to align the Illumina </w:t>
      </w:r>
      <w:proofErr w:type="spellStart"/>
      <w:r w:rsidRPr="00720142">
        <w:rPr>
          <w:rFonts w:ascii="Arial" w:hAnsi="Arial" w:cs="Arial"/>
          <w:sz w:val="22"/>
        </w:rPr>
        <w:t>NextSeq</w:t>
      </w:r>
      <w:proofErr w:type="spellEnd"/>
      <w:r w:rsidRPr="00720142">
        <w:rPr>
          <w:rFonts w:ascii="Arial" w:hAnsi="Arial" w:cs="Arial"/>
          <w:sz w:val="22"/>
        </w:rPr>
        <w:t xml:space="preserve"> 2 × 150-base paired-end sequencing results to the hg19 human genome reference. An ensemble variant calling approach, using MuTect1 (4), </w:t>
      </w:r>
      <w:proofErr w:type="spellStart"/>
      <w:r w:rsidRPr="00720142">
        <w:rPr>
          <w:rFonts w:ascii="Arial" w:hAnsi="Arial" w:cs="Arial"/>
          <w:sz w:val="22"/>
        </w:rPr>
        <w:t>LoFreq</w:t>
      </w:r>
      <w:proofErr w:type="spellEnd"/>
      <w:r w:rsidRPr="00720142">
        <w:rPr>
          <w:rFonts w:ascii="Arial" w:hAnsi="Arial" w:cs="Arial"/>
          <w:sz w:val="22"/>
        </w:rPr>
        <w:t xml:space="preserve"> (5), GATK (6-8), and a laboratory developed hotspot caller, was applied for SNV and indel variant detection. A laboratory developed copy number caller using a coverage distribution from a panel of normal controls was applied for copy gain and loss detection. Variants are reported according to Human Genome Variation Society (HGVS) protein and DNA nomenclature rules and are followed by the referenced </w:t>
      </w:r>
      <w:proofErr w:type="spellStart"/>
      <w:r w:rsidRPr="00720142">
        <w:rPr>
          <w:rFonts w:ascii="Arial" w:hAnsi="Arial" w:cs="Arial"/>
          <w:sz w:val="22"/>
        </w:rPr>
        <w:t>Ensembl</w:t>
      </w:r>
      <w:proofErr w:type="spellEnd"/>
      <w:r w:rsidRPr="00720142">
        <w:rPr>
          <w:rFonts w:ascii="Arial" w:hAnsi="Arial" w:cs="Arial"/>
          <w:sz w:val="22"/>
        </w:rPr>
        <w:t xml:space="preserve"> transcript ID. This validated procedure detects SNV and indel variants at ≥ 5% allelic frequency in target regions with sufficient read coverage. The assay shows the following limitations for copy number calling: (1) aneuploidy cannot be distinguished from gene-specific copy gains or copy losses, (2) it has limited sensitivity for borderline/weak copy gains or copy losses, (3) it has limited sensitivity in specimens with low tumor cellularity, (4) it has limited performance in poor-quality specimens showing suboptimal coverage, and (5) absolute copy number status cannot be determined.</w:t>
      </w:r>
    </w:p>
    <w:p w14:paraId="2342DCBC" w14:textId="77777777" w:rsidR="00720142" w:rsidRPr="00720142" w:rsidRDefault="00720142" w:rsidP="00720142">
      <w:pPr>
        <w:spacing w:line="480" w:lineRule="auto"/>
        <w:rPr>
          <w:rFonts w:ascii="Arial" w:hAnsi="Arial" w:cs="Arial"/>
          <w:sz w:val="22"/>
        </w:rPr>
      </w:pPr>
      <w:r w:rsidRPr="00720142">
        <w:rPr>
          <w:rFonts w:ascii="Arial" w:hAnsi="Arial" w:cs="Arial"/>
          <w:sz w:val="22"/>
        </w:rPr>
        <w:t>The SNV and indel gene targets covered by this test were as follows (exons): ABL1 (4-7), AKT1 (3,6), ALK (21-23,25), APC (16), ARID1A (1-20), ATM (1-63), ATRX (1-35), AURKA (2,5-8), BRAF (11,15), BRCA1 (2-23), BRCA2 (2-27), CCNE1 (3-8,10,12), CDH1 (1-16), CDK4 (2-7), CDKN2A (1-3), CIC (1-20), CSF1R (7,22), CTNNB1 (3), DAXX (1-8), DDR2 (12-18), DDX3X (1-17), EGFR (3,7,15,18-21), ERBB2 (8,10,19-21,24), ERBB3 (2-3,7-8), ERBB4 (3-4,6-9,15,23), ESR1 (8), EZH2 (16), FBXW7 (1-11), FGFR1 (4,7-8,13,15,17), FGFR2 (7,9,12,14), FGFR3 (7-9,14-16,18), FLT3 (11,14,16,20), FOXL2 (1), GNA11 (5), GNAQ (4-5), GNAS (6-9), H3F3A (2), HNF1A (3-4), HRAS (2-3), IDH1 (3-4), IDH2 (4), JAK2 (11,13-14,16,19), JAK3 (4,13,16), KDR (6-7,11,19,21,26-27,30), KEAP1 (2-6), KIT (2,8-11,13-15,17-18), KRAS (2-5), MAP2K1 (2,3,6-</w:t>
      </w:r>
      <w:r w:rsidRPr="00720142">
        <w:rPr>
          <w:rFonts w:ascii="Arial" w:hAnsi="Arial" w:cs="Arial"/>
          <w:sz w:val="22"/>
        </w:rPr>
        <w:lastRenderedPageBreak/>
        <w:t xml:space="preserve">7), MAP3K1 (1-20), MDM2 (2-4,6,8,10), MEN1 (2-10), MET (2,11,14,16,19,21), MLH1 (12), MPL (10), MSH6 (1-10), MSI, MYC (1-3), MYCN (3), NF1 (1-58), NF2 (1-15), NOTCH1 (25-27,34), NPM1 (11), NRAS (2-5), PDGFRA (12,14-15,18,23), PIK3CA (2,5,7-8,10,14,19,21), PIK3R1 (1-10), POLE (9-14), PTCH1 (1-23), PTEN (1-9), PTPN11 (3,13), RB1 (1-27), RET (10-11,13-16), RHOA (2-3), RNF43 (2-10), ROS1 (36-38), SDHB (1-8), SMAD2 (7), SMAD4 (2-12), SMARCA4 (3-36), SMARCB1 (2,4,5,9), SMO (3,5-6,9,11), SRC (14), STAG2 (3-34), STK11 (1-9), SUFU (1-12), TERT (1), TP53 (1-11), TP63 (1-14), TSC1 (3-23), TSC2 (2-42), TSHR (10), and VHL (1-3). </w:t>
      </w:r>
    </w:p>
    <w:p w14:paraId="571AEF70" w14:textId="77777777" w:rsidR="00720142" w:rsidRPr="00720142" w:rsidRDefault="00720142" w:rsidP="00720142">
      <w:pPr>
        <w:spacing w:line="480" w:lineRule="auto"/>
        <w:rPr>
          <w:rFonts w:ascii="Arial" w:hAnsi="Arial" w:cs="Arial"/>
          <w:sz w:val="22"/>
        </w:rPr>
      </w:pPr>
      <w:r w:rsidRPr="00720142">
        <w:rPr>
          <w:rFonts w:ascii="Arial" w:hAnsi="Arial" w:cs="Arial"/>
          <w:sz w:val="22"/>
        </w:rPr>
        <w:t>The CNV gene targets covered by this test were as follows: ABL1, AKT1, ALK, APC, ARID1A, ATM, ATRX, AURKA, BRAF, BRCA1, BRCA2, CAMTA1, CCNB1, CCND1, CCND2, CCND3, CCNE1, CDK4, CDKN2A, CDK6, CIC, CDH1, CSF1R, DAXX, DDR2, DDX3X, EGFR, ERBB2 (HER-2), ERBB3, ERBB4, FBXW7, FGF19, FGFR1, FGFR2, FGFR3, FLT3, FOXL2, GLI2, GNA11, GNAQ, GNAS, HNF1A, HRAS, IDH1, JAK2, JAK3, KDR, KEAP1, KIT, KRAS, MAP2K1, MAP3K1, MDM2, MDM4, MEN1, MET, MITF, MLH1, MSH6, MYC, MYCN, NF1, NF2, NKX2-1, NOTCH1, NRAS, PDGFRA, PIK3CA, PIK3R1, PLAUR, POLE, PTCH1, PTEN, PTPN11, RB1, RET, RHOA, RNF43, SDHB, SMAD2, SMAD4, SMARCA4, SMARCB1, SMO, SRC, STAG2, STK11, SUFU, TERT, TP53, TP63, TSC1, TSC2, and VHL.</w:t>
      </w:r>
    </w:p>
    <w:p w14:paraId="3F607F0B" w14:textId="77777777" w:rsidR="00720142" w:rsidRPr="00720142" w:rsidRDefault="00720142" w:rsidP="00720142">
      <w:pPr>
        <w:spacing w:line="480" w:lineRule="auto"/>
        <w:rPr>
          <w:rFonts w:ascii="Arial" w:hAnsi="Arial" w:cs="Arial"/>
          <w:sz w:val="22"/>
        </w:rPr>
      </w:pPr>
      <w:r w:rsidRPr="00720142">
        <w:rPr>
          <w:rFonts w:ascii="Arial" w:hAnsi="Arial" w:cs="Arial"/>
          <w:sz w:val="22"/>
        </w:rPr>
        <w:t xml:space="preserve">ANALYSIS PIPELINE VERSION: </w:t>
      </w:r>
      <w:proofErr w:type="spellStart"/>
      <w:r w:rsidRPr="00720142">
        <w:rPr>
          <w:rFonts w:ascii="Arial" w:hAnsi="Arial" w:cs="Arial"/>
          <w:sz w:val="22"/>
        </w:rPr>
        <w:t>CIDer</w:t>
      </w:r>
      <w:proofErr w:type="spellEnd"/>
      <w:r w:rsidRPr="00720142">
        <w:rPr>
          <w:rFonts w:ascii="Arial" w:hAnsi="Arial" w:cs="Arial"/>
          <w:sz w:val="22"/>
        </w:rPr>
        <w:t xml:space="preserve"> v2.7. 2</w:t>
      </w:r>
    </w:p>
    <w:p w14:paraId="73F69D4A" w14:textId="77777777" w:rsidR="00720142" w:rsidRPr="00720142" w:rsidRDefault="00720142" w:rsidP="00720142">
      <w:pPr>
        <w:spacing w:line="480" w:lineRule="auto"/>
        <w:rPr>
          <w:rFonts w:ascii="Arial" w:hAnsi="Arial" w:cs="Arial"/>
          <w:sz w:val="22"/>
        </w:rPr>
      </w:pPr>
      <w:r w:rsidRPr="00720142">
        <w:rPr>
          <w:rFonts w:ascii="Arial" w:hAnsi="Arial" w:cs="Arial"/>
          <w:sz w:val="22"/>
        </w:rPr>
        <w:t>ANNOTATION VERSION: Variant Effect Predictor v83 (8).</w:t>
      </w:r>
    </w:p>
    <w:p w14:paraId="660BC3CD" w14:textId="77777777" w:rsidR="00720142" w:rsidRPr="00720142" w:rsidRDefault="00720142" w:rsidP="00720142">
      <w:pPr>
        <w:widowControl/>
        <w:jc w:val="left"/>
        <w:rPr>
          <w:rFonts w:ascii="Arial" w:hAnsi="Arial" w:cs="Arial"/>
          <w:b/>
          <w:color w:val="000000"/>
          <w:kern w:val="0"/>
          <w:sz w:val="22"/>
        </w:rPr>
      </w:pPr>
    </w:p>
    <w:p w14:paraId="169C42AD" w14:textId="5AD6A3AB" w:rsidR="00720142" w:rsidRPr="00720142" w:rsidRDefault="00720142" w:rsidP="00720142">
      <w:pPr>
        <w:spacing w:line="480" w:lineRule="auto"/>
        <w:rPr>
          <w:rFonts w:ascii="Arial" w:hAnsi="Arial" w:cs="Arial"/>
          <w:b/>
          <w:sz w:val="22"/>
        </w:rPr>
      </w:pPr>
      <w:r w:rsidRPr="00720142">
        <w:rPr>
          <w:rFonts w:ascii="Arial" w:hAnsi="Arial" w:cs="Arial"/>
          <w:b/>
          <w:sz w:val="22"/>
        </w:rPr>
        <w:t>2</w:t>
      </w:r>
      <w:r w:rsidR="009302F2">
        <w:rPr>
          <w:rFonts w:ascii="Arial" w:hAnsi="Arial" w:cs="Arial"/>
          <w:b/>
          <w:sz w:val="22"/>
        </w:rPr>
        <w:t>-</w:t>
      </w:r>
      <w:r w:rsidRPr="00720142">
        <w:rPr>
          <w:rFonts w:ascii="Arial" w:hAnsi="Arial" w:cs="Arial"/>
          <w:b/>
          <w:sz w:val="22"/>
        </w:rPr>
        <w:t>HG Quantitation</w:t>
      </w:r>
    </w:p>
    <w:p w14:paraId="481585FE" w14:textId="77777777" w:rsidR="00720142" w:rsidRPr="00720142" w:rsidRDefault="00720142" w:rsidP="00720142">
      <w:pPr>
        <w:spacing w:line="480" w:lineRule="auto"/>
        <w:rPr>
          <w:rFonts w:ascii="Arial" w:hAnsi="Arial" w:cs="Arial"/>
          <w:sz w:val="22"/>
        </w:rPr>
      </w:pPr>
      <w:r w:rsidRPr="00720142">
        <w:rPr>
          <w:rFonts w:ascii="Arial" w:hAnsi="Arial" w:cs="Arial"/>
          <w:sz w:val="22"/>
        </w:rPr>
        <w:t>In each experiment, 1 × 10</w:t>
      </w:r>
      <w:r w:rsidRPr="00720142">
        <w:rPr>
          <w:rFonts w:ascii="Arial" w:hAnsi="Arial" w:cs="Arial"/>
          <w:sz w:val="22"/>
          <w:vertAlign w:val="superscript"/>
        </w:rPr>
        <w:t>6</w:t>
      </w:r>
      <w:r w:rsidRPr="00720142">
        <w:rPr>
          <w:rFonts w:ascii="Arial" w:hAnsi="Arial" w:cs="Arial"/>
          <w:sz w:val="22"/>
        </w:rPr>
        <w:t xml:space="preserve"> cells, as indicated, were washed with cold PBS and extracted in </w:t>
      </w:r>
      <w:proofErr w:type="spellStart"/>
      <w:r w:rsidRPr="00720142">
        <w:rPr>
          <w:rFonts w:ascii="Arial" w:hAnsi="Arial" w:cs="Arial"/>
          <w:sz w:val="22"/>
        </w:rPr>
        <w:t>CelLytic</w:t>
      </w:r>
      <w:proofErr w:type="spellEnd"/>
      <w:r w:rsidRPr="00720142">
        <w:rPr>
          <w:rFonts w:ascii="Arial" w:hAnsi="Arial" w:cs="Arial"/>
          <w:sz w:val="22"/>
        </w:rPr>
        <w:t xml:space="preserve"> M Cell Lysis Reagent (Sigma-Aldrich). After a 15-min incubation at room temperature, samples were centrifuged at 13,000 rpm for 15 min and the supernatant was transferred to a new tube. Then, 40 µL of 4 M PCA was added and the tube was incubated on ice for 5 min. The sample was centrifuged at 13,000 rpm for 2 min and the supernatant was transferred to a new tube. Samples were neutralized by the addition of 2 M KOH to comprise 34% of the </w:t>
      </w:r>
      <w:r w:rsidRPr="00720142">
        <w:rPr>
          <w:rFonts w:ascii="Arial" w:hAnsi="Arial" w:cs="Arial"/>
          <w:sz w:val="22"/>
        </w:rPr>
        <w:lastRenderedPageBreak/>
        <w:t xml:space="preserve">supernatant. After a 15-min centrifuge at 4°C, samples were transferred to a new fresh tube. After adjustment of the sample to pH 6.5–8.0 by KOH or PCA, samples were incubated with D2HG complete reaction mixture. The black-bottom plate (Falcon) was covered and incubated at 37°C for 60 min. The results were read on a multi-well fluorometer (Synergy™ HT Multi-Mode Microplate Reader, </w:t>
      </w:r>
      <w:proofErr w:type="spellStart"/>
      <w:r w:rsidRPr="00720142">
        <w:rPr>
          <w:rFonts w:ascii="Arial" w:hAnsi="Arial" w:cs="Arial"/>
          <w:sz w:val="22"/>
        </w:rPr>
        <w:t>BioTek</w:t>
      </w:r>
      <w:proofErr w:type="spellEnd"/>
      <w:r w:rsidRPr="00720142">
        <w:rPr>
          <w:rFonts w:ascii="Arial" w:hAnsi="Arial" w:cs="Arial"/>
          <w:sz w:val="22"/>
        </w:rPr>
        <w:t>) under the following conditions: (</w:t>
      </w:r>
      <w:r w:rsidRPr="00720142">
        <w:rPr>
          <w:rFonts w:ascii="Symbol" w:hAnsi="Symbol" w:cs="Arial"/>
          <w:sz w:val="22"/>
        </w:rPr>
        <w:t></w:t>
      </w:r>
      <w:r w:rsidRPr="00720142">
        <w:rPr>
          <w:rFonts w:ascii="Arial" w:hAnsi="Arial" w:cs="Arial"/>
          <w:sz w:val="22"/>
        </w:rPr>
        <w:t>ex = 530 nm) / (</w:t>
      </w:r>
      <w:r w:rsidRPr="00720142">
        <w:rPr>
          <w:rFonts w:ascii="Symbol" w:hAnsi="Symbol" w:cs="Arial"/>
          <w:sz w:val="22"/>
        </w:rPr>
        <w:t></w:t>
      </w:r>
      <w:proofErr w:type="spellStart"/>
      <w:r w:rsidRPr="00720142">
        <w:rPr>
          <w:rFonts w:ascii="Arial" w:hAnsi="Arial" w:cs="Arial"/>
          <w:sz w:val="22"/>
        </w:rPr>
        <w:t>em</w:t>
      </w:r>
      <w:proofErr w:type="spellEnd"/>
      <w:r w:rsidRPr="00720142">
        <w:rPr>
          <w:rFonts w:ascii="Arial" w:hAnsi="Arial" w:cs="Arial"/>
          <w:sz w:val="22"/>
        </w:rPr>
        <w:t xml:space="preserve"> = 590 nm).</w:t>
      </w:r>
    </w:p>
    <w:p w14:paraId="44AF4B41" w14:textId="77777777" w:rsidR="00720142" w:rsidRPr="00720142" w:rsidRDefault="00720142" w:rsidP="00720142">
      <w:pPr>
        <w:widowControl/>
        <w:spacing w:line="480" w:lineRule="auto"/>
        <w:jc w:val="left"/>
        <w:rPr>
          <w:rFonts w:ascii="Arial" w:hAnsi="Arial" w:cs="Arial"/>
          <w:color w:val="000000"/>
          <w:kern w:val="0"/>
          <w:sz w:val="22"/>
        </w:rPr>
      </w:pPr>
    </w:p>
    <w:p w14:paraId="13E6E657" w14:textId="77777777" w:rsidR="00720142" w:rsidRPr="00976D10" w:rsidRDefault="00720142" w:rsidP="00720142">
      <w:pPr>
        <w:autoSpaceDE w:val="0"/>
        <w:autoSpaceDN w:val="0"/>
        <w:adjustRightInd w:val="0"/>
        <w:spacing w:line="480" w:lineRule="auto"/>
        <w:rPr>
          <w:rFonts w:ascii="Arial" w:hAnsi="Arial" w:cs="Arial"/>
          <w:b/>
          <w:color w:val="000000"/>
          <w:kern w:val="0"/>
          <w:sz w:val="22"/>
        </w:rPr>
      </w:pPr>
      <w:r w:rsidRPr="00976D10">
        <w:rPr>
          <w:rFonts w:ascii="Arial" w:hAnsi="Arial" w:cs="Arial"/>
          <w:b/>
          <w:color w:val="000000"/>
          <w:kern w:val="0"/>
          <w:sz w:val="22"/>
        </w:rPr>
        <w:t>Western blot analysis</w:t>
      </w:r>
    </w:p>
    <w:p w14:paraId="132E914D" w14:textId="63A01F65" w:rsidR="00976D10" w:rsidRDefault="00976D10" w:rsidP="00720142">
      <w:pPr>
        <w:autoSpaceDE w:val="0"/>
        <w:autoSpaceDN w:val="0"/>
        <w:adjustRightInd w:val="0"/>
        <w:spacing w:line="480" w:lineRule="auto"/>
        <w:rPr>
          <w:rFonts w:ascii="Arial" w:hAnsi="Arial" w:cs="Arial"/>
          <w:sz w:val="22"/>
        </w:rPr>
      </w:pPr>
      <w:bookmarkStart w:id="3" w:name="_Hlk30092891"/>
      <w:r w:rsidRPr="00976D10">
        <w:rPr>
          <w:rFonts w:ascii="Arial" w:hAnsi="Arial" w:cs="Arial"/>
          <w:sz w:val="22"/>
        </w:rPr>
        <w:t>Cells and tumor tissues were lysed in radioimmunoprecipitation (RIPA) buffer (Thermo Scientific) with a protease and phosphatase inhibitor cocktail (Roche). Protein (10–20 µg) was separated by 4–20% SDS-PAGE and electroblotted to polyvinylidene difluoride membranes. The membranes were blocked with 5% non-fat dry milk in TBS-T (20 mM Tris [pH, 7.5], 150 mM NaCl, 0.1% Tween 20) for 1 h at room temperature and then incubated with primary antibodies at 4°C overnight. The membranes were washed using TBS-T and incubated with the appropriate peroxidase-conjugated secondary antibodies (GE Healthcare) for 1 h at room temperature. Signals were visualized using an enhanced chemiluminescence (ECL) kit (Bio-Rad).</w:t>
      </w:r>
      <w:bookmarkEnd w:id="3"/>
    </w:p>
    <w:p w14:paraId="10E13F29" w14:textId="139FD16A" w:rsidR="00976D10" w:rsidRDefault="00976D10" w:rsidP="00720142">
      <w:pPr>
        <w:autoSpaceDE w:val="0"/>
        <w:autoSpaceDN w:val="0"/>
        <w:adjustRightInd w:val="0"/>
        <w:spacing w:line="480" w:lineRule="auto"/>
        <w:rPr>
          <w:rFonts w:ascii="Arial" w:hAnsi="Arial" w:cs="Arial"/>
          <w:sz w:val="22"/>
        </w:rPr>
      </w:pPr>
    </w:p>
    <w:p w14:paraId="093B3B0C" w14:textId="77777777" w:rsidR="00AB1DD2" w:rsidRPr="009A7CDB" w:rsidRDefault="00AB1DD2" w:rsidP="00AB1DD2">
      <w:pPr>
        <w:spacing w:line="480" w:lineRule="auto"/>
        <w:rPr>
          <w:rFonts w:ascii="Arial" w:hAnsi="Arial" w:cs="Arial"/>
          <w:b/>
        </w:rPr>
      </w:pPr>
      <w:bookmarkStart w:id="4" w:name="_Hlk30093326"/>
      <w:r w:rsidRPr="009A7CDB">
        <w:rPr>
          <w:rFonts w:ascii="Arial" w:hAnsi="Arial" w:cs="Arial"/>
          <w:b/>
        </w:rPr>
        <w:t>Immunohistochemistry</w:t>
      </w:r>
    </w:p>
    <w:p w14:paraId="4054F7D4" w14:textId="77777777" w:rsidR="00AB1DD2" w:rsidRPr="009A7CDB" w:rsidRDefault="00AB1DD2" w:rsidP="00AB1DD2">
      <w:pPr>
        <w:spacing w:line="480" w:lineRule="auto"/>
        <w:rPr>
          <w:rFonts w:ascii="Arial" w:hAnsi="Arial" w:cs="Arial"/>
        </w:rPr>
      </w:pPr>
      <w:bookmarkStart w:id="5" w:name="_Hlk30093731"/>
      <w:r w:rsidRPr="009A7CDB">
        <w:rPr>
          <w:rFonts w:ascii="Arial" w:hAnsi="Arial" w:cs="Arial"/>
        </w:rPr>
        <w:t xml:space="preserve">Tumor tissue specimens for control (n=3) and TMZ (n=3) groups were fixed in neutral-buffered formalin and embedded in paraffin. Seven micrometer sections were obtained, </w:t>
      </w:r>
      <w:bookmarkStart w:id="6" w:name="_Hlk30093772"/>
      <w:r w:rsidRPr="009A7CDB">
        <w:rPr>
          <w:rFonts w:ascii="Arial" w:hAnsi="Arial" w:cs="Arial"/>
        </w:rPr>
        <w:t>deparaffinized</w:t>
      </w:r>
      <w:bookmarkEnd w:id="5"/>
      <w:r w:rsidRPr="009A7CDB">
        <w:rPr>
          <w:rFonts w:ascii="Arial" w:hAnsi="Arial" w:cs="Arial"/>
        </w:rPr>
        <w:t>, rehydrated,</w:t>
      </w:r>
      <w:bookmarkEnd w:id="6"/>
      <w:r w:rsidRPr="009A7CDB">
        <w:rPr>
          <w:rFonts w:ascii="Arial" w:hAnsi="Arial" w:cs="Arial"/>
        </w:rPr>
        <w:t xml:space="preserve"> heated in 10 mM citrate sodium buffer for antigen retrieval, and treated with 3% H</w:t>
      </w:r>
      <w:r w:rsidRPr="009A7CDB">
        <w:rPr>
          <w:rFonts w:ascii="Arial" w:hAnsi="Arial" w:cs="Arial"/>
          <w:vertAlign w:val="subscript"/>
        </w:rPr>
        <w:t>2</w:t>
      </w:r>
      <w:r w:rsidRPr="009A7CDB">
        <w:rPr>
          <w:rFonts w:ascii="Arial" w:hAnsi="Arial" w:cs="Arial"/>
        </w:rPr>
        <w:t>O</w:t>
      </w:r>
      <w:r w:rsidRPr="009A7CDB">
        <w:rPr>
          <w:rFonts w:ascii="Arial" w:hAnsi="Arial" w:cs="Arial"/>
          <w:vertAlign w:val="subscript"/>
        </w:rPr>
        <w:t>2</w:t>
      </w:r>
      <w:r w:rsidRPr="009A7CDB">
        <w:rPr>
          <w:rFonts w:ascii="Arial" w:hAnsi="Arial" w:cs="Arial"/>
        </w:rPr>
        <w:t xml:space="preserve"> in distilled water. After being blocked using 2.5% Normal Horse Serum (Vector Laboratories), slides were incubated with Ki67 (1:200; </w:t>
      </w:r>
      <w:proofErr w:type="spellStart"/>
      <w:r w:rsidRPr="009A7CDB">
        <w:rPr>
          <w:rFonts w:ascii="Arial" w:hAnsi="Arial" w:cs="Arial"/>
        </w:rPr>
        <w:t>Dako</w:t>
      </w:r>
      <w:proofErr w:type="spellEnd"/>
      <w:r w:rsidRPr="009A7CDB">
        <w:rPr>
          <w:rFonts w:ascii="Arial" w:hAnsi="Arial" w:cs="Arial"/>
        </w:rPr>
        <w:t>, # M7240) overnight at 4°C and then with secondary antibody (</w:t>
      </w:r>
      <w:proofErr w:type="spellStart"/>
      <w:r w:rsidRPr="009A7CDB">
        <w:rPr>
          <w:rFonts w:ascii="Arial" w:hAnsi="Arial" w:cs="Arial"/>
        </w:rPr>
        <w:t>ImmPRESS</w:t>
      </w:r>
      <w:proofErr w:type="spellEnd"/>
      <w:r w:rsidRPr="009A7CDB">
        <w:rPr>
          <w:rFonts w:ascii="Arial" w:hAnsi="Arial" w:cs="Arial"/>
        </w:rPr>
        <w:t xml:space="preserve"> HRP Horse Anti-Rabbit IgG [Peroxidase] Polymer Detection Kit; Vector Laboratories) for 30 min at room temperature. Sections were stained with liquid diaminobenzidine peroxidase chromogen substrate system (</w:t>
      </w:r>
      <w:proofErr w:type="spellStart"/>
      <w:r w:rsidRPr="009A7CDB">
        <w:rPr>
          <w:rFonts w:ascii="Arial" w:hAnsi="Arial" w:cs="Arial"/>
        </w:rPr>
        <w:t>Dako</w:t>
      </w:r>
      <w:proofErr w:type="spellEnd"/>
      <w:r w:rsidRPr="009A7CDB">
        <w:rPr>
          <w:rFonts w:ascii="Arial" w:hAnsi="Arial" w:cs="Arial"/>
        </w:rPr>
        <w:t xml:space="preserve">) as chromogen and counterstained with hematoxylin. Images </w:t>
      </w:r>
      <w:r w:rsidRPr="009A7CDB">
        <w:rPr>
          <w:rFonts w:ascii="Arial" w:hAnsi="Arial" w:cs="Arial"/>
        </w:rPr>
        <w:lastRenderedPageBreak/>
        <w:t>were captured with NIS Elements BR 4.6 imaging software attached to a Nikon Eclipse Ci microscope using a ×20 objective.</w:t>
      </w:r>
    </w:p>
    <w:bookmarkEnd w:id="4"/>
    <w:p w14:paraId="16B449E6" w14:textId="515644D6" w:rsidR="00AB1DD2" w:rsidRPr="009A7CDB" w:rsidRDefault="00AB1DD2" w:rsidP="00AB1DD2">
      <w:pPr>
        <w:spacing w:line="480" w:lineRule="auto"/>
        <w:rPr>
          <w:rFonts w:ascii="Arial" w:hAnsi="Arial" w:cs="Arial"/>
        </w:rPr>
      </w:pPr>
      <w:r w:rsidRPr="009A7CDB">
        <w:rPr>
          <w:rFonts w:ascii="Arial" w:hAnsi="Arial" w:cs="Arial"/>
        </w:rPr>
        <w:t xml:space="preserve">To exclude bias, </w:t>
      </w:r>
      <w:r>
        <w:rPr>
          <w:rFonts w:ascii="Arial" w:hAnsi="Arial" w:cs="Arial"/>
        </w:rPr>
        <w:t>positive cells</w:t>
      </w:r>
      <w:r w:rsidRPr="009A7CDB">
        <w:rPr>
          <w:rFonts w:ascii="Arial" w:hAnsi="Arial" w:cs="Arial"/>
        </w:rPr>
        <w:t xml:space="preserve"> were counted in a blinded manner by </w:t>
      </w:r>
      <w:r>
        <w:rPr>
          <w:rFonts w:ascii="Arial" w:hAnsi="Arial" w:cs="Arial"/>
        </w:rPr>
        <w:t>LM</w:t>
      </w:r>
      <w:r w:rsidRPr="009A7CDB">
        <w:rPr>
          <w:rFonts w:ascii="Arial" w:hAnsi="Arial" w:cs="Arial"/>
        </w:rPr>
        <w:t>.</w:t>
      </w:r>
    </w:p>
    <w:p w14:paraId="75318EAB" w14:textId="77777777" w:rsidR="00AB1DD2" w:rsidRDefault="00AB1DD2" w:rsidP="00720142">
      <w:pPr>
        <w:autoSpaceDE w:val="0"/>
        <w:autoSpaceDN w:val="0"/>
        <w:adjustRightInd w:val="0"/>
        <w:spacing w:line="480" w:lineRule="auto"/>
        <w:rPr>
          <w:rFonts w:ascii="Arial" w:hAnsi="Arial" w:cs="Arial"/>
          <w:sz w:val="22"/>
        </w:rPr>
      </w:pPr>
    </w:p>
    <w:p w14:paraId="5A653C79" w14:textId="77777777" w:rsidR="00976D10" w:rsidRPr="009A7CDB" w:rsidRDefault="00976D10" w:rsidP="00976D10">
      <w:pPr>
        <w:spacing w:line="480" w:lineRule="auto"/>
        <w:rPr>
          <w:rFonts w:ascii="Arial" w:hAnsi="Arial" w:cs="Arial"/>
          <w:b/>
          <w:bCs/>
        </w:rPr>
      </w:pPr>
      <w:r w:rsidRPr="009A7CDB">
        <w:rPr>
          <w:rFonts w:ascii="Arial" w:hAnsi="Arial" w:cs="Arial"/>
          <w:b/>
          <w:bCs/>
        </w:rPr>
        <w:t>TUNEL assay</w:t>
      </w:r>
    </w:p>
    <w:p w14:paraId="78CDDE45" w14:textId="1A04B516" w:rsidR="00976D10" w:rsidRDefault="006F44A3" w:rsidP="00976D10">
      <w:pPr>
        <w:spacing w:line="480" w:lineRule="auto"/>
        <w:rPr>
          <w:rFonts w:ascii="Arial" w:hAnsi="Arial" w:cs="Arial"/>
        </w:rPr>
      </w:pPr>
      <w:r w:rsidRPr="009A7CDB">
        <w:rPr>
          <w:rFonts w:ascii="Arial" w:hAnsi="Arial" w:cs="Arial"/>
        </w:rPr>
        <w:t xml:space="preserve">Tumor tissue specimens for control (n=3) and TMZ (n=3) groups were fixed in neutral-buffered formalin and embedded in paraffin. Seven </w:t>
      </w:r>
      <w:bookmarkStart w:id="7" w:name="OLE_LINK1"/>
      <w:r w:rsidRPr="009A7CDB">
        <w:rPr>
          <w:rFonts w:ascii="Arial" w:hAnsi="Arial" w:cs="Arial"/>
        </w:rPr>
        <w:t>micrometer</w:t>
      </w:r>
      <w:bookmarkEnd w:id="7"/>
      <w:r w:rsidRPr="009A7CDB">
        <w:rPr>
          <w:rFonts w:ascii="Arial" w:hAnsi="Arial" w:cs="Arial"/>
        </w:rPr>
        <w:t xml:space="preserve"> sections were obtained, deparaffinized</w:t>
      </w:r>
      <w:r>
        <w:rPr>
          <w:rFonts w:ascii="Arial" w:hAnsi="Arial" w:cs="Arial"/>
        </w:rPr>
        <w:t xml:space="preserve">, </w:t>
      </w:r>
      <w:r w:rsidRPr="009A7CDB">
        <w:rPr>
          <w:rFonts w:ascii="Arial" w:hAnsi="Arial" w:cs="Arial"/>
        </w:rPr>
        <w:t>deparaffinized, rehydrated,</w:t>
      </w:r>
      <w:r>
        <w:rPr>
          <w:rFonts w:ascii="Arial" w:hAnsi="Arial" w:cs="Arial"/>
        </w:rPr>
        <w:t xml:space="preserve"> </w:t>
      </w:r>
      <w:r w:rsidR="00976D10" w:rsidRPr="009A7CDB">
        <w:rPr>
          <w:rFonts w:ascii="Arial" w:hAnsi="Arial" w:cs="Arial"/>
        </w:rPr>
        <w:t>In situ detection of apoptotic cells was carried out using the TUNEL assay kit according to the manufacturer’s protocol (Millipore). Briefly, sections were deparaffinized and washed in PBS, followed by proteinase K pretreatment and endogenous peroxidase activity quenching. Labeling was performed by terminal deoxynucleotidyl transferase enzyme mix, and the reaction was stopped by stop buffer incubation. After PBS washes, anti-digoxigenin conjugate were incubated. Finally, the slides were visualized by liquid diaminobenzidine peroxidase chromogen substrate system (</w:t>
      </w:r>
      <w:proofErr w:type="spellStart"/>
      <w:r w:rsidR="00976D10" w:rsidRPr="009A7CDB">
        <w:rPr>
          <w:rFonts w:ascii="Arial" w:hAnsi="Arial" w:cs="Arial"/>
        </w:rPr>
        <w:t>Dako</w:t>
      </w:r>
      <w:proofErr w:type="spellEnd"/>
      <w:r w:rsidR="00976D10" w:rsidRPr="009A7CDB">
        <w:rPr>
          <w:rFonts w:ascii="Arial" w:hAnsi="Arial" w:cs="Arial"/>
        </w:rPr>
        <w:t>) and counterstained with hematoxylin. Images were captured with NIS Elements BR 4.6 imaging software attached to a Nikon Eclipse Ci microscope using a ×20 objective.</w:t>
      </w:r>
      <w:r w:rsidR="00976D10" w:rsidRPr="00EC2639">
        <w:rPr>
          <w:rFonts w:ascii="Arial" w:hAnsi="Arial" w:cs="Arial"/>
        </w:rPr>
        <w:t xml:space="preserve"> </w:t>
      </w:r>
    </w:p>
    <w:p w14:paraId="0CD507FD" w14:textId="51DB6BEB" w:rsidR="00976D10" w:rsidRDefault="00976D10" w:rsidP="00976D10">
      <w:pPr>
        <w:spacing w:line="480" w:lineRule="auto"/>
        <w:rPr>
          <w:rFonts w:ascii="Arial" w:hAnsi="Arial" w:cs="Arial"/>
        </w:rPr>
      </w:pPr>
      <w:r w:rsidRPr="009A7CDB">
        <w:rPr>
          <w:rFonts w:ascii="Arial" w:hAnsi="Arial" w:cs="Arial"/>
        </w:rPr>
        <w:t xml:space="preserve">Three slides were stained per tumor. Six pictures were captured with 20X magnification per section and used for quantitative analysis of immunopositivity. To exclude bias, </w:t>
      </w:r>
      <w:r>
        <w:rPr>
          <w:rFonts w:ascii="Arial" w:hAnsi="Arial" w:cs="Arial"/>
        </w:rPr>
        <w:t>positive cells</w:t>
      </w:r>
      <w:r w:rsidRPr="009A7CDB">
        <w:rPr>
          <w:rFonts w:ascii="Arial" w:hAnsi="Arial" w:cs="Arial"/>
        </w:rPr>
        <w:t xml:space="preserve"> were counted in a blinded manner by </w:t>
      </w:r>
      <w:r>
        <w:rPr>
          <w:rFonts w:ascii="Arial" w:hAnsi="Arial" w:cs="Arial"/>
        </w:rPr>
        <w:t>LM</w:t>
      </w:r>
      <w:r w:rsidRPr="009A7CDB">
        <w:rPr>
          <w:rFonts w:ascii="Arial" w:hAnsi="Arial" w:cs="Arial"/>
        </w:rPr>
        <w:t>.</w:t>
      </w:r>
    </w:p>
    <w:p w14:paraId="7818F4C0" w14:textId="77777777" w:rsidR="006F44A3" w:rsidRDefault="006F44A3" w:rsidP="00976D10">
      <w:pPr>
        <w:spacing w:line="480" w:lineRule="auto"/>
        <w:rPr>
          <w:rFonts w:ascii="Arial" w:hAnsi="Arial" w:cs="Arial"/>
        </w:rPr>
      </w:pPr>
    </w:p>
    <w:p w14:paraId="72E3814E" w14:textId="77777777" w:rsidR="006F44A3" w:rsidRPr="009A7CDB" w:rsidRDefault="006F44A3" w:rsidP="006F44A3">
      <w:pPr>
        <w:spacing w:line="480" w:lineRule="auto"/>
        <w:rPr>
          <w:rFonts w:ascii="Arial" w:hAnsi="Arial" w:cs="Arial"/>
          <w:b/>
        </w:rPr>
      </w:pPr>
      <w:r>
        <w:rPr>
          <w:rFonts w:ascii="Arial" w:hAnsi="Arial" w:cs="Arial"/>
          <w:b/>
        </w:rPr>
        <w:t>In Vivo Studies</w:t>
      </w:r>
    </w:p>
    <w:p w14:paraId="1CE48D17" w14:textId="722E3BCB" w:rsidR="006F44A3" w:rsidRPr="00100BC8" w:rsidRDefault="006F44A3" w:rsidP="006F44A3">
      <w:pPr>
        <w:spacing w:line="480" w:lineRule="auto"/>
        <w:rPr>
          <w:rFonts w:ascii="Arial" w:hAnsi="Arial" w:cs="Arial"/>
          <w:bCs/>
          <w:color w:val="FF0000"/>
        </w:rPr>
      </w:pPr>
      <w:r w:rsidRPr="009A7CDB">
        <w:rPr>
          <w:rFonts w:ascii="Arial" w:hAnsi="Arial" w:cs="Arial"/>
          <w:bCs/>
        </w:rPr>
        <w:t>All animal experiments were approved by the Institutional Animal Care and Use Committee of Massachusetts General Hospital (Boston, MA). Non-targeting (NT) gRNA HT1080 cells and PARG gRNA</w:t>
      </w:r>
      <w:r>
        <w:rPr>
          <w:rFonts w:ascii="Arial" w:hAnsi="Arial" w:cs="Arial"/>
          <w:bCs/>
        </w:rPr>
        <w:t>2</w:t>
      </w:r>
      <w:r w:rsidRPr="009A7CDB">
        <w:rPr>
          <w:rFonts w:ascii="Arial" w:hAnsi="Arial" w:cs="Arial"/>
          <w:bCs/>
        </w:rPr>
        <w:t xml:space="preserve"> HT1080 cells (4 × 10</w:t>
      </w:r>
      <w:r w:rsidRPr="009A7CDB">
        <w:rPr>
          <w:rFonts w:ascii="Arial" w:hAnsi="Arial" w:cs="Arial"/>
          <w:bCs/>
          <w:vertAlign w:val="superscript"/>
        </w:rPr>
        <w:t>6</w:t>
      </w:r>
      <w:r w:rsidRPr="009A7CDB">
        <w:rPr>
          <w:rFonts w:ascii="Arial" w:hAnsi="Arial" w:cs="Arial"/>
          <w:bCs/>
        </w:rPr>
        <w:t xml:space="preserve"> each) were subcutaneously transplanted into the left and right flank of 7- to 10-week-old female athymic nude mice (weight, 21–26 g; Charles River), respectively. Mice were housed under a 12-h light: dark cycle in single cages (21–24°C with 45% humidity) with standard bedding and enrichment and ad libitum access to food and water. When the maximum tumor diameter reached 5 mm, the mice were randomized to a vehicle group (PBS, </w:t>
      </w:r>
      <w:proofErr w:type="spellStart"/>
      <w:r w:rsidRPr="009A7CDB">
        <w:rPr>
          <w:rFonts w:ascii="Arial" w:hAnsi="Arial" w:cs="Arial"/>
          <w:bCs/>
        </w:rPr>
        <w:t>i.p.</w:t>
      </w:r>
      <w:proofErr w:type="spellEnd"/>
      <w:r w:rsidRPr="009A7CDB">
        <w:rPr>
          <w:rFonts w:ascii="Arial" w:hAnsi="Arial" w:cs="Arial"/>
          <w:bCs/>
        </w:rPr>
        <w:t xml:space="preserve">, n = </w:t>
      </w:r>
      <w:r>
        <w:rPr>
          <w:rFonts w:ascii="Arial" w:hAnsi="Arial" w:cs="Arial"/>
          <w:bCs/>
        </w:rPr>
        <w:t>5</w:t>
      </w:r>
      <w:r w:rsidRPr="009A7CDB">
        <w:rPr>
          <w:rFonts w:ascii="Arial" w:hAnsi="Arial" w:cs="Arial"/>
          <w:bCs/>
        </w:rPr>
        <w:t xml:space="preserve">) and a </w:t>
      </w:r>
      <w:r w:rsidRPr="009A7CDB">
        <w:rPr>
          <w:rFonts w:ascii="Arial" w:hAnsi="Arial" w:cs="Arial"/>
          <w:bCs/>
        </w:rPr>
        <w:lastRenderedPageBreak/>
        <w:t xml:space="preserve">temozolomide group (TMZ; 50 mg/kg, </w:t>
      </w:r>
      <w:proofErr w:type="spellStart"/>
      <w:r w:rsidRPr="009A7CDB">
        <w:rPr>
          <w:rFonts w:ascii="Arial" w:hAnsi="Arial" w:cs="Arial"/>
          <w:bCs/>
        </w:rPr>
        <w:t>i.p.</w:t>
      </w:r>
      <w:proofErr w:type="spellEnd"/>
      <w:r w:rsidRPr="009A7CDB">
        <w:rPr>
          <w:rFonts w:ascii="Arial" w:hAnsi="Arial" w:cs="Arial"/>
          <w:bCs/>
        </w:rPr>
        <w:t xml:space="preserve">, n = </w:t>
      </w:r>
      <w:r>
        <w:rPr>
          <w:rFonts w:ascii="Arial" w:hAnsi="Arial" w:cs="Arial"/>
          <w:bCs/>
        </w:rPr>
        <w:t>5</w:t>
      </w:r>
      <w:r w:rsidRPr="009A7CDB">
        <w:rPr>
          <w:rFonts w:ascii="Arial" w:hAnsi="Arial" w:cs="Arial"/>
          <w:bCs/>
        </w:rPr>
        <w:t>). PBS with 10% DMSO was used as vehicle control. Treatments were administered 5 times a week for 2 weeks with a 1-week off period. A digital caliper was used to measure tumor diameters 3 times a week. The volume (mm</w:t>
      </w:r>
      <w:r w:rsidRPr="009A7CDB">
        <w:rPr>
          <w:rFonts w:ascii="Arial" w:hAnsi="Arial" w:cs="Arial"/>
          <w:bCs/>
          <w:vertAlign w:val="superscript"/>
        </w:rPr>
        <w:t>3</w:t>
      </w:r>
      <w:r w:rsidRPr="009A7CDB">
        <w:rPr>
          <w:rFonts w:ascii="Arial" w:hAnsi="Arial" w:cs="Arial"/>
          <w:bCs/>
        </w:rPr>
        <w:t>) was calculated as length (mm) × width (mm)</w:t>
      </w:r>
      <w:r w:rsidRPr="009A7CDB">
        <w:rPr>
          <w:rFonts w:ascii="Arial" w:hAnsi="Arial" w:cs="Arial"/>
          <w:bCs/>
          <w:vertAlign w:val="superscript"/>
        </w:rPr>
        <w:t>2</w:t>
      </w:r>
      <w:r w:rsidRPr="009A7CDB">
        <w:rPr>
          <w:rFonts w:ascii="Arial" w:hAnsi="Arial" w:cs="Arial"/>
          <w:bCs/>
        </w:rPr>
        <w:t xml:space="preserve"> × 0.5. </w:t>
      </w:r>
    </w:p>
    <w:p w14:paraId="7A2EDD0F" w14:textId="77777777" w:rsidR="006F44A3" w:rsidRPr="009A7CDB" w:rsidRDefault="006F44A3" w:rsidP="00976D10">
      <w:pPr>
        <w:spacing w:line="480" w:lineRule="auto"/>
        <w:rPr>
          <w:rFonts w:ascii="Arial" w:hAnsi="Arial" w:cs="Arial"/>
        </w:rPr>
      </w:pPr>
    </w:p>
    <w:p w14:paraId="1740CD4F" w14:textId="77777777" w:rsidR="00976D10" w:rsidRDefault="00976D10" w:rsidP="00720142">
      <w:pPr>
        <w:autoSpaceDE w:val="0"/>
        <w:autoSpaceDN w:val="0"/>
        <w:adjustRightInd w:val="0"/>
        <w:spacing w:line="480" w:lineRule="auto"/>
        <w:rPr>
          <w:rFonts w:ascii="Arial" w:hAnsi="Arial" w:cs="Arial"/>
          <w:sz w:val="22"/>
        </w:rPr>
      </w:pPr>
    </w:p>
    <w:p w14:paraId="5497C9F9" w14:textId="77777777" w:rsidR="00976D10" w:rsidRPr="00976D10" w:rsidRDefault="00976D10" w:rsidP="00720142">
      <w:pPr>
        <w:autoSpaceDE w:val="0"/>
        <w:autoSpaceDN w:val="0"/>
        <w:adjustRightInd w:val="0"/>
        <w:spacing w:line="480" w:lineRule="auto"/>
        <w:rPr>
          <w:rFonts w:ascii="Arial" w:hAnsi="Arial" w:cs="Arial"/>
          <w:color w:val="000000"/>
          <w:kern w:val="0"/>
          <w:sz w:val="22"/>
        </w:rPr>
      </w:pPr>
    </w:p>
    <w:p w14:paraId="23CAF7B1" w14:textId="77777777" w:rsidR="00D216B0" w:rsidRPr="00720142" w:rsidRDefault="00D216B0" w:rsidP="001C4BA9">
      <w:pPr>
        <w:rPr>
          <w:rFonts w:ascii="Arial" w:hAnsi="Arial" w:cs="Arial"/>
          <w:sz w:val="22"/>
        </w:rPr>
      </w:pPr>
    </w:p>
    <w:sectPr w:rsidR="00D216B0" w:rsidRPr="00720142" w:rsidSect="00D0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446"/>
    <w:multiLevelType w:val="hybridMultilevel"/>
    <w:tmpl w:val="CB7C1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5035"/>
    <w:multiLevelType w:val="hybridMultilevel"/>
    <w:tmpl w:val="ACCCB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42A1E"/>
    <w:multiLevelType w:val="hybridMultilevel"/>
    <w:tmpl w:val="EDF212FC"/>
    <w:lvl w:ilvl="0" w:tplc="90F48A9E">
      <w:start w:val="1"/>
      <w:numFmt w:val="upperLetter"/>
      <w:lvlText w:val="%1."/>
      <w:lvlJc w:val="left"/>
      <w:pPr>
        <w:tabs>
          <w:tab w:val="num" w:pos="720"/>
        </w:tabs>
        <w:ind w:left="720" w:hanging="360"/>
      </w:pPr>
    </w:lvl>
    <w:lvl w:ilvl="1" w:tplc="5CA80DA2" w:tentative="1">
      <w:start w:val="1"/>
      <w:numFmt w:val="upperLetter"/>
      <w:lvlText w:val="%2."/>
      <w:lvlJc w:val="left"/>
      <w:pPr>
        <w:tabs>
          <w:tab w:val="num" w:pos="1440"/>
        </w:tabs>
        <w:ind w:left="1440" w:hanging="360"/>
      </w:pPr>
    </w:lvl>
    <w:lvl w:ilvl="2" w:tplc="495E24C2" w:tentative="1">
      <w:start w:val="1"/>
      <w:numFmt w:val="upperLetter"/>
      <w:lvlText w:val="%3."/>
      <w:lvlJc w:val="left"/>
      <w:pPr>
        <w:tabs>
          <w:tab w:val="num" w:pos="2160"/>
        </w:tabs>
        <w:ind w:left="2160" w:hanging="360"/>
      </w:pPr>
    </w:lvl>
    <w:lvl w:ilvl="3" w:tplc="8D5C8370" w:tentative="1">
      <w:start w:val="1"/>
      <w:numFmt w:val="upperLetter"/>
      <w:lvlText w:val="%4."/>
      <w:lvlJc w:val="left"/>
      <w:pPr>
        <w:tabs>
          <w:tab w:val="num" w:pos="2880"/>
        </w:tabs>
        <w:ind w:left="2880" w:hanging="360"/>
      </w:pPr>
    </w:lvl>
    <w:lvl w:ilvl="4" w:tplc="C0F64284" w:tentative="1">
      <w:start w:val="1"/>
      <w:numFmt w:val="upperLetter"/>
      <w:lvlText w:val="%5."/>
      <w:lvlJc w:val="left"/>
      <w:pPr>
        <w:tabs>
          <w:tab w:val="num" w:pos="3600"/>
        </w:tabs>
        <w:ind w:left="3600" w:hanging="360"/>
      </w:pPr>
    </w:lvl>
    <w:lvl w:ilvl="5" w:tplc="32B6FC34" w:tentative="1">
      <w:start w:val="1"/>
      <w:numFmt w:val="upperLetter"/>
      <w:lvlText w:val="%6."/>
      <w:lvlJc w:val="left"/>
      <w:pPr>
        <w:tabs>
          <w:tab w:val="num" w:pos="4320"/>
        </w:tabs>
        <w:ind w:left="4320" w:hanging="360"/>
      </w:pPr>
    </w:lvl>
    <w:lvl w:ilvl="6" w:tplc="E5A6A29E" w:tentative="1">
      <w:start w:val="1"/>
      <w:numFmt w:val="upperLetter"/>
      <w:lvlText w:val="%7."/>
      <w:lvlJc w:val="left"/>
      <w:pPr>
        <w:tabs>
          <w:tab w:val="num" w:pos="5040"/>
        </w:tabs>
        <w:ind w:left="5040" w:hanging="360"/>
      </w:pPr>
    </w:lvl>
    <w:lvl w:ilvl="7" w:tplc="07A47732" w:tentative="1">
      <w:start w:val="1"/>
      <w:numFmt w:val="upperLetter"/>
      <w:lvlText w:val="%8."/>
      <w:lvlJc w:val="left"/>
      <w:pPr>
        <w:tabs>
          <w:tab w:val="num" w:pos="5760"/>
        </w:tabs>
        <w:ind w:left="5760" w:hanging="360"/>
      </w:pPr>
    </w:lvl>
    <w:lvl w:ilvl="8" w:tplc="46C8DBCC" w:tentative="1">
      <w:start w:val="1"/>
      <w:numFmt w:val="upperLetter"/>
      <w:lvlText w:val="%9."/>
      <w:lvlJc w:val="left"/>
      <w:pPr>
        <w:tabs>
          <w:tab w:val="num" w:pos="6480"/>
        </w:tabs>
        <w:ind w:left="6480" w:hanging="360"/>
      </w:pPr>
    </w:lvl>
  </w:abstractNum>
  <w:abstractNum w:abstractNumId="3" w15:restartNumberingAfterBreak="0">
    <w:nsid w:val="26EF6414"/>
    <w:multiLevelType w:val="hybridMultilevel"/>
    <w:tmpl w:val="49B644C6"/>
    <w:lvl w:ilvl="0" w:tplc="F5A6A992">
      <w:start w:val="1"/>
      <w:numFmt w:val="upperLetter"/>
      <w:lvlText w:val="%1."/>
      <w:lvlJc w:val="left"/>
      <w:pPr>
        <w:tabs>
          <w:tab w:val="num" w:pos="720"/>
        </w:tabs>
        <w:ind w:left="720" w:hanging="360"/>
      </w:pPr>
    </w:lvl>
    <w:lvl w:ilvl="1" w:tplc="D1EA7A10" w:tentative="1">
      <w:start w:val="1"/>
      <w:numFmt w:val="upperLetter"/>
      <w:lvlText w:val="%2."/>
      <w:lvlJc w:val="left"/>
      <w:pPr>
        <w:tabs>
          <w:tab w:val="num" w:pos="1440"/>
        </w:tabs>
        <w:ind w:left="1440" w:hanging="360"/>
      </w:pPr>
    </w:lvl>
    <w:lvl w:ilvl="2" w:tplc="5474388E" w:tentative="1">
      <w:start w:val="1"/>
      <w:numFmt w:val="upperLetter"/>
      <w:lvlText w:val="%3."/>
      <w:lvlJc w:val="left"/>
      <w:pPr>
        <w:tabs>
          <w:tab w:val="num" w:pos="2160"/>
        </w:tabs>
        <w:ind w:left="2160" w:hanging="360"/>
      </w:pPr>
    </w:lvl>
    <w:lvl w:ilvl="3" w:tplc="25463324" w:tentative="1">
      <w:start w:val="1"/>
      <w:numFmt w:val="upperLetter"/>
      <w:lvlText w:val="%4."/>
      <w:lvlJc w:val="left"/>
      <w:pPr>
        <w:tabs>
          <w:tab w:val="num" w:pos="2880"/>
        </w:tabs>
        <w:ind w:left="2880" w:hanging="360"/>
      </w:pPr>
    </w:lvl>
    <w:lvl w:ilvl="4" w:tplc="74405392" w:tentative="1">
      <w:start w:val="1"/>
      <w:numFmt w:val="upperLetter"/>
      <w:lvlText w:val="%5."/>
      <w:lvlJc w:val="left"/>
      <w:pPr>
        <w:tabs>
          <w:tab w:val="num" w:pos="3600"/>
        </w:tabs>
        <w:ind w:left="3600" w:hanging="360"/>
      </w:pPr>
    </w:lvl>
    <w:lvl w:ilvl="5" w:tplc="906AD5D6" w:tentative="1">
      <w:start w:val="1"/>
      <w:numFmt w:val="upperLetter"/>
      <w:lvlText w:val="%6."/>
      <w:lvlJc w:val="left"/>
      <w:pPr>
        <w:tabs>
          <w:tab w:val="num" w:pos="4320"/>
        </w:tabs>
        <w:ind w:left="4320" w:hanging="360"/>
      </w:pPr>
    </w:lvl>
    <w:lvl w:ilvl="6" w:tplc="2B2E1336" w:tentative="1">
      <w:start w:val="1"/>
      <w:numFmt w:val="upperLetter"/>
      <w:lvlText w:val="%7."/>
      <w:lvlJc w:val="left"/>
      <w:pPr>
        <w:tabs>
          <w:tab w:val="num" w:pos="5040"/>
        </w:tabs>
        <w:ind w:left="5040" w:hanging="360"/>
      </w:pPr>
    </w:lvl>
    <w:lvl w:ilvl="7" w:tplc="609CDB58" w:tentative="1">
      <w:start w:val="1"/>
      <w:numFmt w:val="upperLetter"/>
      <w:lvlText w:val="%8."/>
      <w:lvlJc w:val="left"/>
      <w:pPr>
        <w:tabs>
          <w:tab w:val="num" w:pos="5760"/>
        </w:tabs>
        <w:ind w:left="5760" w:hanging="360"/>
      </w:pPr>
    </w:lvl>
    <w:lvl w:ilvl="8" w:tplc="6E901808" w:tentative="1">
      <w:start w:val="1"/>
      <w:numFmt w:val="upperLetter"/>
      <w:lvlText w:val="%9."/>
      <w:lvlJc w:val="left"/>
      <w:pPr>
        <w:tabs>
          <w:tab w:val="num" w:pos="6480"/>
        </w:tabs>
        <w:ind w:left="6480" w:hanging="360"/>
      </w:pPr>
    </w:lvl>
  </w:abstractNum>
  <w:abstractNum w:abstractNumId="4" w15:restartNumberingAfterBreak="0">
    <w:nsid w:val="2C630BA3"/>
    <w:multiLevelType w:val="hybridMultilevel"/>
    <w:tmpl w:val="28689D06"/>
    <w:lvl w:ilvl="0" w:tplc="795C2A7A">
      <w:start w:val="1"/>
      <w:numFmt w:val="upperLetter"/>
      <w:lvlText w:val="%1."/>
      <w:lvlJc w:val="left"/>
      <w:pPr>
        <w:tabs>
          <w:tab w:val="num" w:pos="720"/>
        </w:tabs>
        <w:ind w:left="720" w:hanging="360"/>
      </w:pPr>
    </w:lvl>
    <w:lvl w:ilvl="1" w:tplc="EF680516" w:tentative="1">
      <w:start w:val="1"/>
      <w:numFmt w:val="upperLetter"/>
      <w:lvlText w:val="%2."/>
      <w:lvlJc w:val="left"/>
      <w:pPr>
        <w:tabs>
          <w:tab w:val="num" w:pos="1440"/>
        </w:tabs>
        <w:ind w:left="1440" w:hanging="360"/>
      </w:pPr>
    </w:lvl>
    <w:lvl w:ilvl="2" w:tplc="6A549156" w:tentative="1">
      <w:start w:val="1"/>
      <w:numFmt w:val="upperLetter"/>
      <w:lvlText w:val="%3."/>
      <w:lvlJc w:val="left"/>
      <w:pPr>
        <w:tabs>
          <w:tab w:val="num" w:pos="2160"/>
        </w:tabs>
        <w:ind w:left="2160" w:hanging="360"/>
      </w:pPr>
    </w:lvl>
    <w:lvl w:ilvl="3" w:tplc="00065822" w:tentative="1">
      <w:start w:val="1"/>
      <w:numFmt w:val="upperLetter"/>
      <w:lvlText w:val="%4."/>
      <w:lvlJc w:val="left"/>
      <w:pPr>
        <w:tabs>
          <w:tab w:val="num" w:pos="2880"/>
        </w:tabs>
        <w:ind w:left="2880" w:hanging="360"/>
      </w:pPr>
    </w:lvl>
    <w:lvl w:ilvl="4" w:tplc="62AE4D00" w:tentative="1">
      <w:start w:val="1"/>
      <w:numFmt w:val="upperLetter"/>
      <w:lvlText w:val="%5."/>
      <w:lvlJc w:val="left"/>
      <w:pPr>
        <w:tabs>
          <w:tab w:val="num" w:pos="3600"/>
        </w:tabs>
        <w:ind w:left="3600" w:hanging="360"/>
      </w:pPr>
    </w:lvl>
    <w:lvl w:ilvl="5" w:tplc="86CE014A" w:tentative="1">
      <w:start w:val="1"/>
      <w:numFmt w:val="upperLetter"/>
      <w:lvlText w:val="%6."/>
      <w:lvlJc w:val="left"/>
      <w:pPr>
        <w:tabs>
          <w:tab w:val="num" w:pos="4320"/>
        </w:tabs>
        <w:ind w:left="4320" w:hanging="360"/>
      </w:pPr>
    </w:lvl>
    <w:lvl w:ilvl="6" w:tplc="D048F1AE" w:tentative="1">
      <w:start w:val="1"/>
      <w:numFmt w:val="upperLetter"/>
      <w:lvlText w:val="%7."/>
      <w:lvlJc w:val="left"/>
      <w:pPr>
        <w:tabs>
          <w:tab w:val="num" w:pos="5040"/>
        </w:tabs>
        <w:ind w:left="5040" w:hanging="360"/>
      </w:pPr>
    </w:lvl>
    <w:lvl w:ilvl="7" w:tplc="5A0CF07E" w:tentative="1">
      <w:start w:val="1"/>
      <w:numFmt w:val="upperLetter"/>
      <w:lvlText w:val="%8."/>
      <w:lvlJc w:val="left"/>
      <w:pPr>
        <w:tabs>
          <w:tab w:val="num" w:pos="5760"/>
        </w:tabs>
        <w:ind w:left="5760" w:hanging="360"/>
      </w:pPr>
    </w:lvl>
    <w:lvl w:ilvl="8" w:tplc="AA0ACC9E" w:tentative="1">
      <w:start w:val="1"/>
      <w:numFmt w:val="upperLetter"/>
      <w:lvlText w:val="%9."/>
      <w:lvlJc w:val="left"/>
      <w:pPr>
        <w:tabs>
          <w:tab w:val="num" w:pos="6480"/>
        </w:tabs>
        <w:ind w:left="6480" w:hanging="360"/>
      </w:pPr>
    </w:lvl>
  </w:abstractNum>
  <w:abstractNum w:abstractNumId="5" w15:restartNumberingAfterBreak="0">
    <w:nsid w:val="5B064772"/>
    <w:multiLevelType w:val="hybridMultilevel"/>
    <w:tmpl w:val="550E8A72"/>
    <w:lvl w:ilvl="0" w:tplc="E3B8855C">
      <w:start w:val="1"/>
      <w:numFmt w:val="upperLetter"/>
      <w:lvlText w:val="%1."/>
      <w:lvlJc w:val="left"/>
      <w:pPr>
        <w:tabs>
          <w:tab w:val="num" w:pos="720"/>
        </w:tabs>
        <w:ind w:left="720" w:hanging="360"/>
      </w:pPr>
    </w:lvl>
    <w:lvl w:ilvl="1" w:tplc="AFD04B14" w:tentative="1">
      <w:start w:val="1"/>
      <w:numFmt w:val="upperLetter"/>
      <w:lvlText w:val="%2."/>
      <w:lvlJc w:val="left"/>
      <w:pPr>
        <w:tabs>
          <w:tab w:val="num" w:pos="1440"/>
        </w:tabs>
        <w:ind w:left="1440" w:hanging="360"/>
      </w:pPr>
    </w:lvl>
    <w:lvl w:ilvl="2" w:tplc="AA60977A" w:tentative="1">
      <w:start w:val="1"/>
      <w:numFmt w:val="upperLetter"/>
      <w:lvlText w:val="%3."/>
      <w:lvlJc w:val="left"/>
      <w:pPr>
        <w:tabs>
          <w:tab w:val="num" w:pos="2160"/>
        </w:tabs>
        <w:ind w:left="2160" w:hanging="360"/>
      </w:pPr>
    </w:lvl>
    <w:lvl w:ilvl="3" w:tplc="B530671E" w:tentative="1">
      <w:start w:val="1"/>
      <w:numFmt w:val="upperLetter"/>
      <w:lvlText w:val="%4."/>
      <w:lvlJc w:val="left"/>
      <w:pPr>
        <w:tabs>
          <w:tab w:val="num" w:pos="2880"/>
        </w:tabs>
        <w:ind w:left="2880" w:hanging="360"/>
      </w:pPr>
    </w:lvl>
    <w:lvl w:ilvl="4" w:tplc="794E024A" w:tentative="1">
      <w:start w:val="1"/>
      <w:numFmt w:val="upperLetter"/>
      <w:lvlText w:val="%5."/>
      <w:lvlJc w:val="left"/>
      <w:pPr>
        <w:tabs>
          <w:tab w:val="num" w:pos="3600"/>
        </w:tabs>
        <w:ind w:left="3600" w:hanging="360"/>
      </w:pPr>
    </w:lvl>
    <w:lvl w:ilvl="5" w:tplc="1172BBDA" w:tentative="1">
      <w:start w:val="1"/>
      <w:numFmt w:val="upperLetter"/>
      <w:lvlText w:val="%6."/>
      <w:lvlJc w:val="left"/>
      <w:pPr>
        <w:tabs>
          <w:tab w:val="num" w:pos="4320"/>
        </w:tabs>
        <w:ind w:left="4320" w:hanging="360"/>
      </w:pPr>
    </w:lvl>
    <w:lvl w:ilvl="6" w:tplc="1C46F068" w:tentative="1">
      <w:start w:val="1"/>
      <w:numFmt w:val="upperLetter"/>
      <w:lvlText w:val="%7."/>
      <w:lvlJc w:val="left"/>
      <w:pPr>
        <w:tabs>
          <w:tab w:val="num" w:pos="5040"/>
        </w:tabs>
        <w:ind w:left="5040" w:hanging="360"/>
      </w:pPr>
    </w:lvl>
    <w:lvl w:ilvl="7" w:tplc="47F02864" w:tentative="1">
      <w:start w:val="1"/>
      <w:numFmt w:val="upperLetter"/>
      <w:lvlText w:val="%8."/>
      <w:lvlJc w:val="left"/>
      <w:pPr>
        <w:tabs>
          <w:tab w:val="num" w:pos="5760"/>
        </w:tabs>
        <w:ind w:left="5760" w:hanging="360"/>
      </w:pPr>
    </w:lvl>
    <w:lvl w:ilvl="8" w:tplc="04964A4C" w:tentative="1">
      <w:start w:val="1"/>
      <w:numFmt w:val="upperLetter"/>
      <w:lvlText w:val="%9."/>
      <w:lvlJc w:val="left"/>
      <w:pPr>
        <w:tabs>
          <w:tab w:val="num" w:pos="6480"/>
        </w:tabs>
        <w:ind w:left="6480" w:hanging="360"/>
      </w:pPr>
    </w:lvl>
  </w:abstractNum>
  <w:abstractNum w:abstractNumId="6" w15:restartNumberingAfterBreak="0">
    <w:nsid w:val="5BF056B5"/>
    <w:multiLevelType w:val="hybridMultilevel"/>
    <w:tmpl w:val="6D0C07CC"/>
    <w:lvl w:ilvl="0" w:tplc="58F2B3BC">
      <w:start w:val="1"/>
      <w:numFmt w:val="upperLetter"/>
      <w:lvlText w:val="%1."/>
      <w:lvlJc w:val="left"/>
      <w:pPr>
        <w:tabs>
          <w:tab w:val="num" w:pos="720"/>
        </w:tabs>
        <w:ind w:left="720" w:hanging="360"/>
      </w:pPr>
    </w:lvl>
    <w:lvl w:ilvl="1" w:tplc="E65A9F1A" w:tentative="1">
      <w:start w:val="1"/>
      <w:numFmt w:val="upperLetter"/>
      <w:lvlText w:val="%2."/>
      <w:lvlJc w:val="left"/>
      <w:pPr>
        <w:tabs>
          <w:tab w:val="num" w:pos="1440"/>
        </w:tabs>
        <w:ind w:left="1440" w:hanging="360"/>
      </w:pPr>
    </w:lvl>
    <w:lvl w:ilvl="2" w:tplc="2EE4425E" w:tentative="1">
      <w:start w:val="1"/>
      <w:numFmt w:val="upperLetter"/>
      <w:lvlText w:val="%3."/>
      <w:lvlJc w:val="left"/>
      <w:pPr>
        <w:tabs>
          <w:tab w:val="num" w:pos="2160"/>
        </w:tabs>
        <w:ind w:left="2160" w:hanging="360"/>
      </w:pPr>
    </w:lvl>
    <w:lvl w:ilvl="3" w:tplc="A620B33A" w:tentative="1">
      <w:start w:val="1"/>
      <w:numFmt w:val="upperLetter"/>
      <w:lvlText w:val="%4."/>
      <w:lvlJc w:val="left"/>
      <w:pPr>
        <w:tabs>
          <w:tab w:val="num" w:pos="2880"/>
        </w:tabs>
        <w:ind w:left="2880" w:hanging="360"/>
      </w:pPr>
    </w:lvl>
    <w:lvl w:ilvl="4" w:tplc="5E2C3C5A" w:tentative="1">
      <w:start w:val="1"/>
      <w:numFmt w:val="upperLetter"/>
      <w:lvlText w:val="%5."/>
      <w:lvlJc w:val="left"/>
      <w:pPr>
        <w:tabs>
          <w:tab w:val="num" w:pos="3600"/>
        </w:tabs>
        <w:ind w:left="3600" w:hanging="360"/>
      </w:pPr>
    </w:lvl>
    <w:lvl w:ilvl="5" w:tplc="9B0CBC86" w:tentative="1">
      <w:start w:val="1"/>
      <w:numFmt w:val="upperLetter"/>
      <w:lvlText w:val="%6."/>
      <w:lvlJc w:val="left"/>
      <w:pPr>
        <w:tabs>
          <w:tab w:val="num" w:pos="4320"/>
        </w:tabs>
        <w:ind w:left="4320" w:hanging="360"/>
      </w:pPr>
    </w:lvl>
    <w:lvl w:ilvl="6" w:tplc="E3E694E6" w:tentative="1">
      <w:start w:val="1"/>
      <w:numFmt w:val="upperLetter"/>
      <w:lvlText w:val="%7."/>
      <w:lvlJc w:val="left"/>
      <w:pPr>
        <w:tabs>
          <w:tab w:val="num" w:pos="5040"/>
        </w:tabs>
        <w:ind w:left="5040" w:hanging="360"/>
      </w:pPr>
    </w:lvl>
    <w:lvl w:ilvl="7" w:tplc="E7A64AF6" w:tentative="1">
      <w:start w:val="1"/>
      <w:numFmt w:val="upperLetter"/>
      <w:lvlText w:val="%8."/>
      <w:lvlJc w:val="left"/>
      <w:pPr>
        <w:tabs>
          <w:tab w:val="num" w:pos="5760"/>
        </w:tabs>
        <w:ind w:left="5760" w:hanging="360"/>
      </w:pPr>
    </w:lvl>
    <w:lvl w:ilvl="8" w:tplc="2F145772" w:tentative="1">
      <w:start w:val="1"/>
      <w:numFmt w:val="upperLetter"/>
      <w:lvlText w:val="%9."/>
      <w:lvlJc w:val="left"/>
      <w:pPr>
        <w:tabs>
          <w:tab w:val="num" w:pos="6480"/>
        </w:tabs>
        <w:ind w:left="6480" w:hanging="360"/>
      </w:pPr>
    </w:lvl>
  </w:abstractNum>
  <w:abstractNum w:abstractNumId="7" w15:restartNumberingAfterBreak="0">
    <w:nsid w:val="5BF50EDA"/>
    <w:multiLevelType w:val="hybridMultilevel"/>
    <w:tmpl w:val="5EBCE66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25CB5"/>
    <w:multiLevelType w:val="hybridMultilevel"/>
    <w:tmpl w:val="9F868982"/>
    <w:lvl w:ilvl="0" w:tplc="EAD238E6">
      <w:start w:val="1"/>
      <w:numFmt w:val="upperLetter"/>
      <w:lvlText w:val="%1."/>
      <w:lvlJc w:val="left"/>
      <w:pPr>
        <w:tabs>
          <w:tab w:val="num" w:pos="720"/>
        </w:tabs>
        <w:ind w:left="720" w:hanging="360"/>
      </w:pPr>
    </w:lvl>
    <w:lvl w:ilvl="1" w:tplc="3D569C12" w:tentative="1">
      <w:start w:val="1"/>
      <w:numFmt w:val="upperLetter"/>
      <w:lvlText w:val="%2."/>
      <w:lvlJc w:val="left"/>
      <w:pPr>
        <w:tabs>
          <w:tab w:val="num" w:pos="1440"/>
        </w:tabs>
        <w:ind w:left="1440" w:hanging="360"/>
      </w:pPr>
    </w:lvl>
    <w:lvl w:ilvl="2" w:tplc="0204C0E0" w:tentative="1">
      <w:start w:val="1"/>
      <w:numFmt w:val="upperLetter"/>
      <w:lvlText w:val="%3."/>
      <w:lvlJc w:val="left"/>
      <w:pPr>
        <w:tabs>
          <w:tab w:val="num" w:pos="2160"/>
        </w:tabs>
        <w:ind w:left="2160" w:hanging="360"/>
      </w:pPr>
    </w:lvl>
    <w:lvl w:ilvl="3" w:tplc="E24C0D9E" w:tentative="1">
      <w:start w:val="1"/>
      <w:numFmt w:val="upperLetter"/>
      <w:lvlText w:val="%4."/>
      <w:lvlJc w:val="left"/>
      <w:pPr>
        <w:tabs>
          <w:tab w:val="num" w:pos="2880"/>
        </w:tabs>
        <w:ind w:left="2880" w:hanging="360"/>
      </w:pPr>
    </w:lvl>
    <w:lvl w:ilvl="4" w:tplc="BE38F4DC" w:tentative="1">
      <w:start w:val="1"/>
      <w:numFmt w:val="upperLetter"/>
      <w:lvlText w:val="%5."/>
      <w:lvlJc w:val="left"/>
      <w:pPr>
        <w:tabs>
          <w:tab w:val="num" w:pos="3600"/>
        </w:tabs>
        <w:ind w:left="3600" w:hanging="360"/>
      </w:pPr>
    </w:lvl>
    <w:lvl w:ilvl="5" w:tplc="5D7E3E8C" w:tentative="1">
      <w:start w:val="1"/>
      <w:numFmt w:val="upperLetter"/>
      <w:lvlText w:val="%6."/>
      <w:lvlJc w:val="left"/>
      <w:pPr>
        <w:tabs>
          <w:tab w:val="num" w:pos="4320"/>
        </w:tabs>
        <w:ind w:left="4320" w:hanging="360"/>
      </w:pPr>
    </w:lvl>
    <w:lvl w:ilvl="6" w:tplc="CD04A34A" w:tentative="1">
      <w:start w:val="1"/>
      <w:numFmt w:val="upperLetter"/>
      <w:lvlText w:val="%7."/>
      <w:lvlJc w:val="left"/>
      <w:pPr>
        <w:tabs>
          <w:tab w:val="num" w:pos="5040"/>
        </w:tabs>
        <w:ind w:left="5040" w:hanging="360"/>
      </w:pPr>
    </w:lvl>
    <w:lvl w:ilvl="7" w:tplc="F42035FE" w:tentative="1">
      <w:start w:val="1"/>
      <w:numFmt w:val="upperLetter"/>
      <w:lvlText w:val="%8."/>
      <w:lvlJc w:val="left"/>
      <w:pPr>
        <w:tabs>
          <w:tab w:val="num" w:pos="5760"/>
        </w:tabs>
        <w:ind w:left="5760" w:hanging="360"/>
      </w:pPr>
    </w:lvl>
    <w:lvl w:ilvl="8" w:tplc="B2006094" w:tentative="1">
      <w:start w:val="1"/>
      <w:numFmt w:val="upperLetter"/>
      <w:lvlText w:val="%9."/>
      <w:lvlJc w:val="left"/>
      <w:pPr>
        <w:tabs>
          <w:tab w:val="num" w:pos="6480"/>
        </w:tabs>
        <w:ind w:left="6480" w:hanging="360"/>
      </w:pPr>
    </w:lvl>
  </w:abstractNum>
  <w:num w:numId="1">
    <w:abstractNumId w:val="5"/>
  </w:num>
  <w:num w:numId="2">
    <w:abstractNumId w:val="2"/>
  </w:num>
  <w:num w:numId="3">
    <w:abstractNumId w:val="8"/>
  </w:num>
  <w:num w:numId="4">
    <w:abstractNumId w:val="6"/>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C54"/>
    <w:rsid w:val="000523E4"/>
    <w:rsid w:val="001C4BA9"/>
    <w:rsid w:val="00276C54"/>
    <w:rsid w:val="002D5A6D"/>
    <w:rsid w:val="00314189"/>
    <w:rsid w:val="00330B59"/>
    <w:rsid w:val="004E35DA"/>
    <w:rsid w:val="005045D3"/>
    <w:rsid w:val="00591617"/>
    <w:rsid w:val="00616984"/>
    <w:rsid w:val="00660077"/>
    <w:rsid w:val="0068628D"/>
    <w:rsid w:val="006F44A3"/>
    <w:rsid w:val="007070FF"/>
    <w:rsid w:val="00720142"/>
    <w:rsid w:val="00797933"/>
    <w:rsid w:val="007E12D1"/>
    <w:rsid w:val="008B7F27"/>
    <w:rsid w:val="009302F2"/>
    <w:rsid w:val="009739A3"/>
    <w:rsid w:val="00976D10"/>
    <w:rsid w:val="00977632"/>
    <w:rsid w:val="00A349F0"/>
    <w:rsid w:val="00A64476"/>
    <w:rsid w:val="00AB1DD2"/>
    <w:rsid w:val="00D216B0"/>
    <w:rsid w:val="00EA33CA"/>
    <w:rsid w:val="00ED7D3E"/>
    <w:rsid w:val="00ED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91860"/>
  <w15:docId w15:val="{EABF2B39-21F5-4F1B-9F48-41E2A526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42"/>
    <w:pPr>
      <w:widowControl w:val="0"/>
      <w:spacing w:after="0" w:line="240" w:lineRule="auto"/>
      <w:jc w:val="both"/>
    </w:pPr>
    <w:rPr>
      <w:rFonts w:eastAsiaTheme="minorEastAsia"/>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C54"/>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276C54"/>
    <w:pPr>
      <w:widowControl/>
      <w:ind w:left="720"/>
      <w:contextualSpacing/>
      <w:jc w:val="left"/>
    </w:pPr>
    <w:rPr>
      <w:rFonts w:ascii="Times New Roman" w:eastAsia="Times New Roman" w:hAnsi="Times New Roman" w:cs="Times New Roman"/>
      <w:kern w:val="0"/>
      <w:sz w:val="24"/>
      <w:szCs w:val="24"/>
    </w:rPr>
  </w:style>
  <w:style w:type="character" w:styleId="CommentReference">
    <w:name w:val="annotation reference"/>
    <w:basedOn w:val="DefaultParagraphFont"/>
    <w:uiPriority w:val="99"/>
    <w:semiHidden/>
    <w:unhideWhenUsed/>
    <w:rsid w:val="00616984"/>
    <w:rPr>
      <w:sz w:val="18"/>
      <w:szCs w:val="18"/>
    </w:rPr>
  </w:style>
  <w:style w:type="paragraph" w:styleId="CommentText">
    <w:name w:val="annotation text"/>
    <w:basedOn w:val="Normal"/>
    <w:link w:val="CommentTextChar"/>
    <w:uiPriority w:val="99"/>
    <w:semiHidden/>
    <w:unhideWhenUsed/>
    <w:rsid w:val="00616984"/>
    <w:rPr>
      <w:sz w:val="24"/>
      <w:szCs w:val="24"/>
    </w:rPr>
  </w:style>
  <w:style w:type="character" w:customStyle="1" w:styleId="CommentTextChar">
    <w:name w:val="Comment Text Char"/>
    <w:basedOn w:val="DefaultParagraphFont"/>
    <w:link w:val="CommentText"/>
    <w:uiPriority w:val="99"/>
    <w:semiHidden/>
    <w:rsid w:val="00616984"/>
    <w:rPr>
      <w:rFonts w:eastAsiaTheme="minorEastAsia"/>
      <w:kern w:val="2"/>
      <w:sz w:val="24"/>
      <w:szCs w:val="24"/>
      <w:lang w:eastAsia="ja-JP"/>
    </w:rPr>
  </w:style>
  <w:style w:type="paragraph" w:styleId="CommentSubject">
    <w:name w:val="annotation subject"/>
    <w:basedOn w:val="CommentText"/>
    <w:next w:val="CommentText"/>
    <w:link w:val="CommentSubjectChar"/>
    <w:uiPriority w:val="99"/>
    <w:semiHidden/>
    <w:unhideWhenUsed/>
    <w:rsid w:val="00616984"/>
    <w:rPr>
      <w:b/>
      <w:bCs/>
      <w:sz w:val="20"/>
      <w:szCs w:val="20"/>
    </w:rPr>
  </w:style>
  <w:style w:type="character" w:customStyle="1" w:styleId="CommentSubjectChar">
    <w:name w:val="Comment Subject Char"/>
    <w:basedOn w:val="CommentTextChar"/>
    <w:link w:val="CommentSubject"/>
    <w:uiPriority w:val="99"/>
    <w:semiHidden/>
    <w:rsid w:val="00616984"/>
    <w:rPr>
      <w:rFonts w:eastAsiaTheme="minorEastAsia"/>
      <w:b/>
      <w:bCs/>
      <w:kern w:val="2"/>
      <w:sz w:val="20"/>
      <w:szCs w:val="20"/>
      <w:lang w:eastAsia="ja-JP"/>
    </w:rPr>
  </w:style>
  <w:style w:type="paragraph" w:styleId="BalloonText">
    <w:name w:val="Balloon Text"/>
    <w:basedOn w:val="Normal"/>
    <w:link w:val="BalloonTextChar"/>
    <w:uiPriority w:val="99"/>
    <w:semiHidden/>
    <w:unhideWhenUsed/>
    <w:rsid w:val="00616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984"/>
    <w:rPr>
      <w:rFonts w:ascii="Lucida Grande" w:eastAsiaTheme="minorEastAsia" w:hAnsi="Lucida Grande" w:cs="Lucida Grande"/>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Daniel P.,M.D.</dc:creator>
  <cp:keywords/>
  <dc:description/>
  <cp:lastModifiedBy>Cahill, Daniel P.,M.D.</cp:lastModifiedBy>
  <cp:revision>4</cp:revision>
  <dcterms:created xsi:type="dcterms:W3CDTF">2020-05-31T15:48:00Z</dcterms:created>
  <dcterms:modified xsi:type="dcterms:W3CDTF">2020-06-23T13:59:00Z</dcterms:modified>
</cp:coreProperties>
</file>