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5F5B21" w14:textId="7B054AEC" w:rsidR="00934815" w:rsidRPr="00F67021" w:rsidRDefault="00F67021" w:rsidP="00F67021">
      <w:pPr>
        <w:spacing w:line="480" w:lineRule="auto"/>
        <w:rPr>
          <w:b/>
          <w:bCs/>
        </w:rPr>
      </w:pPr>
      <w:r w:rsidRPr="00F67021">
        <w:rPr>
          <w:b/>
          <w:bCs/>
        </w:rPr>
        <w:t>Supplementary Information</w:t>
      </w:r>
    </w:p>
    <w:p w14:paraId="15183A18" w14:textId="5D797605" w:rsidR="00F67021" w:rsidRDefault="00F67021" w:rsidP="00F67021">
      <w:pPr>
        <w:spacing w:line="480" w:lineRule="auto"/>
      </w:pPr>
    </w:p>
    <w:p w14:paraId="17B18CB7" w14:textId="038D123C" w:rsidR="00F67021" w:rsidRDefault="00F67021" w:rsidP="00F67021">
      <w:pPr>
        <w:spacing w:line="480" w:lineRule="auto"/>
      </w:pPr>
      <w:r>
        <w:t>This file contains the following:</w:t>
      </w:r>
    </w:p>
    <w:p w14:paraId="56014430" w14:textId="4F6327FD" w:rsidR="00F67021" w:rsidRDefault="00F67021" w:rsidP="00F67021">
      <w:pPr>
        <w:pStyle w:val="ListParagraph"/>
        <w:numPr>
          <w:ilvl w:val="0"/>
          <w:numId w:val="1"/>
        </w:numPr>
        <w:spacing w:line="480" w:lineRule="auto"/>
      </w:pPr>
      <w:r>
        <w:t>Supplementary Methods</w:t>
      </w:r>
    </w:p>
    <w:p w14:paraId="2A01EC0E" w14:textId="498BE1D8" w:rsidR="00F67021" w:rsidRDefault="00F67021" w:rsidP="00F67021">
      <w:pPr>
        <w:pStyle w:val="ListParagraph"/>
        <w:numPr>
          <w:ilvl w:val="0"/>
          <w:numId w:val="1"/>
        </w:numPr>
        <w:spacing w:line="480" w:lineRule="auto"/>
      </w:pPr>
      <w:r>
        <w:t>Legends for Supplementary Tables S1-S</w:t>
      </w:r>
      <w:r w:rsidR="00794355">
        <w:t>5</w:t>
      </w:r>
      <w:r>
        <w:t xml:space="preserve"> (available as separate Excel files)</w:t>
      </w:r>
    </w:p>
    <w:p w14:paraId="7905FB0B" w14:textId="70AFE97D" w:rsidR="00F67021" w:rsidRDefault="00F67021" w:rsidP="00F67021">
      <w:pPr>
        <w:pStyle w:val="ListParagraph"/>
        <w:numPr>
          <w:ilvl w:val="0"/>
          <w:numId w:val="1"/>
        </w:numPr>
        <w:spacing w:line="480" w:lineRule="auto"/>
      </w:pPr>
      <w:r>
        <w:t>Supplementary Figures S1-S1</w:t>
      </w:r>
      <w:r w:rsidR="006B0C27">
        <w:t>1</w:t>
      </w:r>
    </w:p>
    <w:p w14:paraId="042DAF84" w14:textId="037C6760" w:rsidR="00F67021" w:rsidRDefault="00F67021">
      <w:r>
        <w:br w:type="page"/>
      </w:r>
    </w:p>
    <w:p w14:paraId="569691C2" w14:textId="63837422" w:rsidR="00F67021" w:rsidRDefault="00F67021" w:rsidP="00F67021">
      <w:pPr>
        <w:spacing w:line="480" w:lineRule="auto"/>
        <w:rPr>
          <w:b/>
          <w:bCs/>
        </w:rPr>
      </w:pPr>
      <w:r w:rsidRPr="00F67021">
        <w:rPr>
          <w:b/>
          <w:bCs/>
        </w:rPr>
        <w:lastRenderedPageBreak/>
        <w:t>Supplementary Methods</w:t>
      </w:r>
    </w:p>
    <w:p w14:paraId="7780AB7E" w14:textId="77777777" w:rsidR="00F67021" w:rsidRPr="00AE44EF" w:rsidRDefault="00F67021" w:rsidP="00F67021">
      <w:pPr>
        <w:spacing w:line="480" w:lineRule="auto"/>
        <w:jc w:val="both"/>
        <w:rPr>
          <w:b/>
          <w:bCs/>
        </w:rPr>
      </w:pPr>
      <w:r w:rsidRPr="00AE44EF">
        <w:rPr>
          <w:b/>
          <w:bCs/>
        </w:rPr>
        <w:t>Comparison of Microarray Platforms</w:t>
      </w:r>
    </w:p>
    <w:p w14:paraId="1E40022D" w14:textId="3E72D862" w:rsidR="00F67021" w:rsidRDefault="00F67021" w:rsidP="00F67021">
      <w:pPr>
        <w:spacing w:line="480" w:lineRule="auto"/>
        <w:jc w:val="both"/>
      </w:pPr>
      <w:r>
        <w:tab/>
        <w:t>As described above, our previous work performed gene expression profiling using both Illumina and Affymetrix microarray platforms (GEO platform IDs GPL13534 and GPL18281 respectively), with Illumina data used for discovery analysis and Affymetrix as a validation set. Our previous publication did not identify clear differences in immune pathways between progressive and regressive lesions based on the Illumina discovery set, yet a similar analysis of the Affymetrix dataset does identify two significant immune-related KEGG pathways</w:t>
      </w:r>
      <w:r>
        <w:fldChar w:fldCharType="begin"/>
      </w:r>
      <w:r w:rsidR="005E1439">
        <w:instrText xml:space="preserve"> ADDIN ZOTERO_ITEM CSL_CITATION {"citationID":"HQ1ZJcBM","properties":{"formattedCitation":"(1)","plainCitation":"(1)","noteIndex":0},"citationItems":[{"id":51,"uris":["http://zotero.org/users/5058104/items/XGJ46RMP"],"uri":["http://zotero.org/users/5058104/items/XGJ46RMP"],"itemData":{"id":51,"type":"article-journal","container-title":"Nucleic Acids Res","ISSN":"0305-1048 (Print) 0305-1048 (Linking)","issue":"1","page":"27-30","title":"KEGG: kyoto encyclopedia of genes and genomes","volume":"28","author":[{"family":"Kanehisa","given":"M."},{"family":"Goto","given":"S."}],"issued":{"date-parts":[["2000"]]}}}],"schema":"https://github.com/citation-style-language/schema/raw/master/csl-citation.json"} </w:instrText>
      </w:r>
      <w:r>
        <w:fldChar w:fldCharType="separate"/>
      </w:r>
      <w:r w:rsidR="0069173F">
        <w:rPr>
          <w:rFonts w:ascii="Calibri" w:cs="Calibri"/>
        </w:rPr>
        <w:t>(1)</w:t>
      </w:r>
      <w:r>
        <w:fldChar w:fldCharType="end"/>
      </w:r>
      <w:r>
        <w:t xml:space="preserve">: cytokine-cytokine </w:t>
      </w:r>
      <w:r w:rsidRPr="00B92F54">
        <w:t>interaction (</w:t>
      </w:r>
      <w:r w:rsidRPr="00AE44EF">
        <w:t>hsa04060</w:t>
      </w:r>
      <w:r w:rsidRPr="00B92F54">
        <w:t>) and type I diabetes mellitus (</w:t>
      </w:r>
      <w:r w:rsidRPr="00AE44EF">
        <w:t>hsa04940</w:t>
      </w:r>
      <w:r w:rsidRPr="00B92F54">
        <w:t xml:space="preserve">). We therefore questioned whether </w:t>
      </w:r>
      <w:r>
        <w:t xml:space="preserve">this disparity may be due to platform differences. </w:t>
      </w:r>
    </w:p>
    <w:p w14:paraId="18A04680" w14:textId="4D1E18D6" w:rsidR="00F67021" w:rsidRDefault="00F67021" w:rsidP="00F67021">
      <w:pPr>
        <w:spacing w:line="480" w:lineRule="auto"/>
        <w:ind w:firstLine="720"/>
        <w:jc w:val="both"/>
      </w:pPr>
      <w:r>
        <w:t xml:space="preserve">The Affymetrix platform used has many more probes than the Illumina platform, allowing coverage of more genes and coverage of multiple transcripts for some genes. </w:t>
      </w:r>
      <w:r w:rsidRPr="00BD6E16">
        <w:t xml:space="preserve">To </w:t>
      </w:r>
      <w:r>
        <w:t>examine</w:t>
      </w:r>
      <w:r w:rsidRPr="00BD6E16">
        <w:t xml:space="preserve"> the impact of these differences we performed pathway analysis on the Illumina and Affymetrix datasets separately, then repeated this analysis using only probes that were shared by both platforms and were unambiguous (i.e. had a one-to-one mapping to a given gene on </w:t>
      </w:r>
      <w:r w:rsidRPr="00BD6E16">
        <w:rPr>
          <w:i/>
          <w:iCs/>
        </w:rPr>
        <w:t>both</w:t>
      </w:r>
      <w:r w:rsidRPr="00BD6E16">
        <w:t xml:space="preserve"> microarray platforms). Using a Gene Set Enrichment Analysis (GSEA) method, we found two immune-related KEGG pathways to be significant in the Affymetrix dataset but not the Illumina dataset: cytokine-cytokine interaction (hsa04060) and type I diabetes mellitus (hsa04940). Both of these pathways included genes which were not profiled in the Illumina dataset, and indeed when the Affymetrix dataset was reduced to include only shared unambiguous probes hsa04940 was no longer significant and hsa04060 showed a smaller effect size. Chromosomal instability related genes – the </w:t>
      </w:r>
      <w:r>
        <w:t>most important</w:t>
      </w:r>
      <w:r w:rsidRPr="00BD6E16">
        <w:t xml:space="preserve"> finding from our previous work – remained significant across all analyses. Some genes which are important to </w:t>
      </w:r>
      <w:r w:rsidRPr="00BD6E16">
        <w:lastRenderedPageBreak/>
        <w:t>our</w:t>
      </w:r>
      <w:r>
        <w:t xml:space="preserve"> present</w:t>
      </w:r>
      <w:r w:rsidRPr="00BD6E16">
        <w:t xml:space="preserve"> analysis are not covered by the Illumina microarray, including TNFSF9, CXCL8 and CD274. We believe these differences justify our decision to focus on the Affymetrix platform, as it offers wider coverage of important immune genes.</w:t>
      </w:r>
      <w:r>
        <w:t xml:space="preserve"> Pathway analysis results are included in Supplementary Table </w:t>
      </w:r>
      <w:r w:rsidR="00035999">
        <w:t>5</w:t>
      </w:r>
      <w:r>
        <w:t>.</w:t>
      </w:r>
    </w:p>
    <w:p w14:paraId="6AC2F832" w14:textId="77777777" w:rsidR="00FD5AD7" w:rsidRDefault="00FD5AD7" w:rsidP="00FD5AD7">
      <w:pPr>
        <w:spacing w:line="480" w:lineRule="auto"/>
        <w:jc w:val="both"/>
        <w:rPr>
          <w:b/>
        </w:rPr>
      </w:pPr>
    </w:p>
    <w:p w14:paraId="34A3B152" w14:textId="1C97130F" w:rsidR="00FD5AD7" w:rsidRDefault="00FD5AD7" w:rsidP="00FD5AD7">
      <w:pPr>
        <w:spacing w:line="480" w:lineRule="auto"/>
        <w:jc w:val="both"/>
        <w:rPr>
          <w:b/>
        </w:rPr>
      </w:pPr>
      <w:r>
        <w:rPr>
          <w:b/>
        </w:rPr>
        <w:t>Histological Classification</w:t>
      </w:r>
    </w:p>
    <w:p w14:paraId="06D66372" w14:textId="77777777" w:rsidR="00FD5AD7" w:rsidRPr="00953593" w:rsidRDefault="00FD5AD7" w:rsidP="00FD5AD7">
      <w:pPr>
        <w:spacing w:line="480" w:lineRule="auto"/>
        <w:jc w:val="both"/>
        <w:rPr>
          <w:bCs/>
        </w:rPr>
      </w:pPr>
      <w:r>
        <w:rPr>
          <w:bCs/>
        </w:rPr>
        <w:t xml:space="preserve">For samples identified by the above process, multiple serial sections were cut and staining with </w:t>
      </w:r>
      <w:proofErr w:type="spellStart"/>
      <w:r>
        <w:rPr>
          <w:bCs/>
        </w:rPr>
        <w:t>hematoxylin</w:t>
      </w:r>
      <w:proofErr w:type="spellEnd"/>
      <w:r>
        <w:rPr>
          <w:bCs/>
        </w:rPr>
        <w:t xml:space="preserve"> and eosin (H&amp;E) was performed. The H&amp;E slide was used to identify regions of CIS and adjacent stroma; slides were independently reviewed by two pathologists (M.F. and D.M.). In equivocal cases, regions considered “high grade” (CIS or severe dysplasia) were included whereas any region with the appearance of low-grade histology was excluded. H&amp;E slides were used for image analysis; serial sections were used for immunohistochemistry and molecular analyses. </w:t>
      </w:r>
    </w:p>
    <w:p w14:paraId="2BBE6977" w14:textId="77777777" w:rsidR="00F67021" w:rsidRDefault="00F67021" w:rsidP="00F67021">
      <w:pPr>
        <w:spacing w:line="480" w:lineRule="auto"/>
        <w:jc w:val="both"/>
        <w:rPr>
          <w:b/>
        </w:rPr>
      </w:pPr>
    </w:p>
    <w:p w14:paraId="23A1A447" w14:textId="70E56772" w:rsidR="00F67021" w:rsidRPr="00C415A9" w:rsidRDefault="00F67021" w:rsidP="00F67021">
      <w:pPr>
        <w:spacing w:line="480" w:lineRule="auto"/>
        <w:jc w:val="both"/>
        <w:rPr>
          <w:b/>
        </w:rPr>
      </w:pPr>
      <w:r w:rsidRPr="00C415A9">
        <w:rPr>
          <w:b/>
        </w:rPr>
        <w:t>Image analysis</w:t>
      </w:r>
    </w:p>
    <w:p w14:paraId="0B28020D" w14:textId="77777777" w:rsidR="00F67021" w:rsidRDefault="00F67021" w:rsidP="00F67021">
      <w:pPr>
        <w:spacing w:line="360" w:lineRule="auto"/>
        <w:jc w:val="both"/>
        <w:rPr>
          <w:rFonts w:ascii="Calibri" w:eastAsia="Times New Roman" w:hAnsi="Calibri" w:cs="Calibri"/>
          <w:color w:val="000000"/>
          <w:lang w:eastAsia="en-GB"/>
        </w:rPr>
      </w:pPr>
      <w:r>
        <w:rPr>
          <w:rFonts w:ascii="Calibri" w:eastAsia="Times New Roman" w:hAnsi="Calibri" w:cs="Calibri"/>
          <w:color w:val="000000"/>
          <w:lang w:eastAsia="en-GB"/>
        </w:rPr>
        <w:t>All s</w:t>
      </w:r>
      <w:r w:rsidRPr="004602D7">
        <w:rPr>
          <w:rFonts w:ascii="Calibri" w:eastAsia="Times New Roman" w:hAnsi="Calibri" w:cs="Calibri"/>
          <w:color w:val="000000"/>
          <w:lang w:eastAsia="en-GB"/>
        </w:rPr>
        <w:t xml:space="preserve">lides were scanned using </w:t>
      </w:r>
      <w:proofErr w:type="spellStart"/>
      <w:r w:rsidRPr="004602D7">
        <w:rPr>
          <w:rFonts w:ascii="Calibri" w:eastAsia="Times New Roman" w:hAnsi="Calibri" w:cs="Calibri"/>
          <w:color w:val="000000"/>
          <w:lang w:eastAsia="en-GB"/>
        </w:rPr>
        <w:t>NanoZoomer</w:t>
      </w:r>
      <w:proofErr w:type="spellEnd"/>
      <w:r w:rsidRPr="004602D7">
        <w:rPr>
          <w:rFonts w:ascii="Calibri" w:eastAsia="Times New Roman" w:hAnsi="Calibri" w:cs="Calibri"/>
          <w:color w:val="000000"/>
          <w:lang w:eastAsia="en-GB"/>
        </w:rPr>
        <w:t xml:space="preserve"> Digital Pathology System</w:t>
      </w:r>
      <w:r>
        <w:rPr>
          <w:rFonts w:ascii="Calibri" w:eastAsia="Times New Roman" w:hAnsi="Calibri" w:cs="Calibri"/>
          <w:color w:val="000000"/>
          <w:lang w:eastAsia="en-GB"/>
        </w:rPr>
        <w:t xml:space="preserve"> scanner model C9600-01, using </w:t>
      </w:r>
      <w:proofErr w:type="spellStart"/>
      <w:r>
        <w:rPr>
          <w:rFonts w:ascii="Calibri" w:eastAsia="Times New Roman" w:hAnsi="Calibri" w:cs="Calibri"/>
          <w:color w:val="000000"/>
          <w:lang w:eastAsia="en-GB"/>
        </w:rPr>
        <w:t>NDP.scan</w:t>
      </w:r>
      <w:proofErr w:type="spellEnd"/>
      <w:r w:rsidRPr="004602D7">
        <w:rPr>
          <w:rFonts w:ascii="Calibri" w:eastAsia="Times New Roman" w:hAnsi="Calibri" w:cs="Calibri"/>
          <w:color w:val="000000"/>
          <w:lang w:eastAsia="en-GB"/>
        </w:rPr>
        <w:t xml:space="preserve"> version </w:t>
      </w:r>
      <w:r>
        <w:rPr>
          <w:rFonts w:ascii="Calibri" w:eastAsia="Times New Roman" w:hAnsi="Calibri" w:cs="Calibri"/>
          <w:color w:val="000000"/>
          <w:lang w:eastAsia="en-GB"/>
        </w:rPr>
        <w:t>2.5.89</w:t>
      </w:r>
      <w:r w:rsidRPr="004602D7">
        <w:rPr>
          <w:rFonts w:ascii="Calibri" w:eastAsia="Times New Roman" w:hAnsi="Calibri" w:cs="Calibri"/>
          <w:color w:val="000000"/>
          <w:lang w:eastAsia="en-GB"/>
        </w:rPr>
        <w:t xml:space="preserve"> (Hamamatsu, Japan).</w:t>
      </w:r>
    </w:p>
    <w:p w14:paraId="18E3606D" w14:textId="77777777" w:rsidR="00F67021" w:rsidRDefault="00F67021" w:rsidP="00F67021">
      <w:pPr>
        <w:spacing w:line="360" w:lineRule="auto"/>
        <w:jc w:val="both"/>
        <w:rPr>
          <w:rFonts w:ascii="Calibri" w:eastAsia="Times New Roman" w:hAnsi="Calibri" w:cs="Calibri"/>
          <w:color w:val="000000"/>
          <w:lang w:eastAsia="en-GB"/>
        </w:rPr>
      </w:pPr>
    </w:p>
    <w:p w14:paraId="65F6F5CF" w14:textId="16278B68" w:rsidR="00F67021" w:rsidRDefault="00CF06CA" w:rsidP="00F67021">
      <w:pPr>
        <w:spacing w:line="360" w:lineRule="auto"/>
        <w:jc w:val="both"/>
        <w:rPr>
          <w:rFonts w:ascii="Calibri" w:eastAsia="Times New Roman" w:hAnsi="Calibri" w:cs="Calibri"/>
          <w:color w:val="000000"/>
          <w:lang w:eastAsia="en-GB"/>
        </w:rPr>
      </w:pPr>
      <w:r>
        <w:rPr>
          <w:rFonts w:ascii="Calibri" w:eastAsia="Times New Roman" w:hAnsi="Calibri" w:cs="Calibri"/>
          <w:color w:val="000000"/>
          <w:lang w:eastAsia="en-GB"/>
        </w:rPr>
        <w:t xml:space="preserve">To </w:t>
      </w:r>
      <w:r w:rsidRPr="003317D8">
        <w:rPr>
          <w:rFonts w:ascii="Calibri" w:eastAsia="Times New Roman" w:hAnsi="Calibri" w:cs="Calibri"/>
          <w:color w:val="000000"/>
          <w:lang w:eastAsia="en-GB"/>
        </w:rPr>
        <w:t>spatial</w:t>
      </w:r>
      <w:r>
        <w:rPr>
          <w:rFonts w:ascii="Calibri" w:eastAsia="Times New Roman" w:hAnsi="Calibri" w:cs="Calibri"/>
          <w:color w:val="000000"/>
          <w:lang w:eastAsia="en-GB"/>
        </w:rPr>
        <w:t>ly</w:t>
      </w:r>
      <w:r w:rsidRPr="003317D8">
        <w:rPr>
          <w:rFonts w:ascii="Calibri" w:eastAsia="Times New Roman" w:hAnsi="Calibri" w:cs="Calibri"/>
          <w:color w:val="000000"/>
          <w:lang w:eastAsia="en-GB"/>
        </w:rPr>
        <w:t xml:space="preserve"> </w:t>
      </w:r>
      <w:r>
        <w:rPr>
          <w:rFonts w:ascii="Calibri" w:eastAsia="Times New Roman" w:hAnsi="Calibri" w:cs="Calibri"/>
          <w:color w:val="000000"/>
          <w:lang w:eastAsia="en-GB"/>
        </w:rPr>
        <w:t>map single-cells from NSCLC tumour microenvironment using</w:t>
      </w:r>
      <w:r w:rsidRPr="003317D8">
        <w:rPr>
          <w:rFonts w:ascii="Calibri" w:eastAsia="Times New Roman" w:hAnsi="Calibri" w:cs="Calibri"/>
          <w:color w:val="000000"/>
          <w:lang w:eastAsia="en-GB"/>
        </w:rPr>
        <w:t xml:space="preserve"> H&amp;E images</w:t>
      </w:r>
      <w:r>
        <w:rPr>
          <w:rFonts w:ascii="Calibri" w:eastAsia="Times New Roman" w:hAnsi="Calibri" w:cs="Calibri"/>
          <w:color w:val="000000"/>
          <w:lang w:eastAsia="en-GB"/>
        </w:rPr>
        <w:t xml:space="preserve">, </w:t>
      </w:r>
      <w:r w:rsidRPr="00897EE6">
        <w:rPr>
          <w:rFonts w:ascii="Calibri" w:eastAsia="Times New Roman" w:hAnsi="Calibri" w:cs="Calibri"/>
          <w:color w:val="000000"/>
          <w:lang w:eastAsia="en-GB"/>
        </w:rPr>
        <w:t>a</w:t>
      </w:r>
      <w:r>
        <w:rPr>
          <w:rFonts w:ascii="Calibri" w:eastAsia="Times New Roman" w:hAnsi="Calibri" w:cs="Calibri"/>
          <w:color w:val="000000"/>
          <w:lang w:eastAsia="en-GB"/>
        </w:rPr>
        <w:t>n automated</w:t>
      </w:r>
      <w:r w:rsidRPr="00897EE6">
        <w:rPr>
          <w:rFonts w:ascii="Calibri" w:eastAsia="Times New Roman" w:hAnsi="Calibri" w:cs="Calibri"/>
          <w:color w:val="000000"/>
          <w:lang w:eastAsia="en-GB"/>
        </w:rPr>
        <w:t xml:space="preserve"> deep learning pipeline</w:t>
      </w:r>
      <w:r>
        <w:rPr>
          <w:rFonts w:ascii="Calibri" w:eastAsia="Times New Roman" w:hAnsi="Calibri" w:cs="Calibri"/>
          <w:color w:val="000000"/>
          <w:lang w:eastAsia="en-GB"/>
        </w:rPr>
        <w:t xml:space="preserve"> was used</w:t>
      </w:r>
      <w:r>
        <w:rPr>
          <w:rFonts w:ascii="Calibri" w:eastAsia="Times New Roman" w:hAnsi="Calibri" w:cs="Calibri"/>
          <w:color w:val="000000"/>
          <w:lang w:eastAsia="en-GB"/>
        </w:rPr>
        <w:fldChar w:fldCharType="begin"/>
      </w:r>
      <w:r>
        <w:rPr>
          <w:rFonts w:ascii="Calibri" w:eastAsia="Times New Roman" w:hAnsi="Calibri" w:cs="Calibri"/>
          <w:color w:val="000000"/>
          <w:lang w:eastAsia="en-GB"/>
        </w:rPr>
        <w:instrText xml:space="preserve"> ADDIN ZOTERO_ITEM CSL_CITATION {"citationID":"L57YLbfI","properties":{"formattedCitation":"(2)","plainCitation":"(2)","noteIndex":0},"citationItems":[{"id":853,"uris":["http://zotero.org/users/5058104/items/EXPL3QDQ"],"uri":["http://zotero.org/users/5058104/items/EXPL3QDQ"],"itemData":{"id":853,"type":"article-journal","container-title":"Nature Medicine (accepted for publication)","DOI":"10.1038/s41591-020-0900-x","title":"Geospatial immune variability illuminates differential evolution of lung adenocarcinoma.","author":[{"literal":"AbdulJabbar, K"}],"issued":{"date-parts":[["2020"]]}}}],"schema":"https://github.com/citation-style-language/schema/raw/master/csl-citation.json"} </w:instrText>
      </w:r>
      <w:r>
        <w:rPr>
          <w:rFonts w:ascii="Calibri" w:eastAsia="Times New Roman" w:hAnsi="Calibri" w:cs="Calibri"/>
          <w:color w:val="000000"/>
          <w:lang w:eastAsia="en-GB"/>
        </w:rPr>
        <w:fldChar w:fldCharType="separate"/>
      </w:r>
      <w:r>
        <w:rPr>
          <w:rFonts w:ascii="Calibri" w:eastAsia="Times New Roman" w:hAnsi="Calibri" w:cs="Calibri"/>
          <w:noProof/>
          <w:color w:val="000000"/>
          <w:lang w:eastAsia="en-GB"/>
        </w:rPr>
        <w:t>(2)</w:t>
      </w:r>
      <w:r>
        <w:rPr>
          <w:rFonts w:ascii="Calibri" w:eastAsia="Times New Roman" w:hAnsi="Calibri" w:cs="Calibri"/>
          <w:color w:val="000000"/>
          <w:lang w:eastAsia="en-GB"/>
        </w:rPr>
        <w:fldChar w:fldCharType="end"/>
      </w:r>
      <w:r>
        <w:rPr>
          <w:rFonts w:ascii="Calibri" w:eastAsia="Times New Roman" w:hAnsi="Calibri" w:cs="Calibri"/>
          <w:color w:val="000000"/>
          <w:lang w:eastAsia="en-GB"/>
        </w:rPr>
        <w:t xml:space="preserve">. The single-cell </w:t>
      </w:r>
      <w:proofErr w:type="spellStart"/>
      <w:r w:rsidRPr="00E72F9B">
        <w:rPr>
          <w:rFonts w:ascii="Calibri" w:eastAsia="Times New Roman" w:hAnsi="Calibri" w:cs="Calibri"/>
          <w:color w:val="000000"/>
          <w:lang w:eastAsia="en-GB"/>
        </w:rPr>
        <w:t>neighboring</w:t>
      </w:r>
      <w:proofErr w:type="spellEnd"/>
      <w:r w:rsidRPr="00E72F9B">
        <w:rPr>
          <w:rFonts w:ascii="Calibri" w:eastAsia="Times New Roman" w:hAnsi="Calibri" w:cs="Calibri"/>
          <w:color w:val="000000"/>
          <w:lang w:eastAsia="en-GB"/>
        </w:rPr>
        <w:t xml:space="preserve"> ensemble </w:t>
      </w:r>
      <w:r>
        <w:rPr>
          <w:rFonts w:ascii="Calibri" w:eastAsia="Times New Roman" w:hAnsi="Calibri" w:cs="Calibri"/>
          <w:color w:val="000000"/>
          <w:lang w:eastAsia="en-GB"/>
        </w:rPr>
        <w:t xml:space="preserve">classifier was trained using 21,009 </w:t>
      </w:r>
      <w:r w:rsidRPr="006A104B">
        <w:rPr>
          <w:rFonts w:ascii="Calibri" w:eastAsia="Times New Roman" w:hAnsi="Calibri" w:cs="Calibri"/>
          <w:color w:val="000000"/>
          <w:lang w:eastAsia="en-GB"/>
        </w:rPr>
        <w:t xml:space="preserve">single-cell annotations by </w:t>
      </w:r>
      <w:r>
        <w:rPr>
          <w:rFonts w:ascii="Calibri" w:eastAsia="Times New Roman" w:hAnsi="Calibri" w:cs="Calibri"/>
          <w:color w:val="000000"/>
          <w:lang w:eastAsia="en-GB"/>
        </w:rPr>
        <w:t xml:space="preserve">thoracic </w:t>
      </w:r>
      <w:r w:rsidRPr="006A104B">
        <w:rPr>
          <w:rFonts w:ascii="Calibri" w:eastAsia="Times New Roman" w:hAnsi="Calibri" w:cs="Calibri"/>
          <w:color w:val="000000"/>
          <w:lang w:eastAsia="en-GB"/>
        </w:rPr>
        <w:t>pathologists</w:t>
      </w:r>
      <w:r w:rsidRPr="006A104B" w:rsidDel="006A104B">
        <w:rPr>
          <w:rFonts w:ascii="Calibri" w:eastAsia="Times New Roman" w:hAnsi="Calibri" w:cs="Calibri"/>
          <w:color w:val="000000"/>
          <w:lang w:eastAsia="en-GB"/>
        </w:rPr>
        <w:t xml:space="preserve"> </w:t>
      </w:r>
      <w:r>
        <w:rPr>
          <w:rFonts w:ascii="Calibri" w:eastAsia="Times New Roman" w:hAnsi="Calibri" w:cs="Calibri"/>
          <w:color w:val="000000"/>
          <w:lang w:eastAsia="en-GB"/>
        </w:rPr>
        <w:t>from NSCLC samples in the</w:t>
      </w:r>
      <w:r w:rsidR="00F67021">
        <w:rPr>
          <w:rFonts w:ascii="Calibri" w:eastAsia="Times New Roman" w:hAnsi="Calibri" w:cs="Calibri"/>
          <w:color w:val="000000"/>
          <w:lang w:eastAsia="en-GB"/>
        </w:rPr>
        <w:t xml:space="preserve"> </w:t>
      </w:r>
      <w:r w:rsidR="00F67021" w:rsidRPr="00897EE6">
        <w:rPr>
          <w:rFonts w:ascii="Calibri" w:eastAsia="Times New Roman" w:hAnsi="Calibri" w:cs="Calibri"/>
          <w:color w:val="000000"/>
          <w:lang w:eastAsia="en-GB"/>
        </w:rPr>
        <w:t>TRACERx100 cohort</w:t>
      </w:r>
      <w:r w:rsidR="00F67021">
        <w:rPr>
          <w:rFonts w:ascii="Calibri" w:eastAsia="Times New Roman" w:hAnsi="Calibri" w:cs="Calibri"/>
          <w:color w:val="000000"/>
          <w:lang w:eastAsia="en-GB"/>
        </w:rPr>
        <w:fldChar w:fldCharType="begin"/>
      </w:r>
      <w:r>
        <w:rPr>
          <w:rFonts w:ascii="Calibri" w:eastAsia="Times New Roman" w:hAnsi="Calibri" w:cs="Calibri"/>
          <w:color w:val="000000"/>
          <w:lang w:eastAsia="en-GB"/>
        </w:rPr>
        <w:instrText xml:space="preserve"> ADDIN ZOTERO_ITEM CSL_CITATION {"citationID":"orFwu8CP","properties":{"formattedCitation":"(3)","plainCitation":"(3)","noteIndex":0},"citationItems":[{"id":4,"uris":["http://zotero.org/users/5058104/items/ATLDSTST"],"uri":["http://zotero.org/users/5058104/items/ATLDSTST"],"itemData":{"id":4,"type":"article-journal","container-title":"N Engl J Med","DOI":"10.1056/NEJMoa1616288","ISSN":"1533-4406 (Electronic) 0028-4793 (Linking)","issue":"22","page":"2109-2121","title":"Tracking the Evolution of Non-Small-Cell Lung Cancer","volume":"376","author":[{"family":"Jamal-Hanjani","given":"M."},{"family":"Wilson","given":"G. A."},{"family":"McGranahan","given":"N."},{"family":"Birkbak","given":"N. J."},{"family":"Watkins","given":"T. B. K."},{"family":"Veeriah","given":"S."},{"family":"Shafi","given":"S."},{"family":"Johnson","given":"D. H."},{"family":"Mitter","given":"R."},{"family":"Rosenthal","given":"R."},{"family":"Salm","given":"M."},{"family":"Horswell","given":"S."},{"family":"Escudero","given":"M."},{"family":"Matthews","given":"N."},{"family":"Rowan","given":"A."},{"family":"Chambers","given":"T."},{"family":"Moore","given":"D. A."},{"family":"Turajlic","given":"S."},{"family":"Xu","given":"H."},{"family":"Lee","given":"S. M."},{"family":"Forster","given":"M. D."},{"family":"Ahmad","given":"T."},{"family":"Hiley","given":"C. T."},{"family":"Abbosh","given":"C."},{"family":"Falzon","given":"M."},{"family":"Borg","given":"E."},{"family":"Marafioti","given":"T."},{"family":"Lawrence","given":"D."},{"family":"Hayward","given":"M."},{"family":"Kolvekar","given":"S."},{"family":"Panagiotopoulos","given":"N."},{"family":"Janes","given":"S. M."},{"family":"Thakrar","given":"R."},{"family":"Ahmed","given":"A."},{"family":"Blackhall","given":"F."},{"family":"Summers","given":"Y."},{"family":"Shah","given":"R."},{"family":"Joseph","given":"L."},{"family":"Quinn","given":"A. M."},{"family":"Crosbie","given":"P. A."},{"family":"Naidu","given":"B."},{"family":"Middleton","given":"G."},{"family":"Langman","given":"G."},{"family":"Trotter","given":"S."},{"family":"Nicolson","given":"M."},{"family":"Remmen","given":"H."},{"family":"Kerr","given":"K."},{"family":"Chetty","given":"M."},{"family":"Gomersall","given":"L."},{"family":"Fennell","given":"D. A."},{"family":"Nakas","given":"A."},{"family":"Rathinam","given":"S."},{"family":"Anand","given":"G."},{"family":"Khan","given":"S."},{"family":"Russell","given":"P."},{"family":"Ezhil","given":"V."},{"family":"Ismail","given":"B."},{"family":"Irvin-Sellers","given":"M."},{"family":"Prakash","given":"V."},{"family":"Lester","given":"J. F."},{"family":"Kornaszewska","given":"M."},{"family":"Attanoos","given":"R."},{"family":"Adams","given":"H."},{"family":"Davies","given":"H."},{"family":"Dentro","given":"S."},{"family":"Taniere","given":"P."},{"family":"O'Sullivan","given":"B."},{"family":"Lowe","given":"H. L."},{"family":"Hartley","given":"J. A."},{"family":"Iles","given":"N."},{"family":"Bell","given":"H."},{"family":"Ngai","given":"Y."},{"family":"Shaw","given":"J. A."},{"family":"Herrero","given":"J."},{"family":"Szallasi","given":"Z."},{"family":"Schwarz","given":"R. F."},{"family":"Stewart","given":"A."},{"family":"Quezada","given":"S. A."},{"family":"Le Quesne","given":"J."},{"family":"Van Loo","given":"P."},{"family":"Dive","given":"C."},{"family":"Hackshaw","given":"A."},{"family":"Swanton","given":"C."},{"family":"Consortium","given":"T. RACERx"}],"issued":{"date-parts":[["2017"]]}}}],"schema":"https://github.com/citation-style-language/schema/raw/master/csl-citation.json"} </w:instrText>
      </w:r>
      <w:r w:rsidR="00F67021">
        <w:rPr>
          <w:rFonts w:ascii="Calibri" w:eastAsia="Times New Roman" w:hAnsi="Calibri" w:cs="Calibri"/>
          <w:color w:val="000000"/>
          <w:lang w:eastAsia="en-GB"/>
        </w:rPr>
        <w:fldChar w:fldCharType="separate"/>
      </w:r>
      <w:r>
        <w:rPr>
          <w:rFonts w:ascii="Calibri" w:hAnsi="Calibri" w:cs="Calibri"/>
          <w:color w:val="000000"/>
        </w:rPr>
        <w:t>(3)</w:t>
      </w:r>
      <w:r w:rsidR="00F67021">
        <w:rPr>
          <w:rFonts w:ascii="Calibri" w:eastAsia="Times New Roman" w:hAnsi="Calibri" w:cs="Calibri"/>
          <w:color w:val="000000"/>
          <w:lang w:eastAsia="en-GB"/>
        </w:rPr>
        <w:fldChar w:fldCharType="end"/>
      </w:r>
      <w:r w:rsidR="00F67021">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Four distinct cell types from H&amp;E images were identified: </w:t>
      </w:r>
      <w:r w:rsidR="00F67021">
        <w:rPr>
          <w:rFonts w:ascii="Calibri" w:eastAsia="Times New Roman" w:hAnsi="Calibri" w:cs="Calibri"/>
          <w:color w:val="000000"/>
          <w:lang w:eastAsia="en-GB"/>
        </w:rPr>
        <w:t xml:space="preserve">cancer cells, lymphocytes that </w:t>
      </w:r>
      <w:r w:rsidR="00F67021" w:rsidRPr="00C6441B">
        <w:rPr>
          <w:rFonts w:ascii="Calibri" w:eastAsia="Times New Roman" w:hAnsi="Calibri" w:cs="Calibri"/>
          <w:color w:val="000000"/>
          <w:lang w:eastAsia="en-GB"/>
        </w:rPr>
        <w:t>included leukocytes and plasma cells</w:t>
      </w:r>
      <w:r w:rsidR="00F67021">
        <w:rPr>
          <w:rFonts w:ascii="Calibri" w:eastAsia="Times New Roman" w:hAnsi="Calibri" w:cs="Calibri"/>
          <w:color w:val="000000"/>
          <w:lang w:eastAsia="en-GB"/>
        </w:rPr>
        <w:t>, stromal cells that included fibroblasts and endothelial cells, and an “other” cell type that</w:t>
      </w:r>
      <w:r w:rsidR="00F67021" w:rsidRPr="00AC5FA6">
        <w:rPr>
          <w:rFonts w:ascii="Calibri" w:eastAsia="Times New Roman" w:hAnsi="Calibri" w:cs="Calibri"/>
          <w:color w:val="000000"/>
          <w:lang w:eastAsia="en-GB"/>
        </w:rPr>
        <w:t xml:space="preserve"> included </w:t>
      </w:r>
      <w:r w:rsidR="00F67021" w:rsidRPr="00897EE6">
        <w:rPr>
          <w:rFonts w:ascii="Calibri" w:eastAsia="Times New Roman" w:hAnsi="Calibri" w:cs="Calibri"/>
          <w:color w:val="000000"/>
          <w:lang w:eastAsia="en-GB"/>
        </w:rPr>
        <w:t xml:space="preserve">non-identifiable </w:t>
      </w:r>
      <w:r w:rsidR="00F67021">
        <w:rPr>
          <w:rFonts w:ascii="Calibri" w:eastAsia="Times New Roman" w:hAnsi="Calibri" w:cs="Calibri"/>
          <w:color w:val="000000"/>
          <w:lang w:eastAsia="en-GB"/>
        </w:rPr>
        <w:t xml:space="preserve">and less abundant </w:t>
      </w:r>
      <w:r w:rsidR="00F67021" w:rsidRPr="00897EE6">
        <w:rPr>
          <w:rFonts w:ascii="Calibri" w:eastAsia="Times New Roman" w:hAnsi="Calibri" w:cs="Calibri"/>
          <w:color w:val="000000"/>
          <w:lang w:eastAsia="en-GB"/>
        </w:rPr>
        <w:t>cells</w:t>
      </w:r>
      <w:r w:rsidR="00F67021" w:rsidRPr="00AC5FA6">
        <w:rPr>
          <w:rFonts w:ascii="Calibri" w:eastAsia="Times New Roman" w:hAnsi="Calibri" w:cs="Calibri"/>
          <w:color w:val="000000"/>
          <w:lang w:eastAsia="en-GB"/>
        </w:rPr>
        <w:t xml:space="preserve"> </w:t>
      </w:r>
      <w:r w:rsidR="00F67021">
        <w:rPr>
          <w:rFonts w:ascii="Calibri" w:eastAsia="Times New Roman" w:hAnsi="Calibri" w:cs="Calibri"/>
          <w:color w:val="000000"/>
          <w:lang w:eastAsia="en-GB"/>
        </w:rPr>
        <w:t xml:space="preserve">such as </w:t>
      </w:r>
      <w:r w:rsidR="00F67021" w:rsidRPr="00AC5FA6">
        <w:rPr>
          <w:rFonts w:ascii="Calibri" w:eastAsia="Times New Roman" w:hAnsi="Calibri" w:cs="Calibri"/>
          <w:color w:val="000000"/>
          <w:lang w:eastAsia="en-GB"/>
        </w:rPr>
        <w:t>macrophage</w:t>
      </w:r>
      <w:r w:rsidR="00F67021">
        <w:rPr>
          <w:rFonts w:ascii="Calibri" w:eastAsia="Times New Roman" w:hAnsi="Calibri" w:cs="Calibri"/>
          <w:color w:val="000000"/>
          <w:lang w:eastAsia="en-GB"/>
        </w:rPr>
        <w:t>s</w:t>
      </w:r>
      <w:r w:rsidR="00F67021" w:rsidRPr="00AC5FA6">
        <w:rPr>
          <w:rFonts w:ascii="Calibri" w:eastAsia="Times New Roman" w:hAnsi="Calibri" w:cs="Calibri"/>
          <w:color w:val="000000"/>
          <w:lang w:eastAsia="en-GB"/>
        </w:rPr>
        <w:t xml:space="preserve">, </w:t>
      </w:r>
      <w:r w:rsidR="00F67021">
        <w:rPr>
          <w:rFonts w:ascii="Calibri" w:eastAsia="Times New Roman" w:hAnsi="Calibri" w:cs="Calibri"/>
          <w:color w:val="000000"/>
          <w:lang w:eastAsia="en-GB"/>
        </w:rPr>
        <w:t>chondrocytes, and</w:t>
      </w:r>
      <w:r w:rsidR="00F67021" w:rsidRPr="00AC5FA6">
        <w:rPr>
          <w:rFonts w:ascii="Calibri" w:eastAsia="Times New Roman" w:hAnsi="Calibri" w:cs="Calibri"/>
          <w:color w:val="000000"/>
          <w:lang w:eastAsia="en-GB"/>
        </w:rPr>
        <w:t xml:space="preserve"> </w:t>
      </w:r>
      <w:r w:rsidR="00F67021" w:rsidRPr="00897EE6">
        <w:rPr>
          <w:rFonts w:ascii="Calibri" w:eastAsia="Times New Roman" w:hAnsi="Calibri" w:cs="Calibri"/>
          <w:color w:val="000000"/>
          <w:lang w:eastAsia="en-GB"/>
        </w:rPr>
        <w:t>pneumocyte</w:t>
      </w:r>
      <w:r w:rsidR="00F67021">
        <w:rPr>
          <w:rFonts w:ascii="Calibri" w:eastAsia="Times New Roman" w:hAnsi="Calibri" w:cs="Calibri"/>
          <w:color w:val="000000"/>
          <w:lang w:eastAsia="en-GB"/>
        </w:rPr>
        <w:t xml:space="preserve">s. As </w:t>
      </w:r>
      <w:r w:rsidR="00F67021" w:rsidRPr="00CF06CA">
        <w:rPr>
          <w:rFonts w:ascii="Calibri" w:eastAsia="Times New Roman" w:hAnsi="Calibri" w:cs="Calibri"/>
          <w:color w:val="000000"/>
          <w:lang w:eastAsia="en-GB"/>
        </w:rPr>
        <w:t xml:space="preserve">described in </w:t>
      </w:r>
      <w:r w:rsidRPr="00CF06CA">
        <w:rPr>
          <w:rFonts w:ascii="Calibri" w:eastAsia="Times New Roman" w:hAnsi="Calibri" w:cs="Calibri"/>
          <w:color w:val="000000"/>
          <w:lang w:eastAsia="en-GB"/>
        </w:rPr>
        <w:fldChar w:fldCharType="begin"/>
      </w:r>
      <w:r w:rsidRPr="00CF06CA">
        <w:rPr>
          <w:rFonts w:ascii="Calibri" w:eastAsia="Times New Roman" w:hAnsi="Calibri" w:cs="Calibri"/>
          <w:color w:val="000000"/>
          <w:lang w:eastAsia="en-GB"/>
        </w:rPr>
        <w:instrText xml:space="preserve"> ADDIN ZOTERO_ITEM CSL_CITATION {"citationID":"vxNW7bU5","properties":{"formattedCitation":"(2)","plainCitation":"(2)","noteIndex":0},"citationItems":[{"id":853,"uris":["http://zotero.org/users/5058104/items/EXPL3QDQ"],"uri":["http://zotero.org/users/5058104/items/EXPL3QDQ"],"itemData":{"id":853,"type":"article-journal","container-title":"Nature Medicine (accepted for publication)","DOI":"10.1038/s41591-020-0900-x","title":"Geospatial immune variability illuminates differential evolution of lung adenocarcinoma.","author":[{"literal":"AbdulJabbar, K"}],"issued":{"date-parts":[["2020"]]}}}],"schema":"https://github.com/citation-style-language/schema/raw/master/csl-citation.json"} </w:instrText>
      </w:r>
      <w:r w:rsidRPr="00CF06CA">
        <w:rPr>
          <w:rFonts w:ascii="Calibri" w:eastAsia="Times New Roman" w:hAnsi="Calibri" w:cs="Calibri"/>
          <w:color w:val="000000"/>
          <w:lang w:eastAsia="en-GB"/>
        </w:rPr>
        <w:fldChar w:fldCharType="separate"/>
      </w:r>
      <w:r w:rsidRPr="00CF06CA">
        <w:rPr>
          <w:rFonts w:ascii="Calibri" w:eastAsia="Times New Roman" w:hAnsi="Calibri" w:cs="Calibri"/>
          <w:noProof/>
          <w:color w:val="000000"/>
          <w:lang w:eastAsia="en-GB"/>
        </w:rPr>
        <w:t>(2)</w:t>
      </w:r>
      <w:r w:rsidRPr="00CF06CA">
        <w:rPr>
          <w:rFonts w:ascii="Calibri" w:eastAsia="Times New Roman" w:hAnsi="Calibri" w:cs="Calibri"/>
          <w:color w:val="000000"/>
          <w:lang w:eastAsia="en-GB"/>
        </w:rPr>
        <w:fldChar w:fldCharType="end"/>
      </w:r>
      <w:r w:rsidR="00F67021" w:rsidRPr="00CF06CA">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a </w:t>
      </w:r>
      <w:r w:rsidR="00F67021" w:rsidRPr="00CF06CA">
        <w:rPr>
          <w:rFonts w:ascii="Calibri" w:eastAsia="Times New Roman" w:hAnsi="Calibri" w:cs="Calibri"/>
          <w:color w:val="000000"/>
          <w:lang w:eastAsia="en-GB"/>
        </w:rPr>
        <w:t>customised</w:t>
      </w:r>
      <w:r w:rsidR="00F67021">
        <w:rPr>
          <w:rFonts w:ascii="Calibri" w:eastAsia="Times New Roman" w:hAnsi="Calibri" w:cs="Calibri"/>
          <w:color w:val="000000"/>
          <w:lang w:eastAsia="en-GB"/>
        </w:rPr>
        <w:t xml:space="preserve"> implementation of spatially constrained convolution neural networks</w:t>
      </w:r>
      <w:r w:rsidR="00F67021">
        <w:rPr>
          <w:rFonts w:ascii="Calibri" w:eastAsia="Times New Roman" w:hAnsi="Calibri" w:cs="Calibri"/>
          <w:color w:val="000000"/>
          <w:lang w:eastAsia="en-GB"/>
        </w:rPr>
        <w:fldChar w:fldCharType="begin"/>
      </w:r>
      <w:r>
        <w:rPr>
          <w:rFonts w:ascii="Calibri" w:eastAsia="Times New Roman" w:hAnsi="Calibri" w:cs="Calibri"/>
          <w:color w:val="000000"/>
          <w:lang w:eastAsia="en-GB"/>
        </w:rPr>
        <w:instrText xml:space="preserve"> ADDIN ZOTERO_ITEM CSL_CITATION {"citationID":"IMi3pFQJ","properties":{"formattedCitation":"(4)","plainCitation":"(4)","noteIndex":0},"citationItems":[{"id":356,"uris":["http://zotero.org/users/5058104/items/QSU9LMJU"],"uri":["http://zotero.org/users/5058104/items/QSU9LMJU"],"itemData":{"id":356,"type":"article-journal","abstract":"Detection and classification of cell nuclei in histopathology images of cancerous tissue stained with the standard hematoxylin and eosin stain is a challenging task due to cellular heterogeneity. Deep learning approaches have been shown to produce encouraging results on histopathology images in various studies. In this paper, we propose a Spatially Constrained Convolutional Neural Network (SC-CNN) to perform nucleus detection. SC-CNN regresses the likelihood of a pixel being the center of a nucleus, where high probability values are spatially constrained to locate in the vicinity of the centers of nuclei. For classification of nuclei, we propose a novel Neighboring Ensemble Predictor (NEP) coupled with CNN to more accurately predict the class label of detected cell nuclei. The proposed approaches for detection and classification do not require segmentation of nuclei. We have evaluated them on a large dataset of colorectal adenocarcinoma images, consisting of more than 20,000 annotated nuclei belonging to four different classes. Our results show that the joint detection and classification of the proposed SC-CNN and NEP produces the highest average F1 score as compared to other recently published approaches. Prospectively, the proposed methods could offer benefit to pathology practice in terms of quantitative analysis of tissue constituents in whole-slide images, and potentially lead to a better understanding of cancer.","container-title":"IEEE Transactions on Medical Imaging","DOI":"10.1109/TMI.2016.2525803","ISSN":"0278-0062","issue":"5","page":"1196-1206","source":"IEEE Xplore","title":"Locality Sensitive Deep Learning for Detection and Classification of Nuclei in Routine Colon Cancer Histology Images","volume":"35","author":[{"family":"Sirinukunwattana","given":"K."},{"family":"Raza","given":"S. E. A."},{"family":"Tsang","given":"Y."},{"family":"Snead","given":"D. R. J."},{"family":"Cree","given":"I. A."},{"family":"Rajpoot","given":"N. M."}],"issued":{"date-parts":[["2016",5]]}}}],"schema":"https://github.com/citation-style-language/schema/raw/master/csl-citation.json"} </w:instrText>
      </w:r>
      <w:r w:rsidR="00F67021">
        <w:rPr>
          <w:rFonts w:ascii="Calibri" w:eastAsia="Times New Roman" w:hAnsi="Calibri" w:cs="Calibri"/>
          <w:color w:val="000000"/>
          <w:lang w:eastAsia="en-GB"/>
        </w:rPr>
        <w:fldChar w:fldCharType="separate"/>
      </w:r>
      <w:r>
        <w:rPr>
          <w:rFonts w:ascii="Calibri" w:hAnsi="Calibri" w:cs="Calibri"/>
          <w:color w:val="000000"/>
        </w:rPr>
        <w:t>(4)</w:t>
      </w:r>
      <w:r w:rsidR="00F67021">
        <w:rPr>
          <w:rFonts w:ascii="Calibri" w:eastAsia="Times New Roman" w:hAnsi="Calibri" w:cs="Calibri"/>
          <w:color w:val="000000"/>
          <w:lang w:eastAsia="en-GB"/>
        </w:rPr>
        <w:fldChar w:fldCharType="end"/>
      </w:r>
      <w:r w:rsidR="00F67021">
        <w:rPr>
          <w:rFonts w:ascii="Calibri" w:eastAsia="Times New Roman" w:hAnsi="Calibri" w:cs="Calibri"/>
          <w:color w:val="000000"/>
          <w:lang w:eastAsia="en-GB"/>
        </w:rPr>
        <w:t xml:space="preserve"> for TensorFlow </w:t>
      </w:r>
      <w:r>
        <w:rPr>
          <w:rFonts w:ascii="Calibri" w:eastAsia="Times New Roman" w:hAnsi="Calibri" w:cs="Calibri"/>
          <w:color w:val="000000"/>
          <w:lang w:eastAsia="en-GB"/>
        </w:rPr>
        <w:t>was</w:t>
      </w:r>
      <w:r w:rsidR="00F67021">
        <w:rPr>
          <w:rFonts w:ascii="Calibri" w:eastAsia="Times New Roman" w:hAnsi="Calibri" w:cs="Calibri"/>
          <w:color w:val="000000"/>
          <w:lang w:eastAsia="en-GB"/>
        </w:rPr>
        <w:t xml:space="preserve"> used for the single cell classification and detection tasks. The </w:t>
      </w:r>
      <w:r w:rsidR="00F67021">
        <w:rPr>
          <w:rFonts w:ascii="Calibri" w:eastAsia="Times New Roman" w:hAnsi="Calibri" w:cs="Calibri"/>
          <w:color w:val="000000"/>
          <w:lang w:eastAsia="en-GB"/>
        </w:rPr>
        <w:lastRenderedPageBreak/>
        <w:t xml:space="preserve">deep learning pipeline was validated using </w:t>
      </w:r>
      <w:r w:rsidR="00F67021" w:rsidRPr="00220F9D">
        <w:rPr>
          <w:rFonts w:ascii="Calibri" w:eastAsia="Times New Roman" w:hAnsi="Calibri" w:cs="Calibri"/>
          <w:color w:val="000000"/>
          <w:lang w:eastAsia="en-GB"/>
        </w:rPr>
        <w:t>5,951</w:t>
      </w:r>
      <w:r w:rsidR="00F67021">
        <w:t xml:space="preserve"> </w:t>
      </w:r>
      <w:r w:rsidR="00F67021">
        <w:rPr>
          <w:rFonts w:ascii="Calibri" w:eastAsia="Times New Roman" w:hAnsi="Calibri" w:cs="Calibri"/>
          <w:color w:val="000000"/>
          <w:lang w:eastAsia="en-GB"/>
        </w:rPr>
        <w:t>pathological</w:t>
      </w:r>
      <w:r w:rsidR="00F67021" w:rsidRPr="00613798">
        <w:rPr>
          <w:rFonts w:ascii="Calibri" w:eastAsia="Times New Roman" w:hAnsi="Calibri" w:cs="Calibri"/>
          <w:color w:val="000000"/>
          <w:lang w:eastAsia="en-GB"/>
        </w:rPr>
        <w:t xml:space="preserve"> annotation</w:t>
      </w:r>
      <w:r w:rsidR="00F67021">
        <w:rPr>
          <w:rFonts w:ascii="Calibri" w:eastAsia="Times New Roman" w:hAnsi="Calibri" w:cs="Calibri"/>
          <w:color w:val="000000"/>
          <w:lang w:eastAsia="en-GB"/>
        </w:rPr>
        <w:t xml:space="preserve">s within </w:t>
      </w:r>
      <w:proofErr w:type="spellStart"/>
      <w:r w:rsidR="00F67021">
        <w:rPr>
          <w:rFonts w:ascii="Calibri" w:eastAsia="Times New Roman" w:hAnsi="Calibri" w:cs="Calibri"/>
          <w:color w:val="000000"/>
          <w:lang w:eastAsia="en-GB"/>
        </w:rPr>
        <w:t>TRACERx</w:t>
      </w:r>
      <w:proofErr w:type="spellEnd"/>
      <w:r>
        <w:rPr>
          <w:rFonts w:ascii="Calibri" w:eastAsia="Times New Roman" w:hAnsi="Calibri" w:cs="Calibri"/>
          <w:color w:val="000000"/>
          <w:lang w:eastAsia="en-GB"/>
        </w:rPr>
        <w:t xml:space="preserve">, and to support its </w:t>
      </w:r>
      <w:r w:rsidRPr="00DE5CB0">
        <w:rPr>
          <w:rFonts w:ascii="Calibri" w:eastAsia="Times New Roman" w:hAnsi="Calibri" w:cs="Calibri"/>
          <w:color w:val="000000"/>
          <w:lang w:eastAsia="en-GB"/>
        </w:rPr>
        <w:t>generalizability</w:t>
      </w:r>
      <w:r>
        <w:rPr>
          <w:rFonts w:ascii="Calibri" w:eastAsia="Times New Roman" w:hAnsi="Calibri" w:cs="Calibri"/>
          <w:color w:val="000000"/>
          <w:lang w:eastAsia="en-GB"/>
        </w:rPr>
        <w:t>,</w:t>
      </w:r>
      <w:r w:rsidR="00F67021">
        <w:rPr>
          <w:rFonts w:ascii="Calibri" w:eastAsia="Times New Roman" w:hAnsi="Calibri" w:cs="Calibri"/>
          <w:color w:val="000000"/>
          <w:lang w:eastAsia="en-GB"/>
        </w:rPr>
        <w:t xml:space="preserve"> </w:t>
      </w:r>
      <w:r w:rsidR="00F67021" w:rsidRPr="00B93356">
        <w:rPr>
          <w:rFonts w:ascii="Calibri" w:eastAsia="Times New Roman" w:hAnsi="Calibri" w:cs="Calibri"/>
          <w:color w:val="000000"/>
          <w:lang w:eastAsia="en-GB"/>
        </w:rPr>
        <w:t xml:space="preserve">5,082 </w:t>
      </w:r>
      <w:r w:rsidR="00F67021">
        <w:rPr>
          <w:rFonts w:ascii="Calibri" w:eastAsia="Times New Roman" w:hAnsi="Calibri" w:cs="Calibri"/>
          <w:color w:val="000000"/>
          <w:lang w:eastAsia="en-GB"/>
        </w:rPr>
        <w:t>annotations collected externally on an independent cohort</w:t>
      </w:r>
      <w:r>
        <w:rPr>
          <w:rFonts w:ascii="Calibri" w:eastAsia="Times New Roman" w:hAnsi="Calibri" w:cs="Calibri"/>
          <w:color w:val="000000"/>
          <w:lang w:eastAsia="en-GB"/>
        </w:rPr>
        <w:t xml:space="preserve">, </w:t>
      </w:r>
      <w:r w:rsidR="00F67021">
        <w:rPr>
          <w:rFonts w:ascii="Calibri" w:eastAsia="Times New Roman" w:hAnsi="Calibri" w:cs="Calibri"/>
          <w:color w:val="000000"/>
          <w:lang w:eastAsia="en-GB"/>
        </w:rPr>
        <w:t xml:space="preserve">the </w:t>
      </w:r>
      <w:proofErr w:type="spellStart"/>
      <w:r w:rsidR="00F67021">
        <w:rPr>
          <w:rFonts w:ascii="Calibri" w:eastAsia="Times New Roman" w:hAnsi="Calibri" w:cs="Calibri"/>
          <w:color w:val="000000"/>
          <w:lang w:eastAsia="en-GB"/>
        </w:rPr>
        <w:t>LATTICe</w:t>
      </w:r>
      <w:proofErr w:type="spellEnd"/>
      <w:r w:rsidR="00F67021">
        <w:rPr>
          <w:rFonts w:ascii="Calibri" w:eastAsia="Times New Roman" w:hAnsi="Calibri" w:cs="Calibri"/>
          <w:color w:val="000000"/>
          <w:lang w:eastAsia="en-GB"/>
        </w:rPr>
        <w:t>-A study</w:t>
      </w:r>
      <w:r w:rsidR="00F67021">
        <w:rPr>
          <w:rFonts w:ascii="Calibri" w:eastAsia="Times New Roman" w:hAnsi="Calibri" w:cs="Calibri"/>
          <w:color w:val="000000"/>
          <w:lang w:eastAsia="en-GB"/>
        </w:rPr>
        <w:fldChar w:fldCharType="begin"/>
      </w:r>
      <w:r>
        <w:rPr>
          <w:rFonts w:ascii="Calibri" w:eastAsia="Times New Roman" w:hAnsi="Calibri" w:cs="Calibri"/>
          <w:color w:val="000000"/>
          <w:lang w:eastAsia="en-GB"/>
        </w:rPr>
        <w:instrText xml:space="preserve"> ADDIN ZOTERO_ITEM CSL_CITATION {"citationID":"0SIyCcIu","properties":{"formattedCitation":"(5)","plainCitation":"(5)","noteIndex":0},"citationItems":[{"id":357,"uris":["http://zotero.org/users/5058104/items/4WLHKR9Q"],"uri":["http://zotero.org/users/5058104/items/4WLHKR9Q"],"itemData":{"id":357,"type":"article-journal","abstract":"The switch from in situ to invasive tumor growth represents a crucial stage in the evolution of lung adenocarcinoma. However, the biological understanding of this shift is limited, and ‘Noguchi Type C’ tumors, being early lung adenocarcinomas with mixed in situ and invasive growth, represent those that are highly valuable in advancing our understanding of this process. All Noguchi Type C adenocarcinomas (n = 110) from the LATTICE-A cohort were reviewed and two patterns of in situ tumor growth were identified: those deemed likely to represent a true shift from precursor in situ to invasive disease (‘Noguchi C1’) and those in which the lepidic component appeared to represent outgrowth of the invasive tumor along existing airspaces (‘Noguchi C2’). Overall Ki67 fraction was greater in C2 tumors and only C1 tumors showed significant increasing Ki67 from in situ to invasive disease. P53 positivity was acquired from in situ to invasive disease in C1 tumors but both components were positive in C2 tumors. Likewise, vimentin expression was increased from in situ to invasive tumor in C1 tumors only. Targeted next generation sequencing of 18 C1 tumors identified four mutations private to the invasive regions, including two in TP53, while 6 C2 tumors showed no private mutations. In the full LATTICe-A cohort, Ki67 fraction classified as either less than or greater than 10% within the in situ component of lung adenocarcinoma was identified as a strong predictor of patient outcome. This supports the proposition that tumors of all stages that have ‘high grade’ in situ components represent those with aggressive lepidic growth of the invasive clone. Overall these data support that the combined growth of Noguchi C tumors can represent two differing biological states and that ‘Noguchi C1’ tumors represent the genuine biological shift from in situ to invasive disease.","container-title":"Modern Pathology","DOI":"10.1038/s41379-019-0257-1","ISSN":"1530-0285","language":"En","page":"1","source":"www.nature.com","title":"In situ growth in early lung adenocarcinoma may represent precursor growth or invasive clone outgrowth—a clinically relevant distinction","author":[{"family":"Moore","given":"David Allan"},{"family":"Sereno","given":"Marco"},{"family":"Das","given":"Madhumita"},{"family":"Acevedo","given":"Juvenal Dario Baena"},{"family":"Sinnadurai","given":"Samantha"},{"family":"Smith","given":"Claire"},{"family":"McSweeney","given":"Abi"},{"family":"Su","given":"Xiaoyu"},{"family":"Officer","given":"Leah"},{"family":"Jones","given":"Carolyn"},{"family":"Dudek","given":"Kate"},{"family":"Guttery","given":"David"},{"family":"Taniere","given":"Phillipe"},{"family":"Spriggs","given":"Ruth V."},{"family":"Quesne","given":"John Le"}],"issued":{"date-parts":[["2019",4,1]]}}}],"schema":"https://github.com/citation-style-language/schema/raw/master/csl-citation.json"} </w:instrText>
      </w:r>
      <w:r w:rsidR="00F67021">
        <w:rPr>
          <w:rFonts w:ascii="Calibri" w:eastAsia="Times New Roman" w:hAnsi="Calibri" w:cs="Calibri"/>
          <w:color w:val="000000"/>
          <w:lang w:eastAsia="en-GB"/>
        </w:rPr>
        <w:fldChar w:fldCharType="separate"/>
      </w:r>
      <w:r>
        <w:rPr>
          <w:rFonts w:ascii="Calibri" w:hAnsi="Calibri" w:cs="Calibri"/>
          <w:color w:val="000000"/>
        </w:rPr>
        <w:t>(5)</w:t>
      </w:r>
      <w:r w:rsidR="00F67021">
        <w:rPr>
          <w:rFonts w:ascii="Calibri" w:eastAsia="Times New Roman" w:hAnsi="Calibri" w:cs="Calibri"/>
          <w:color w:val="000000"/>
          <w:lang w:eastAsia="en-GB"/>
        </w:rPr>
        <w:fldChar w:fldCharType="end"/>
      </w:r>
      <w:r w:rsidR="00F67021">
        <w:rPr>
          <w:rFonts w:ascii="Calibri" w:eastAsia="Times New Roman" w:hAnsi="Calibri" w:cs="Calibri"/>
          <w:color w:val="000000"/>
          <w:lang w:eastAsia="en-GB"/>
        </w:rPr>
        <w:t xml:space="preserve">. Biological validation of this </w:t>
      </w:r>
      <w:r>
        <w:rPr>
          <w:rFonts w:ascii="Calibri" w:eastAsia="Times New Roman" w:hAnsi="Calibri" w:cs="Calibri"/>
          <w:color w:val="000000"/>
          <w:lang w:eastAsia="en-GB"/>
        </w:rPr>
        <w:t>pipeline</w:t>
      </w:r>
      <w:r w:rsidR="00F67021">
        <w:rPr>
          <w:rFonts w:ascii="Calibri" w:eastAsia="Times New Roman" w:hAnsi="Calibri" w:cs="Calibri"/>
          <w:color w:val="000000"/>
          <w:lang w:eastAsia="en-GB"/>
        </w:rPr>
        <w:t xml:space="preserve"> against immunohistochemistry data </w:t>
      </w:r>
      <w:r>
        <w:rPr>
          <w:rFonts w:ascii="Calibri" w:eastAsia="Times New Roman" w:hAnsi="Calibri" w:cs="Calibri"/>
          <w:color w:val="000000"/>
          <w:lang w:eastAsia="en-GB"/>
        </w:rPr>
        <w:t xml:space="preserve">for the identification of cancer, lymphocyte and stromal cells </w:t>
      </w:r>
      <w:r w:rsidR="00F67021">
        <w:rPr>
          <w:rFonts w:ascii="Calibri" w:eastAsia="Times New Roman" w:hAnsi="Calibri" w:cs="Calibri"/>
          <w:color w:val="000000"/>
          <w:lang w:eastAsia="en-GB"/>
        </w:rPr>
        <w:t>has been previously described</w:t>
      </w:r>
      <w:r>
        <w:rPr>
          <w:rFonts w:ascii="Calibri" w:eastAsia="Times New Roman" w:hAnsi="Calibri" w:cs="Calibri"/>
          <w:color w:val="000000"/>
          <w:lang w:eastAsia="en-GB"/>
        </w:rPr>
        <w:fldChar w:fldCharType="begin"/>
      </w:r>
      <w:r>
        <w:rPr>
          <w:rFonts w:ascii="Calibri" w:eastAsia="Times New Roman" w:hAnsi="Calibri" w:cs="Calibri"/>
          <w:color w:val="000000"/>
          <w:lang w:eastAsia="en-GB"/>
        </w:rPr>
        <w:instrText xml:space="preserve"> ADDIN ZOTERO_ITEM CSL_CITATION {"citationID":"qBM31KEe","properties":{"formattedCitation":"(2)","plainCitation":"(2)","noteIndex":0},"citationItems":[{"id":853,"uris":["http://zotero.org/users/5058104/items/EXPL3QDQ"],"uri":["http://zotero.org/users/5058104/items/EXPL3QDQ"],"itemData":{"id":853,"type":"article-journal","container-title":"Nature Medicine (accepted for publication)","DOI":"10.1038/s41591-020-0900-x","title":"Geospatial immune variability illuminates differential evolution of lung adenocarcinoma.","author":[{"literal":"AbdulJabbar, K"}],"issued":{"date-parts":[["2020"]]}}}],"schema":"https://github.com/citation-style-language/schema/raw/master/csl-citation.json"} </w:instrText>
      </w:r>
      <w:r>
        <w:rPr>
          <w:rFonts w:ascii="Calibri" w:eastAsia="Times New Roman" w:hAnsi="Calibri" w:cs="Calibri"/>
          <w:color w:val="000000"/>
          <w:lang w:eastAsia="en-GB"/>
        </w:rPr>
        <w:fldChar w:fldCharType="separate"/>
      </w:r>
      <w:r>
        <w:rPr>
          <w:rFonts w:ascii="Calibri" w:eastAsia="Times New Roman" w:hAnsi="Calibri" w:cs="Calibri"/>
          <w:noProof/>
          <w:color w:val="000000"/>
          <w:lang w:eastAsia="en-GB"/>
        </w:rPr>
        <w:t>(2)</w:t>
      </w:r>
      <w:r>
        <w:rPr>
          <w:rFonts w:ascii="Calibri" w:eastAsia="Times New Roman" w:hAnsi="Calibri" w:cs="Calibri"/>
          <w:color w:val="000000"/>
          <w:lang w:eastAsia="en-GB"/>
        </w:rPr>
        <w:fldChar w:fldCharType="end"/>
      </w:r>
      <w:r w:rsidR="00F67021">
        <w:rPr>
          <w:rFonts w:ascii="Calibri" w:eastAsia="Times New Roman" w:hAnsi="Calibri" w:cs="Calibri"/>
          <w:color w:val="000000"/>
          <w:lang w:eastAsia="en-GB"/>
        </w:rPr>
        <w:t xml:space="preserve">. </w:t>
      </w:r>
    </w:p>
    <w:p w14:paraId="4E40F997" w14:textId="77777777" w:rsidR="00F67021" w:rsidRPr="009F44F3" w:rsidRDefault="00F67021" w:rsidP="00F67021">
      <w:pPr>
        <w:spacing w:line="360" w:lineRule="auto"/>
        <w:jc w:val="both"/>
        <w:rPr>
          <w:rFonts w:ascii="Calibri" w:eastAsia="Times New Roman" w:hAnsi="Calibri" w:cs="Calibri"/>
          <w:color w:val="000000"/>
          <w:lang w:eastAsia="en-GB"/>
        </w:rPr>
      </w:pPr>
    </w:p>
    <w:p w14:paraId="2DB3E535" w14:textId="77777777" w:rsidR="00F67021" w:rsidRPr="00C415A9" w:rsidRDefault="00F67021" w:rsidP="00F67021">
      <w:pPr>
        <w:spacing w:line="480" w:lineRule="auto"/>
        <w:jc w:val="both"/>
        <w:rPr>
          <w:b/>
        </w:rPr>
      </w:pPr>
      <w:r w:rsidRPr="00C415A9">
        <w:rPr>
          <w:b/>
        </w:rPr>
        <w:t>IHC</w:t>
      </w:r>
    </w:p>
    <w:p w14:paraId="696CE370" w14:textId="39736847" w:rsidR="00F67021" w:rsidRDefault="00F67021" w:rsidP="00F67021">
      <w:pPr>
        <w:spacing w:line="480" w:lineRule="auto"/>
        <w:jc w:val="both"/>
        <w:rPr>
          <w:lang w:val="en-US"/>
        </w:rPr>
      </w:pPr>
      <w:r w:rsidRPr="00A823A3">
        <w:t>2-5</w:t>
      </w:r>
      <w:r w:rsidRPr="00A823A3">
        <w:sym w:font="Symbol" w:char="F06D"/>
      </w:r>
      <w:r w:rsidRPr="00A823A3">
        <w:t>m tissue sections were cut and transferred onto poly-l-lysine–coated slides, dewaxed in two changes of xylene and rehydrated in a series of graded alcohols</w:t>
      </w:r>
      <w:r w:rsidRPr="00A823A3">
        <w:rPr>
          <w:lang w:val="en-US"/>
        </w:rPr>
        <w:t xml:space="preserve">. Details of the primary </w:t>
      </w:r>
      <w:r>
        <w:rPr>
          <w:lang w:val="en-US"/>
        </w:rPr>
        <w:t xml:space="preserve">antibodies </w:t>
      </w:r>
      <w:r w:rsidRPr="00A823A3">
        <w:rPr>
          <w:lang w:val="en-US"/>
        </w:rPr>
        <w:t xml:space="preserve">used </w:t>
      </w:r>
      <w:r>
        <w:rPr>
          <w:lang w:val="en-US"/>
        </w:rPr>
        <w:t>are as follows:</w:t>
      </w:r>
      <w:r w:rsidRPr="00A823A3">
        <w:rPr>
          <w:lang w:val="en-US"/>
        </w:rPr>
        <w:t xml:space="preserve"> </w:t>
      </w:r>
    </w:p>
    <w:p w14:paraId="115E40F1" w14:textId="19DD0434" w:rsidR="00F67021" w:rsidRPr="005A78A9" w:rsidRDefault="00F67021" w:rsidP="005A78A9">
      <w:pPr>
        <w:pStyle w:val="ListParagraph"/>
        <w:numPr>
          <w:ilvl w:val="0"/>
          <w:numId w:val="2"/>
        </w:numPr>
        <w:spacing w:line="480" w:lineRule="auto"/>
        <w:jc w:val="both"/>
      </w:pPr>
      <w:r>
        <w:rPr>
          <w:lang w:val="en-US"/>
        </w:rPr>
        <w:t xml:space="preserve">SP35: Anti-CD4 Rabbit monoclonal antibody from </w:t>
      </w:r>
      <w:r w:rsidR="005A78A9" w:rsidRPr="005A78A9">
        <w:t>Abcam Plc, Cambridge</w:t>
      </w:r>
      <w:r w:rsidR="005A78A9">
        <w:t>,</w:t>
      </w:r>
      <w:r w:rsidR="005A78A9" w:rsidRPr="005A78A9">
        <w:t xml:space="preserve"> UK</w:t>
      </w:r>
      <w:r w:rsidRPr="005A78A9">
        <w:rPr>
          <w:lang w:val="en-US"/>
        </w:rPr>
        <w:t>.</w:t>
      </w:r>
    </w:p>
    <w:p w14:paraId="67EE1DB0" w14:textId="0AD51253" w:rsidR="00F67021" w:rsidRPr="005A78A9" w:rsidRDefault="00F67021" w:rsidP="005A78A9">
      <w:pPr>
        <w:pStyle w:val="ListParagraph"/>
        <w:numPr>
          <w:ilvl w:val="0"/>
          <w:numId w:val="2"/>
        </w:numPr>
        <w:spacing w:line="480" w:lineRule="auto"/>
        <w:jc w:val="both"/>
      </w:pPr>
      <w:r>
        <w:rPr>
          <w:lang w:val="en-US"/>
        </w:rPr>
        <w:t>SP239: Anti-CD8 Rabbit monoclonal antibody from</w:t>
      </w:r>
      <w:r w:rsidR="005A78A9" w:rsidRPr="005A78A9">
        <w:rPr>
          <w:rFonts w:ascii="Arial" w:eastAsia="Times New Roman" w:hAnsi="Arial" w:cs="Arial"/>
          <w:color w:val="1B2733"/>
          <w:sz w:val="21"/>
          <w:szCs w:val="21"/>
          <w:shd w:val="clear" w:color="auto" w:fill="FFFFFF"/>
          <w:lang w:eastAsia="en-GB"/>
        </w:rPr>
        <w:t xml:space="preserve"> </w:t>
      </w:r>
      <w:r w:rsidR="005A78A9" w:rsidRPr="005A78A9">
        <w:t>Abcam Plc, Cambridge</w:t>
      </w:r>
      <w:r w:rsidR="005A78A9">
        <w:t>,</w:t>
      </w:r>
      <w:r w:rsidR="005A78A9" w:rsidRPr="005A78A9">
        <w:t xml:space="preserve"> UK</w:t>
      </w:r>
      <w:r w:rsidRPr="005A78A9">
        <w:rPr>
          <w:lang w:val="en-US"/>
        </w:rPr>
        <w:t>.</w:t>
      </w:r>
    </w:p>
    <w:p w14:paraId="34F5D55C" w14:textId="0D0D3222" w:rsidR="00F67021" w:rsidRPr="00F35F96" w:rsidRDefault="00F67021" w:rsidP="00F67021">
      <w:pPr>
        <w:pStyle w:val="ListParagraph"/>
        <w:numPr>
          <w:ilvl w:val="0"/>
          <w:numId w:val="2"/>
        </w:numPr>
        <w:spacing w:line="480" w:lineRule="auto"/>
        <w:jc w:val="both"/>
        <w:rPr>
          <w:rFonts w:cstheme="minorHAnsi"/>
        </w:rPr>
      </w:pPr>
      <w:r w:rsidRPr="009D24D0">
        <w:rPr>
          <w:rFonts w:cstheme="minorHAnsi"/>
          <w:lang w:val="en-US"/>
        </w:rPr>
        <w:t xml:space="preserve">236A/E7: Anti-FOXP3 Mouse antibody, </w:t>
      </w:r>
      <w:r w:rsidRPr="009D24D0">
        <w:rPr>
          <w:rFonts w:cstheme="minorHAnsi"/>
        </w:rPr>
        <w:t xml:space="preserve">Kind gift from Dr G </w:t>
      </w:r>
      <w:proofErr w:type="spellStart"/>
      <w:r w:rsidRPr="009D24D0">
        <w:rPr>
          <w:rFonts w:cstheme="minorHAnsi"/>
        </w:rPr>
        <w:t>Roncador</w:t>
      </w:r>
      <w:proofErr w:type="spellEnd"/>
      <w:r w:rsidRPr="009D24D0">
        <w:rPr>
          <w:rFonts w:cstheme="minorHAnsi"/>
        </w:rPr>
        <w:t>, CNIO, Madrid (Spain)</w:t>
      </w:r>
      <w:r w:rsidRPr="00F35F96">
        <w:rPr>
          <w:rFonts w:cstheme="minorHAnsi"/>
        </w:rPr>
        <w:t>.</w:t>
      </w:r>
    </w:p>
    <w:p w14:paraId="4B930339" w14:textId="77777777" w:rsidR="00D5312D" w:rsidRPr="00DC67C8" w:rsidRDefault="00D5312D" w:rsidP="00F67021">
      <w:pPr>
        <w:pStyle w:val="ListParagraph"/>
        <w:numPr>
          <w:ilvl w:val="0"/>
          <w:numId w:val="2"/>
        </w:numPr>
        <w:spacing w:line="480" w:lineRule="auto"/>
        <w:jc w:val="both"/>
        <w:rPr>
          <w:rFonts w:cstheme="minorHAnsi"/>
        </w:rPr>
      </w:pPr>
      <w:r w:rsidRPr="00DC67C8">
        <w:rPr>
          <w:rFonts w:cstheme="minorHAnsi"/>
          <w:color w:val="000000"/>
          <w:lang w:val="en-US"/>
        </w:rPr>
        <w:t xml:space="preserve">Anti-4-1BBL (Cat No: ab223160) </w:t>
      </w:r>
    </w:p>
    <w:p w14:paraId="46A34D52" w14:textId="1B744470" w:rsidR="00D5312D" w:rsidRPr="00DC67C8" w:rsidRDefault="00D5312D" w:rsidP="00F67021">
      <w:pPr>
        <w:pStyle w:val="ListParagraph"/>
        <w:numPr>
          <w:ilvl w:val="0"/>
          <w:numId w:val="2"/>
        </w:numPr>
        <w:spacing w:line="480" w:lineRule="auto"/>
        <w:jc w:val="both"/>
        <w:rPr>
          <w:rFonts w:cstheme="minorHAnsi"/>
        </w:rPr>
      </w:pPr>
      <w:r w:rsidRPr="00DC67C8">
        <w:rPr>
          <w:rFonts w:cstheme="minorHAnsi"/>
          <w:color w:val="000000"/>
          <w:lang w:val="en-US"/>
        </w:rPr>
        <w:t>Anti -CCL27/CTACK (Cat No: MAB376)</w:t>
      </w:r>
    </w:p>
    <w:p w14:paraId="4E48EF75" w14:textId="56722B97" w:rsidR="00D5312D" w:rsidRPr="009D24D0" w:rsidRDefault="00D5312D" w:rsidP="00D5312D">
      <w:pPr>
        <w:pStyle w:val="ListParagraph"/>
        <w:numPr>
          <w:ilvl w:val="0"/>
          <w:numId w:val="2"/>
        </w:numPr>
        <w:spacing w:line="480" w:lineRule="auto"/>
        <w:jc w:val="both"/>
        <w:rPr>
          <w:rFonts w:cstheme="minorHAnsi"/>
        </w:rPr>
      </w:pPr>
      <w:r w:rsidRPr="00DC67C8">
        <w:rPr>
          <w:rFonts w:cstheme="minorHAnsi"/>
          <w:color w:val="000000"/>
          <w:lang w:val="en-US"/>
        </w:rPr>
        <w:t xml:space="preserve">Anti-GPR2/CCR10 (Cat No: ab3904) </w:t>
      </w:r>
    </w:p>
    <w:p w14:paraId="5606FDE4" w14:textId="02F0CA96" w:rsidR="00F67021" w:rsidRPr="00A823A3" w:rsidRDefault="00F67021" w:rsidP="00F67021">
      <w:pPr>
        <w:spacing w:line="480" w:lineRule="auto"/>
        <w:jc w:val="both"/>
        <w:rPr>
          <w:b/>
        </w:rPr>
      </w:pPr>
      <w:r w:rsidRPr="00A823A3">
        <w:t xml:space="preserve">Single immunohistochemistry was carried out using the automated platforms </w:t>
      </w:r>
      <w:proofErr w:type="spellStart"/>
      <w:r w:rsidRPr="00A823A3">
        <w:t>BenchMark</w:t>
      </w:r>
      <w:proofErr w:type="spellEnd"/>
      <w:r w:rsidRPr="00A823A3">
        <w:t xml:space="preserve"> Ultra (Ventana/Roche) and the Bond-III </w:t>
      </w:r>
      <w:proofErr w:type="spellStart"/>
      <w:r w:rsidRPr="00A823A3">
        <w:t>Autostainer</w:t>
      </w:r>
      <w:proofErr w:type="spellEnd"/>
      <w:r w:rsidRPr="00A823A3">
        <w:t xml:space="preserve"> (Leica Microsystems) according to a protocol described elsewhere</w:t>
      </w:r>
      <w:r>
        <w:fldChar w:fldCharType="begin"/>
      </w:r>
      <w:r w:rsidR="00CF06CA">
        <w:instrText xml:space="preserve"> ADDIN ZOTERO_ITEM CSL_CITATION {"citationID":"eGZYhISw","properties":{"formattedCitation":"(6,7)","plainCitation":"(6,7)","noteIndex":0},"citationItems":[{"id":352,"uris":["http://zotero.org/users/5058104/items/58SB85R2"],"uri":["http://zotero.org/users/5058104/items/58SB85R2"],"itemData":{"id":352,"type":"article-journal","container-title":"British Journal of Haematology","DOI":"10.1111/bjh.12429","ISSN":"1365-2141","issue":"6","journalAbbreviation":"Br. J. Haematol.","language":"eng","note":"PMID: 23848818","page":"848-851","source":"PubMed","title":"BRAF V600E mutation-specific antibody, a sensitive diagnostic marker revealing minimal residual disease in hairy cell leukaemia","volume":"162","author":[{"family":"Akarca","given":"Ayse U."},{"family":"Shende","given":"Vishvesh H."},{"family":"Ramsay","given":"Alan D."},{"family":"Diss","given":"Tim"},{"family":"Pane-Foix","given":"Maria"},{"family":"Rizvi","given":"Hasan"},{"family":"Calaminici","given":"Maria R."},{"family":"Grogan","given":"Thomas M."},{"family":"Linch","given":"David"},{"family":"Marafioti","given":"Teresa"}],"issued":{"date-parts":[["2013",9]]}}},{"id":351,"uris":["http://zotero.org/users/5058104/items/IU5SUJ37"],"uri":["http://zotero.org/users/5058104/items/IU5SUJ37"],"itemData":{"id":351,"type":"article-journal","abstract":"We describe large B cells, many of which have a stellate or dendritic morphology, found in the interfollicular T-cell-rich areas of human peripheral lymphoid tissue. These B cells probably require CD40/CD40 ligand signaling for their generation and have a unique phenotype and a post-germinal center pattern of immunoglobulin gene mutation. The only comparable B cell is the \"asteroid\" cell of the thymic medulla. Their anatomic location and pattern of gene mutation suggest that these cells may represent the cell of origin of some human large-cell lymphomas. Studies in experimental animals should help to elucidate the role of these cells in the immune response.","container-title":"Blood","DOI":"10.1182/blood-2003-03-0692","ISSN":"0006-4971","issue":"8","journalAbbreviation":"Blood","language":"eng","note":"PMID: 12829584","page":"2868-2876","source":"PubMed","title":"Phenotype and genotype of interfollicular large B cells, a subpopulation of lymphocytes often with dendritic morphology","volume":"102","author":[{"family":"Marafioti","given":"Teresa"},{"family":"Jones","given":"Margaret"},{"family":"Facchetti","given":"Fabio"},{"family":"Diss","given":"Tim C."},{"family":"Du","given":"Ming-Qing"},{"family":"Isaacson","given":"Peter G."},{"family":"Pozzobon","given":"Michela"},{"family":"Pileri","given":"Stefano A."},{"family":"Strickson","given":"Amanda J."},{"family":"Tan","given":"Soo-Yong"},{"family":"Watkins","given":"Fiona"},{"family":"Mason","given":"David Y."}],"issued":{"date-parts":[["2003",10,15]]}}}],"schema":"https://github.com/citation-style-language/schema/raw/master/csl-citation.json"} </w:instrText>
      </w:r>
      <w:r>
        <w:fldChar w:fldCharType="separate"/>
      </w:r>
      <w:r w:rsidR="00CF06CA">
        <w:rPr>
          <w:rFonts w:ascii="Calibri" w:cs="Calibri"/>
        </w:rPr>
        <w:t>(6,7)</w:t>
      </w:r>
      <w:r>
        <w:fldChar w:fldCharType="end"/>
      </w:r>
      <w:r w:rsidRPr="00A823A3">
        <w:t>. To establish optimal staining conditions (i.e. antibody dilution and incubation time, antigen retrieval protocols, suitable chromogen) each antibody was tested and optimized on sections of human reactive tonsil, used as positive control.</w:t>
      </w:r>
    </w:p>
    <w:p w14:paraId="6546FB01" w14:textId="17B5C0BC" w:rsidR="00F67021" w:rsidRDefault="00F67021" w:rsidP="00F67021">
      <w:pPr>
        <w:spacing w:line="480" w:lineRule="auto"/>
        <w:jc w:val="both"/>
      </w:pPr>
      <w:r w:rsidRPr="00A823A3">
        <w:t>Multiplex immunohistochemistry was carried out using a protocol described previously</w:t>
      </w:r>
      <w:r>
        <w:fldChar w:fldCharType="begin"/>
      </w:r>
      <w:r w:rsidR="00CF06CA">
        <w:instrText xml:space="preserve"> ADDIN ZOTERO_ITEM CSL_CITATION {"citationID":"aZZvZzZo","properties":{"formattedCitation":"(7)","plainCitation":"(7)","noteIndex":0},"citationItems":[{"id":351,"uris":["http://zotero.org/users/5058104/items/IU5SUJ37"],"uri":["http://zotero.org/users/5058104/items/IU5SUJ37"],"itemData":{"id":351,"type":"article-journal","abstract":"We describe large B cells, many of which have a stellate or dendritic morphology, found in the interfollicular T-cell-rich areas of human peripheral lymphoid tissue. These B cells probably require CD40/CD40 ligand signaling for their generation and have a unique phenotype and a post-germinal center pattern of immunoglobulin gene mutation. The only comparable B cell is the \"asteroid\" cell of the thymic medulla. Their anatomic location and pattern of gene mutation suggest that these cells may represent the cell of origin of some human large-cell lymphomas. Studies in experimental animals should help to elucidate the role of these cells in the immune response.","container-title":"Blood","DOI":"10.1182/blood-2003-03-0692","ISSN":"0006-4971","issue":"8","journalAbbreviation":"Blood","language":"eng","note":"PMID: 12829584","page":"2868-2876","source":"PubMed","title":"Phenotype and genotype of interfollicular large B cells, a subpopulation of lymphocytes often with dendritic morphology","volume":"102","author":[{"family":"Marafioti","given":"Teresa"},{"family":"Jones","given":"Margaret"},{"family":"Facchetti","given":"Fabio"},{"family":"Diss","given":"Tim C."},{"family":"Du","given":"Ming-Qing"},{"family":"Isaacson","given":"Peter G."},{"family":"Pozzobon","given":"Michela"},{"family":"Pileri","given":"Stefano A."},{"family":"Strickson","given":"Amanda J."},{"family":"Tan","given":"Soo-Yong"},{"family":"Watkins","given":"Fiona"},{"family":"Mason","given":"David Y."}],"issued":{"date-parts":[["2003",10,15]]}}}],"schema":"https://github.com/citation-style-language/schema/raw/master/csl-citation.json"} </w:instrText>
      </w:r>
      <w:r>
        <w:fldChar w:fldCharType="separate"/>
      </w:r>
      <w:r w:rsidR="00CF06CA">
        <w:rPr>
          <w:rFonts w:ascii="Calibri" w:cs="Calibri"/>
        </w:rPr>
        <w:t>(7)</w:t>
      </w:r>
      <w:r>
        <w:fldChar w:fldCharType="end"/>
      </w:r>
      <w:r w:rsidRPr="00A823A3">
        <w:t xml:space="preserve">. Co-expression of nuclear and cytoplasmic or membranous proteins was easy to detect, as the colour of the chromogens remained distinct. Specificity of the staining was assessed by a </w:t>
      </w:r>
      <w:proofErr w:type="spellStart"/>
      <w:r w:rsidRPr="00A823A3">
        <w:lastRenderedPageBreak/>
        <w:t>haematopathologist</w:t>
      </w:r>
      <w:proofErr w:type="spellEnd"/>
      <w:r w:rsidRPr="00A823A3">
        <w:t xml:space="preserve"> (TM) with expertise in multiplex-immunostaining. Slides were scanned using the Hamamatsu </w:t>
      </w:r>
      <w:proofErr w:type="spellStart"/>
      <w:r w:rsidRPr="00A823A3">
        <w:t>Nanozoomer</w:t>
      </w:r>
      <w:proofErr w:type="spellEnd"/>
      <w:r w:rsidRPr="00A823A3">
        <w:t xml:space="preserve"> digital scanner</w:t>
      </w:r>
      <w:r>
        <w:t xml:space="preserve"> as described above</w:t>
      </w:r>
      <w:r w:rsidRPr="00A823A3">
        <w:t>.</w:t>
      </w:r>
    </w:p>
    <w:p w14:paraId="6F1833C5" w14:textId="27E7FC78" w:rsidR="00F67021" w:rsidRDefault="00F67021" w:rsidP="00F67021">
      <w:pPr>
        <w:spacing w:line="480" w:lineRule="auto"/>
        <w:jc w:val="both"/>
        <w:rPr>
          <w:rFonts w:ascii="Calibri" w:hAnsi="Calibri"/>
          <w:color w:val="000000"/>
        </w:rPr>
      </w:pPr>
      <w:r>
        <w:tab/>
      </w:r>
      <w:r>
        <w:rPr>
          <w:rFonts w:ascii="Calibri" w:eastAsia="Times New Roman" w:hAnsi="Calibri" w:cs="Calibri"/>
          <w:color w:val="000000"/>
          <w:lang w:eastAsia="en-GB"/>
        </w:rPr>
        <w:t>For T cell subset quantification, a similar deep learning pipeline was used</w:t>
      </w:r>
      <w:r w:rsidR="00340F37">
        <w:rPr>
          <w:rFonts w:ascii="Calibri" w:eastAsia="Times New Roman" w:hAnsi="Calibri" w:cs="Calibri"/>
          <w:color w:val="000000"/>
          <w:lang w:eastAsia="en-GB"/>
        </w:rPr>
        <w:fldChar w:fldCharType="begin"/>
      </w:r>
      <w:r w:rsidR="00340F37">
        <w:rPr>
          <w:rFonts w:ascii="Calibri" w:eastAsia="Times New Roman" w:hAnsi="Calibri" w:cs="Calibri"/>
          <w:color w:val="000000"/>
          <w:lang w:eastAsia="en-GB"/>
        </w:rPr>
        <w:instrText xml:space="preserve"> ADDIN ZOTERO_ITEM CSL_CITATION {"citationID":"ZwALTmWt","properties":{"formattedCitation":"(2)","plainCitation":"(2)","noteIndex":0},"citationItems":[{"id":853,"uris":["http://zotero.org/users/5058104/items/EXPL3QDQ"],"uri":["http://zotero.org/users/5058104/items/EXPL3QDQ"],"itemData":{"id":853,"type":"article-journal","container-title":"Nature Medicine (accepted for publication)","DOI":"10.1038/s41591-020-0900-x","title":"Geospatial immune variability illuminates differential evolution of lung adenocarcinoma.","author":[{"literal":"AbdulJabbar, K"}],"issued":{"date-parts":[["2020"]]}}}],"schema":"https://github.com/citation-style-language/schema/raw/master/csl-citation.json"} </w:instrText>
      </w:r>
      <w:r w:rsidR="00340F37">
        <w:rPr>
          <w:rFonts w:ascii="Calibri" w:eastAsia="Times New Roman" w:hAnsi="Calibri" w:cs="Calibri"/>
          <w:color w:val="000000"/>
          <w:lang w:eastAsia="en-GB"/>
        </w:rPr>
        <w:fldChar w:fldCharType="separate"/>
      </w:r>
      <w:r w:rsidR="00340F37">
        <w:rPr>
          <w:rFonts w:ascii="Calibri" w:eastAsia="Times New Roman" w:hAnsi="Calibri" w:cs="Calibri"/>
          <w:noProof/>
          <w:color w:val="000000"/>
          <w:lang w:eastAsia="en-GB"/>
        </w:rPr>
        <w:t>(2)</w:t>
      </w:r>
      <w:r w:rsidR="00340F37">
        <w:rPr>
          <w:rFonts w:ascii="Calibri" w:eastAsia="Times New Roman" w:hAnsi="Calibri" w:cs="Calibri"/>
          <w:color w:val="000000"/>
          <w:lang w:eastAsia="en-GB"/>
        </w:rPr>
        <w:fldChar w:fldCharType="end"/>
      </w:r>
      <w:r>
        <w:rPr>
          <w:rFonts w:ascii="Calibri" w:eastAsia="Times New Roman" w:hAnsi="Calibri" w:cs="Calibri"/>
          <w:color w:val="000000"/>
          <w:lang w:eastAsia="en-GB"/>
        </w:rPr>
        <w:t xml:space="preserve">. The convolutional neural networks were trained on sample </w:t>
      </w:r>
      <w:proofErr w:type="spellStart"/>
      <w:r>
        <w:rPr>
          <w:rFonts w:ascii="Calibri" w:eastAsia="Times New Roman" w:hAnsi="Calibri" w:cs="Calibri"/>
          <w:color w:val="000000"/>
          <w:lang w:eastAsia="en-GB"/>
        </w:rPr>
        <w:t>TRACERx</w:t>
      </w:r>
      <w:proofErr w:type="spellEnd"/>
      <w:r>
        <w:rPr>
          <w:rFonts w:ascii="Calibri" w:eastAsia="Times New Roman" w:hAnsi="Calibri" w:cs="Calibri"/>
          <w:color w:val="000000"/>
          <w:lang w:eastAsia="en-GB"/>
        </w:rPr>
        <w:t xml:space="preserve"> IHC </w:t>
      </w:r>
      <w:r w:rsidRPr="00897EE6">
        <w:rPr>
          <w:rFonts w:ascii="Calibri" w:eastAsia="Times New Roman" w:hAnsi="Calibri" w:cs="Calibri"/>
          <w:color w:val="000000"/>
          <w:lang w:eastAsia="en-GB"/>
        </w:rPr>
        <w:t>CD4/CD8/FOXP3</w:t>
      </w:r>
      <w:r>
        <w:rPr>
          <w:rFonts w:ascii="Calibri" w:eastAsia="Times New Roman" w:hAnsi="Calibri" w:cs="Calibri"/>
          <w:color w:val="000000"/>
          <w:lang w:eastAsia="en-GB"/>
        </w:rPr>
        <w:t xml:space="preserve"> images using </w:t>
      </w:r>
      <w:r w:rsidRPr="006515C5">
        <w:rPr>
          <w:rFonts w:ascii="Calibri" w:eastAsia="Times New Roman" w:hAnsi="Calibri" w:cs="Calibri"/>
          <w:color w:val="000000"/>
          <w:lang w:eastAsia="en-GB"/>
        </w:rPr>
        <w:t>9</w:t>
      </w:r>
      <w:r>
        <w:rPr>
          <w:rFonts w:ascii="Calibri" w:eastAsia="Times New Roman" w:hAnsi="Calibri" w:cs="Calibri"/>
          <w:color w:val="000000"/>
          <w:lang w:eastAsia="en-GB"/>
        </w:rPr>
        <w:t>,</w:t>
      </w:r>
      <w:r w:rsidRPr="006515C5">
        <w:rPr>
          <w:rFonts w:ascii="Calibri" w:eastAsia="Times New Roman" w:hAnsi="Calibri" w:cs="Calibri"/>
          <w:color w:val="000000"/>
          <w:lang w:eastAsia="en-GB"/>
        </w:rPr>
        <w:t>333</w:t>
      </w:r>
      <w:r>
        <w:rPr>
          <w:rFonts w:ascii="Calibri" w:eastAsia="Times New Roman" w:hAnsi="Calibri" w:cs="Calibri"/>
          <w:color w:val="000000"/>
          <w:lang w:eastAsia="en-GB"/>
        </w:rPr>
        <w:t xml:space="preserve"> </w:t>
      </w:r>
      <w:r w:rsidR="00340F37" w:rsidRPr="006A104B">
        <w:rPr>
          <w:rFonts w:ascii="Calibri" w:eastAsia="Times New Roman" w:hAnsi="Calibri" w:cs="Calibri"/>
          <w:color w:val="000000"/>
          <w:lang w:eastAsia="en-GB"/>
        </w:rPr>
        <w:t>single-cell annotations by pathologists</w:t>
      </w:r>
      <w:r w:rsidR="00340F37" w:rsidRPr="006A104B" w:rsidDel="006A104B">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and validated against 6 NSCLC independent images using </w:t>
      </w:r>
      <w:r w:rsidRPr="00C6441B">
        <w:rPr>
          <w:rFonts w:ascii="Calibri" w:eastAsia="Times New Roman" w:hAnsi="Calibri" w:cs="Calibri"/>
          <w:color w:val="000000"/>
          <w:lang w:eastAsia="en-GB"/>
        </w:rPr>
        <w:t xml:space="preserve">5,028 </w:t>
      </w:r>
      <w:r>
        <w:rPr>
          <w:rFonts w:ascii="Calibri" w:eastAsia="Times New Roman" w:hAnsi="Calibri" w:cs="Calibri"/>
          <w:color w:val="000000"/>
          <w:lang w:eastAsia="en-GB"/>
        </w:rPr>
        <w:t xml:space="preserve">annotations. The IHC algorithm classified cells into four classes: </w:t>
      </w:r>
      <w:r w:rsidRPr="00972F3F">
        <w:rPr>
          <w:rFonts w:ascii="Calibri" w:hAnsi="Calibri"/>
          <w:color w:val="000000"/>
        </w:rPr>
        <w:t>CD8+, CD4+</w:t>
      </w:r>
      <w:r>
        <w:rPr>
          <w:rFonts w:ascii="Calibri" w:hAnsi="Calibri"/>
          <w:color w:val="000000"/>
        </w:rPr>
        <w:t xml:space="preserve">, </w:t>
      </w:r>
      <w:r w:rsidRPr="00972F3F">
        <w:rPr>
          <w:rFonts w:ascii="Calibri" w:hAnsi="Calibri"/>
          <w:color w:val="000000"/>
        </w:rPr>
        <w:t>FOXP3+</w:t>
      </w:r>
      <w:r>
        <w:rPr>
          <w:rFonts w:ascii="Calibri" w:hAnsi="Calibri"/>
          <w:color w:val="000000"/>
        </w:rPr>
        <w:t xml:space="preserve"> </w:t>
      </w:r>
      <w:r w:rsidRPr="00972F3F">
        <w:rPr>
          <w:rFonts w:ascii="Calibri" w:hAnsi="Calibri"/>
          <w:color w:val="000000"/>
        </w:rPr>
        <w:t xml:space="preserve">and “other” cell </w:t>
      </w:r>
      <w:r>
        <w:rPr>
          <w:rFonts w:ascii="Calibri" w:hAnsi="Calibri"/>
          <w:color w:val="000000"/>
        </w:rPr>
        <w:t>class (</w:t>
      </w:r>
      <w:proofErr w:type="spellStart"/>
      <w:r>
        <w:rPr>
          <w:rFonts w:ascii="Calibri" w:hAnsi="Calibri"/>
          <w:color w:val="000000"/>
        </w:rPr>
        <w:t>hematoxylin</w:t>
      </w:r>
      <w:proofErr w:type="spellEnd"/>
      <w:r>
        <w:rPr>
          <w:rFonts w:ascii="Calibri" w:hAnsi="Calibri"/>
          <w:color w:val="000000"/>
        </w:rPr>
        <w:t xml:space="preserve"> cells). When comparing cell counts between samples, absolute counts were divided by the region area. Regions of CIS and stroma within a slide were quantified separately, with regions annotated manually by the investigators.</w:t>
      </w:r>
    </w:p>
    <w:p w14:paraId="2BB2E5EF" w14:textId="692922B8" w:rsidR="00CF0106" w:rsidRDefault="00CF0106" w:rsidP="00F67021">
      <w:pPr>
        <w:spacing w:line="480" w:lineRule="auto"/>
        <w:jc w:val="both"/>
        <w:rPr>
          <w:rFonts w:ascii="Calibri" w:hAnsi="Calibri"/>
          <w:color w:val="000000"/>
        </w:rPr>
      </w:pPr>
      <w:r>
        <w:rPr>
          <w:rFonts w:ascii="Calibri" w:hAnsi="Calibri"/>
          <w:color w:val="000000"/>
        </w:rPr>
        <w:tab/>
        <w:t xml:space="preserve">For quantification of novel markers (TNFSF9, CCL27, CCR10), where similar training data was not available, </w:t>
      </w:r>
      <w:proofErr w:type="spellStart"/>
      <w:r>
        <w:rPr>
          <w:rFonts w:ascii="Calibri" w:hAnsi="Calibri"/>
          <w:color w:val="000000"/>
        </w:rPr>
        <w:t>QuPath</w:t>
      </w:r>
      <w:proofErr w:type="spellEnd"/>
      <w:r>
        <w:rPr>
          <w:rFonts w:ascii="Calibri" w:hAnsi="Calibri"/>
          <w:color w:val="000000"/>
        </w:rPr>
        <w:t xml:space="preserve"> version </w:t>
      </w:r>
      <w:r w:rsidR="00D5312D">
        <w:rPr>
          <w:rFonts w:ascii="Calibri" w:hAnsi="Calibri"/>
          <w:color w:val="000000"/>
        </w:rPr>
        <w:t>0.2.0</w:t>
      </w:r>
      <w:r w:rsidR="005E1439">
        <w:rPr>
          <w:rFonts w:ascii="Calibri" w:hAnsi="Calibri"/>
          <w:color w:val="000000"/>
        </w:rPr>
        <w:fldChar w:fldCharType="begin"/>
      </w:r>
      <w:r w:rsidR="00CF06CA">
        <w:rPr>
          <w:rFonts w:ascii="Calibri" w:hAnsi="Calibri"/>
          <w:color w:val="000000"/>
        </w:rPr>
        <w:instrText xml:space="preserve"> ADDIN ZOTERO_ITEM CSL_CITATION {"citationID":"HQU7HJPb","properties":{"formattedCitation":"(8)","plainCitation":"(8)","noteIndex":0},"citationItems":[{"id":841,"uris":["http://zotero.org/users/5058104/items/C32Z7JFD"],"uri":["http://zotero.org/users/5058104/items/C32Z7JFD"],"itemData":{"id":841,"type":"article-journal","abstract":"QuPath is new bioimage analysis software designed to meet the growing need for a user-friendly, extensible, open-source solution for digital pathology and whole slide image analysis. In addition to offering a comprehensive panel of tumor identification and high-throughput biomarker evaluation tools, QuPath provides researchers with powerful batch-processing and scripting functionality, and an extensible platform with which to develop and share new algorithms to analyze complex tissue images. Furthermore, QuPath’s flexible design makes it suitable for a wide range of additional image analysis applications across biomedical research.","container-title":"Scientific Reports","DOI":"10.1038/s41598-017-17204-5","ISSN":"2045-2322","issue":"1","language":"en","note":"number: 1\npublisher: Nature Publishing Group","page":"16878","source":"www.nature.com","title":"QuPath: Open source software for digital pathology image analysis","title-short":"QuPath","volume":"7","author":[{"family":"Bankhead","given":"Peter"},{"family":"Loughrey","given":"Maurice B."},{"family":"Fernández","given":"José A."},{"family":"Dombrowski","given":"Yvonne"},{"family":"McArt","given":"Darragh G."},{"family":"Dunne","given":"Philip D."},{"family":"McQuaid","given":"Stephen"},{"family":"Gray","given":"Ronan T."},{"family":"Murray","given":"Liam J."},{"family":"Coleman","given":"Helen G."},{"family":"James","given":"Jacqueline A."},{"family":"Salto-Tellez","given":"Manuel"},{"family":"Hamilton","given":"Peter W."}],"issued":{"date-parts":[["2017",12,4]]}}}],"schema":"https://github.com/citation-style-language/schema/raw/master/csl-citation.json"} </w:instrText>
      </w:r>
      <w:r w:rsidR="005E1439">
        <w:rPr>
          <w:rFonts w:ascii="Calibri" w:hAnsi="Calibri"/>
          <w:color w:val="000000"/>
        </w:rPr>
        <w:fldChar w:fldCharType="separate"/>
      </w:r>
      <w:r w:rsidR="00CF06CA">
        <w:rPr>
          <w:rFonts w:ascii="Calibri" w:hAnsi="Calibri"/>
          <w:noProof/>
          <w:color w:val="000000"/>
        </w:rPr>
        <w:t>(8)</w:t>
      </w:r>
      <w:r w:rsidR="005E1439">
        <w:rPr>
          <w:rFonts w:ascii="Calibri" w:hAnsi="Calibri"/>
          <w:color w:val="000000"/>
        </w:rPr>
        <w:fldChar w:fldCharType="end"/>
      </w:r>
      <w:r>
        <w:rPr>
          <w:rFonts w:ascii="Calibri" w:hAnsi="Calibri"/>
          <w:color w:val="000000"/>
        </w:rPr>
        <w:t xml:space="preserve"> was </w:t>
      </w:r>
      <w:r w:rsidR="00D5312D">
        <w:rPr>
          <w:rFonts w:ascii="Calibri" w:hAnsi="Calibri"/>
          <w:color w:val="000000"/>
        </w:rPr>
        <w:t xml:space="preserve">used to segment cells and export per-cell intensity values for cells within annotated CIS regions. A marker-specific minimum intensity threshold was chosen to remove slides with poor staining. For the remaining slides, intensity values were fitted to a model representing a mixture of two normal distributions, representing stain-negative and stain-positive cells. Probabilities of a cell belonging to each group were calculated, and likely staining status assigned. Modelling was performed using the R package </w:t>
      </w:r>
      <w:proofErr w:type="spellStart"/>
      <w:r w:rsidR="00E16A67" w:rsidRPr="00DC67C8">
        <w:rPr>
          <w:rFonts w:ascii="Calibri" w:hAnsi="Calibri"/>
          <w:i/>
          <w:iCs/>
          <w:color w:val="000000"/>
        </w:rPr>
        <w:t>mixtools</w:t>
      </w:r>
      <w:proofErr w:type="spellEnd"/>
      <w:r w:rsidR="005E1439">
        <w:rPr>
          <w:rFonts w:ascii="Calibri" w:hAnsi="Calibri"/>
          <w:color w:val="000000"/>
        </w:rPr>
        <w:fldChar w:fldCharType="begin"/>
      </w:r>
      <w:r w:rsidR="00CF06CA">
        <w:rPr>
          <w:rFonts w:ascii="Calibri" w:hAnsi="Calibri"/>
          <w:color w:val="000000"/>
        </w:rPr>
        <w:instrText xml:space="preserve"> ADDIN ZOTERO_ITEM CSL_CITATION {"citationID":"qurp18jr","properties":{"formattedCitation":"(9)","plainCitation":"(9)","noteIndex":0},"citationItems":[{"id":838,"uris":["http://zotero.org/users/5058104/items/28V78VJ8"],"uri":["http://zotero.org/users/5058104/items/28V78VJ8"],"itemData":{"id":838,"type":"article-journal","container-title":"Journal of Statistical Software","DOI":"10.18637/jss.v032.i06","ISSN":"1548-7660","issue":"1","language":"en","note":"number: 1","page":"1-29","source":"www.jstatsoft.org","title":"mixtools: An R Package for Analyzing Mixture Models","title-short":"mixtools","volume":"32","author":[{"family":"Benaglia","given":"Tatiana"},{"family":"Chauveau","given":"Didier"},{"family":"Hunter","given":"David R."},{"family":"Young","given":"Derek S."}],"issued":{"date-parts":[["2009",10,21]]}}}],"schema":"https://github.com/citation-style-language/schema/raw/master/csl-citation.json"} </w:instrText>
      </w:r>
      <w:r w:rsidR="005E1439">
        <w:rPr>
          <w:rFonts w:ascii="Calibri" w:hAnsi="Calibri"/>
          <w:color w:val="000000"/>
        </w:rPr>
        <w:fldChar w:fldCharType="separate"/>
      </w:r>
      <w:r w:rsidR="00CF06CA">
        <w:rPr>
          <w:rFonts w:ascii="Calibri" w:hAnsi="Calibri"/>
          <w:noProof/>
          <w:color w:val="000000"/>
        </w:rPr>
        <w:t>(9)</w:t>
      </w:r>
      <w:r w:rsidR="005E1439">
        <w:rPr>
          <w:rFonts w:ascii="Calibri" w:hAnsi="Calibri"/>
          <w:color w:val="000000"/>
        </w:rPr>
        <w:fldChar w:fldCharType="end"/>
      </w:r>
      <w:r w:rsidR="00E16A67">
        <w:rPr>
          <w:rFonts w:ascii="Calibri" w:hAnsi="Calibri"/>
          <w:color w:val="000000"/>
        </w:rPr>
        <w:t>.</w:t>
      </w:r>
    </w:p>
    <w:p w14:paraId="043B87F6" w14:textId="7ADB89DB" w:rsidR="005E1439" w:rsidRPr="00CC66E3" w:rsidRDefault="005E1439" w:rsidP="00F67021">
      <w:pPr>
        <w:spacing w:line="480" w:lineRule="auto"/>
        <w:jc w:val="both"/>
        <w:rPr>
          <w:rFonts w:ascii="Calibri" w:hAnsi="Calibri"/>
        </w:rPr>
      </w:pPr>
    </w:p>
    <w:p w14:paraId="1E2200D9" w14:textId="77777777" w:rsidR="00CC66E3" w:rsidRPr="00CC66E3" w:rsidRDefault="00CC66E3" w:rsidP="00CC66E3">
      <w:pPr>
        <w:spacing w:line="480" w:lineRule="auto"/>
        <w:jc w:val="both"/>
        <w:rPr>
          <w:rFonts w:ascii="Calibri" w:hAnsi="Calibri"/>
          <w:b/>
          <w:bCs/>
        </w:rPr>
      </w:pPr>
      <w:r w:rsidRPr="00CC66E3">
        <w:rPr>
          <w:rFonts w:ascii="Calibri" w:hAnsi="Calibri"/>
          <w:b/>
          <w:bCs/>
        </w:rPr>
        <w:t>Quantitative multiplex immunohistochemistry</w:t>
      </w:r>
    </w:p>
    <w:p w14:paraId="198758AE" w14:textId="657647B0" w:rsidR="00CC66E3" w:rsidRPr="00CC66E3" w:rsidRDefault="00CC66E3" w:rsidP="00CC66E3">
      <w:pPr>
        <w:spacing w:line="480" w:lineRule="auto"/>
        <w:jc w:val="both"/>
        <w:rPr>
          <w:rFonts w:ascii="Calibri" w:hAnsi="Calibri"/>
        </w:rPr>
      </w:pPr>
      <w:r w:rsidRPr="00CC66E3">
        <w:rPr>
          <w:rFonts w:ascii="Calibri" w:hAnsi="Calibri"/>
        </w:rPr>
        <w:t xml:space="preserve">Multiplex chromogenic immunohistochemistry (IHC) was performed on FFPE section according to </w:t>
      </w:r>
      <w:r>
        <w:rPr>
          <w:rFonts w:ascii="Calibri" w:hAnsi="Calibri"/>
        </w:rPr>
        <w:t>a previously published protocol</w:t>
      </w:r>
      <w:r>
        <w:rPr>
          <w:rFonts w:ascii="Calibri" w:hAnsi="Calibri"/>
        </w:rPr>
        <w:fldChar w:fldCharType="begin"/>
      </w:r>
      <w:r w:rsidR="00D66757">
        <w:rPr>
          <w:rFonts w:ascii="Calibri" w:hAnsi="Calibri"/>
        </w:rPr>
        <w:instrText xml:space="preserve"> ADDIN ZOTERO_ITEM CSL_CITATION {"citationID":"6ovqkvOW","properties":{"formattedCitation":"(10,11)","plainCitation":"(10,11)","noteIndex":0},"citationItems":[{"id":850,"uris":["http://zotero.org/users/5058104/items/CFHF7J6J"],"uri":["http://zotero.org/users/5058104/items/CFHF7J6J"],"itemData":{"id":850,"type":"article-journal","abstract":"Here, we describe a multiplexed immunohistochemical platform with computational image processing workflows, including image cytometry, enabling simultaneous evaluation of 12 biomarkers in one formalin-fixed paraffin-embedded tissue section. To validate this platform, we used tissue microarrays containing 38 archival head and neck squamous cell carcinomas and revealed differential immune profiles based on lymphoid and myeloid cell densities, correlating with human papilloma virus status and prognosis. Based on these results, we investigated 24 pancreatic ductal adenocarcinomas from patients who received neoadjuvant GVAX vaccination and revealed that response to therapy correlated with degree of mono-myelocytic cell density and percentages of CD8+ T cells expressing T cell exhaustion markers. These data highlight the utility of in situ immune monitoring for patient stratification and provide digital image processing pipelines to the community for examining immune complexity in precious tissue sections, where phenotype and tissue architecture are preserved to improve biomarker discovery and assessment.","container-title":"Cell Reports","DOI":"10.1016/j.celrep.2017.03.037","ISSN":"2211-1247","issue":"1","journalAbbreviation":"Cell Reports","language":"en","page":"203-217","source":"ScienceDirect","title":"Quantitative Multiplex Immunohistochemistry Reveals Myeloid-Inflamed Tumor-Immune Complexity Associated with Poor Prognosis","volume":"19","author":[{"family":"Tsujikawa","given":"Takahiro"},{"family":"Kumar","given":"Sushil"},{"family":"Borkar","given":"Rohan N."},{"family":"Azimi","given":"Vahid"},{"family":"Thibault","given":"Guillaume"},{"family":"Chang","given":"Young Hwan"},{"family":"Balter","given":"Ariel"},{"family":"Kawashima","given":"Rie"},{"family":"Choe","given":"Gina"},{"family":"Sauer","given":"David"},{"family":"El Rassi","given":"Edward"},{"family":"Clayburgh","given":"Daniel R."},{"family":"Kulesz-Martin","given":"Molly F."},{"family":"Lutz","given":"Eric R."},{"family":"Zheng","given":"Lei"},{"family":"Jaffee","given":"Elizabeth M."},{"family":"Leyshock","given":"Patrick"},{"family":"Margolin","given":"Adam A."},{"family":"Mori","given":"Motomi"},{"family":"Gray","given":"Joe W."},{"family":"Flint","given":"Paul W."},{"family":"Coussens","given":"Lisa M."}],"issued":{"date-parts":[["2017",4,4]]}}},{"id":854,"uris":["http://zotero.org/users/5058104/items/8PB9NJYY"],"uri":["http://zotero.org/users/5058104/items/8PB9NJYY"],"itemData":{"id":854,"type":"article-journal","abstract":"Biomarker assessments of tumor specimens is widely used in cancer research to audit tumor cell intrinsic as well as tumor cell extrinsic features including the diversity of immune, stromal, and mesenchymal cells. To comprehensively and quantitatively audit the tumor-immune microenvironment (TiME), we developed a novel multiplex immunohistochemistry (mIHC) platform and computational image processing workflow using a single formalin-fixed paraffin-embedded (FFPE) tissue section. Herein, we validated this platform using nine matched primary newly diagnosed and recurrent head and neck squamous cell carcinoma (HNSCC) sections sequentially subjected to immunodetection with a panel of 29 antibodies identifying malignant tumor cells, and 17 distinct leukocyte lineages and their functional states. Image cytometric analysis was applied to interpret chromogenic signals from digitally scanned and coregistered light microscopy-based images enabling identification and quantification of individual tumor cells, structural features, immune cell phenotypes and their functional state. In agreement with our previous study via a 12-plex imaging mIHC platform, myeloid-inflamed status in newly diagnosed primary tumors associated with significantly short progression free survival, independent of lymphoid-inflamed status. Spatial distribution of tumor and immune cell lineages in TiME was also examined and revealed statistically significant CD8+ T cell exclusion from tumor nests, whereas regulatory T cells and myeloid cells, when present in close proximity to tumor cells, highly associated with rapid cancer recurrence. These findings indicate presence of differential immune-spatial profiles in newly diagnosed and recurrent HNSCC, and establish the robustness of the 29-plex mIHC platform and associated analytics for quantitative analysis of single tissue sections revealing longitudinal TiME changes.","container-title":"Methods in Enzymology","DOI":"10.1016/bs.mie.2019.05.039","ISSN":"1557-7988","journalAbbreviation":"Meth. Enzymol.","language":"eng","note":"PMID: 32122539","page":"1-20","source":"PubMed","title":"High-dimensional multiplexed immunohistochemical characterization of immune contexture in human cancers","volume":"635","author":[{"family":"Banik","given":"Grace"},{"family":"Betts","given":"Courtney B."},{"family":"Liudahl","given":"Shannon M."},{"family":"Sivagnanam","given":"Shamilene"},{"family":"Kawashima","given":"Rie"},{"family":"Cotechini","given":"Tiziana"},{"family":"Larson","given":"William"},{"family":"Goecks","given":"Jeremy"},{"family":"Pai","given":"Sara I."},{"family":"Clayburgh","given":"Daniel R."},{"family":"Tsujikawa","given":"Takahiro"},{"family":"Coussens","given":"Lisa M."}],"issued":{"date-parts":[["2020"]]}}}],"schema":"https://github.com/citation-style-language/schema/raw/master/csl-citation.json"} </w:instrText>
      </w:r>
      <w:r>
        <w:rPr>
          <w:rFonts w:ascii="Calibri" w:hAnsi="Calibri"/>
        </w:rPr>
        <w:fldChar w:fldCharType="separate"/>
      </w:r>
      <w:r w:rsidR="00D66757">
        <w:rPr>
          <w:rFonts w:ascii="Calibri" w:hAnsi="Calibri"/>
          <w:noProof/>
        </w:rPr>
        <w:t>(10,11)</w:t>
      </w:r>
      <w:r>
        <w:rPr>
          <w:rFonts w:ascii="Calibri" w:hAnsi="Calibri"/>
        </w:rPr>
        <w:fldChar w:fldCharType="end"/>
      </w:r>
      <w:r w:rsidRPr="00CC66E3">
        <w:rPr>
          <w:rFonts w:ascii="Calibri" w:hAnsi="Calibri"/>
        </w:rPr>
        <w:t xml:space="preserve">. Briefly, after deparaffinization, the slides were stained with </w:t>
      </w:r>
      <w:proofErr w:type="spellStart"/>
      <w:r w:rsidRPr="00CC66E3">
        <w:rPr>
          <w:rFonts w:ascii="Calibri" w:hAnsi="Calibri"/>
        </w:rPr>
        <w:t>hematoxylin</w:t>
      </w:r>
      <w:proofErr w:type="spellEnd"/>
      <w:r w:rsidRPr="00CC66E3">
        <w:rPr>
          <w:rFonts w:ascii="Calibri" w:hAnsi="Calibri"/>
        </w:rPr>
        <w:t xml:space="preserve"> for 1min (</w:t>
      </w:r>
      <w:proofErr w:type="spellStart"/>
      <w:r w:rsidRPr="00CC66E3">
        <w:rPr>
          <w:rFonts w:ascii="Calibri" w:hAnsi="Calibri"/>
        </w:rPr>
        <w:t>Dako</w:t>
      </w:r>
      <w:proofErr w:type="spellEnd"/>
      <w:r w:rsidRPr="00CC66E3">
        <w:rPr>
          <w:rFonts w:ascii="Calibri" w:hAnsi="Calibri"/>
        </w:rPr>
        <w:t xml:space="preserve"> S3301) and tissue sections were scanned using </w:t>
      </w:r>
      <w:proofErr w:type="spellStart"/>
      <w:r w:rsidRPr="00CC66E3">
        <w:rPr>
          <w:rFonts w:ascii="Calibri" w:hAnsi="Calibri"/>
        </w:rPr>
        <w:t>Aperio</w:t>
      </w:r>
      <w:proofErr w:type="spellEnd"/>
      <w:r w:rsidRPr="00CC66E3">
        <w:rPr>
          <w:rFonts w:ascii="Calibri" w:hAnsi="Calibri"/>
        </w:rPr>
        <w:t xml:space="preserve"> </w:t>
      </w:r>
      <w:proofErr w:type="spellStart"/>
      <w:r w:rsidRPr="00CC66E3">
        <w:rPr>
          <w:rFonts w:ascii="Calibri" w:hAnsi="Calibri"/>
        </w:rPr>
        <w:t>ImageScope</w:t>
      </w:r>
      <w:proofErr w:type="spellEnd"/>
      <w:r w:rsidRPr="00CC66E3">
        <w:rPr>
          <w:rFonts w:ascii="Calibri" w:hAnsi="Calibri"/>
        </w:rPr>
        <w:t xml:space="preserve">. Then, heat-mediated antigen retrieval (Citrate buffer pH6) was </w:t>
      </w:r>
      <w:r w:rsidRPr="00CC66E3">
        <w:rPr>
          <w:rFonts w:ascii="Calibri" w:hAnsi="Calibri"/>
        </w:rPr>
        <w:lastRenderedPageBreak/>
        <w:t>conducted and the endogenous peroxidase activity was blocked (</w:t>
      </w:r>
      <w:proofErr w:type="spellStart"/>
      <w:r w:rsidRPr="00CC66E3">
        <w:rPr>
          <w:rFonts w:ascii="Calibri" w:hAnsi="Calibri"/>
        </w:rPr>
        <w:t>Dako</w:t>
      </w:r>
      <w:proofErr w:type="spellEnd"/>
      <w:r w:rsidRPr="00CC66E3">
        <w:rPr>
          <w:rFonts w:ascii="Calibri" w:hAnsi="Calibri"/>
        </w:rPr>
        <w:t xml:space="preserve"> S2003). Sequential IHC consisting of iterative cycles of staining (2 rounds per cycle), scanning and stripping, were performed. Primary antibodies were added in the following order:</w:t>
      </w:r>
    </w:p>
    <w:p w14:paraId="7861C880" w14:textId="77777777" w:rsidR="00CC66E3" w:rsidRPr="00CC66E3" w:rsidRDefault="00CC66E3" w:rsidP="00CC66E3">
      <w:pPr>
        <w:spacing w:line="480" w:lineRule="auto"/>
        <w:jc w:val="both"/>
        <w:rPr>
          <w:rFonts w:ascii="Calibri" w:hAnsi="Calibri"/>
        </w:rPr>
      </w:pPr>
      <w:r w:rsidRPr="00CC66E3">
        <w:rPr>
          <w:rFonts w:ascii="Calibri" w:hAnsi="Calibri"/>
        </w:rPr>
        <w:t xml:space="preserve"> </w:t>
      </w:r>
    </w:p>
    <w:tbl>
      <w:tblPr>
        <w:tblStyle w:val="TableGrid"/>
        <w:tblW w:w="9918" w:type="dxa"/>
        <w:tblLayout w:type="fixed"/>
        <w:tblLook w:val="06A0" w:firstRow="1" w:lastRow="0" w:firstColumn="1" w:lastColumn="0" w:noHBand="1" w:noVBand="1"/>
      </w:tblPr>
      <w:tblGrid>
        <w:gridCol w:w="1129"/>
        <w:gridCol w:w="746"/>
        <w:gridCol w:w="955"/>
        <w:gridCol w:w="993"/>
        <w:gridCol w:w="837"/>
        <w:gridCol w:w="864"/>
        <w:gridCol w:w="992"/>
        <w:gridCol w:w="850"/>
        <w:gridCol w:w="709"/>
        <w:gridCol w:w="851"/>
        <w:gridCol w:w="992"/>
      </w:tblGrid>
      <w:tr w:rsidR="00CC66E3" w:rsidRPr="00CC66E3" w14:paraId="5EF6D920" w14:textId="77777777" w:rsidTr="00CC66E3">
        <w:tc>
          <w:tcPr>
            <w:tcW w:w="1129" w:type="dxa"/>
          </w:tcPr>
          <w:p w14:paraId="5A55C6AB" w14:textId="77777777" w:rsidR="00CC66E3" w:rsidRPr="00CC66E3" w:rsidRDefault="00CC66E3" w:rsidP="00CC66E3">
            <w:pPr>
              <w:jc w:val="both"/>
              <w:rPr>
                <w:rFonts w:ascii="Calibri" w:hAnsi="Calibri" w:cs="Calibri"/>
                <w:sz w:val="14"/>
                <w:szCs w:val="14"/>
              </w:rPr>
            </w:pPr>
          </w:p>
        </w:tc>
        <w:tc>
          <w:tcPr>
            <w:tcW w:w="746" w:type="dxa"/>
          </w:tcPr>
          <w:p w14:paraId="27B364D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282F5F7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1</w:t>
            </w:r>
          </w:p>
        </w:tc>
        <w:tc>
          <w:tcPr>
            <w:tcW w:w="993" w:type="dxa"/>
          </w:tcPr>
          <w:p w14:paraId="3C6E6B9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2</w:t>
            </w:r>
          </w:p>
        </w:tc>
        <w:tc>
          <w:tcPr>
            <w:tcW w:w="837" w:type="dxa"/>
          </w:tcPr>
          <w:p w14:paraId="73234AE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3</w:t>
            </w:r>
          </w:p>
        </w:tc>
        <w:tc>
          <w:tcPr>
            <w:tcW w:w="864" w:type="dxa"/>
          </w:tcPr>
          <w:p w14:paraId="2BFCD30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4</w:t>
            </w:r>
          </w:p>
        </w:tc>
        <w:tc>
          <w:tcPr>
            <w:tcW w:w="992" w:type="dxa"/>
          </w:tcPr>
          <w:p w14:paraId="1D38E1C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5</w:t>
            </w:r>
          </w:p>
        </w:tc>
        <w:tc>
          <w:tcPr>
            <w:tcW w:w="850" w:type="dxa"/>
          </w:tcPr>
          <w:p w14:paraId="2A3968A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6</w:t>
            </w:r>
          </w:p>
        </w:tc>
        <w:tc>
          <w:tcPr>
            <w:tcW w:w="709" w:type="dxa"/>
          </w:tcPr>
          <w:p w14:paraId="7770A9B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7</w:t>
            </w:r>
          </w:p>
        </w:tc>
        <w:tc>
          <w:tcPr>
            <w:tcW w:w="851" w:type="dxa"/>
          </w:tcPr>
          <w:p w14:paraId="382B52D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8</w:t>
            </w:r>
          </w:p>
        </w:tc>
        <w:tc>
          <w:tcPr>
            <w:tcW w:w="992" w:type="dxa"/>
          </w:tcPr>
          <w:p w14:paraId="7115735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Cycle 9</w:t>
            </w:r>
          </w:p>
        </w:tc>
      </w:tr>
      <w:tr w:rsidR="00CC66E3" w:rsidRPr="00CC66E3" w14:paraId="6304D1BF" w14:textId="77777777" w:rsidTr="00CC66E3">
        <w:tc>
          <w:tcPr>
            <w:tcW w:w="1129" w:type="dxa"/>
          </w:tcPr>
          <w:p w14:paraId="3EF478A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43C5FC02"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Hematoxylin</w:t>
            </w:r>
            <w:proofErr w:type="spellEnd"/>
          </w:p>
        </w:tc>
        <w:tc>
          <w:tcPr>
            <w:tcW w:w="955" w:type="dxa"/>
          </w:tcPr>
          <w:p w14:paraId="1D61A1E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993" w:type="dxa"/>
          </w:tcPr>
          <w:p w14:paraId="458E130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837" w:type="dxa"/>
          </w:tcPr>
          <w:p w14:paraId="767DF9F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864" w:type="dxa"/>
          </w:tcPr>
          <w:p w14:paraId="59EC736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992" w:type="dxa"/>
          </w:tcPr>
          <w:p w14:paraId="5F14AA4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850" w:type="dxa"/>
          </w:tcPr>
          <w:p w14:paraId="36D67BC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709" w:type="dxa"/>
          </w:tcPr>
          <w:p w14:paraId="5D5679E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851" w:type="dxa"/>
          </w:tcPr>
          <w:p w14:paraId="598F3DC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c>
          <w:tcPr>
            <w:tcW w:w="992" w:type="dxa"/>
          </w:tcPr>
          <w:p w14:paraId="6741D13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1</w:t>
            </w:r>
          </w:p>
        </w:tc>
      </w:tr>
      <w:tr w:rsidR="00CC66E3" w:rsidRPr="00CC66E3" w14:paraId="12A1FD28" w14:textId="77777777" w:rsidTr="00CC66E3">
        <w:tc>
          <w:tcPr>
            <w:tcW w:w="1129" w:type="dxa"/>
          </w:tcPr>
          <w:p w14:paraId="4AEF7C4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Primary Ab</w:t>
            </w:r>
          </w:p>
        </w:tc>
        <w:tc>
          <w:tcPr>
            <w:tcW w:w="746" w:type="dxa"/>
          </w:tcPr>
          <w:p w14:paraId="607EAAB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76683E4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PD1</w:t>
            </w:r>
          </w:p>
        </w:tc>
        <w:tc>
          <w:tcPr>
            <w:tcW w:w="993" w:type="dxa"/>
          </w:tcPr>
          <w:p w14:paraId="1829A65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HLA DR/DP/DQ</w:t>
            </w:r>
          </w:p>
        </w:tc>
        <w:tc>
          <w:tcPr>
            <w:tcW w:w="837" w:type="dxa"/>
          </w:tcPr>
          <w:p w14:paraId="10DF70B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CD3</w:t>
            </w:r>
          </w:p>
        </w:tc>
        <w:tc>
          <w:tcPr>
            <w:tcW w:w="864" w:type="dxa"/>
          </w:tcPr>
          <w:p w14:paraId="66F2C6E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CD8</w:t>
            </w:r>
          </w:p>
        </w:tc>
        <w:tc>
          <w:tcPr>
            <w:tcW w:w="992" w:type="dxa"/>
          </w:tcPr>
          <w:p w14:paraId="0AC6A51B"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GranzymeB</w:t>
            </w:r>
            <w:proofErr w:type="spellEnd"/>
          </w:p>
        </w:tc>
        <w:tc>
          <w:tcPr>
            <w:tcW w:w="850" w:type="dxa"/>
          </w:tcPr>
          <w:p w14:paraId="01B8ADF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CD66b</w:t>
            </w:r>
          </w:p>
        </w:tc>
        <w:tc>
          <w:tcPr>
            <w:tcW w:w="709" w:type="dxa"/>
          </w:tcPr>
          <w:p w14:paraId="24F6963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CD163</w:t>
            </w:r>
          </w:p>
        </w:tc>
        <w:tc>
          <w:tcPr>
            <w:tcW w:w="851" w:type="dxa"/>
          </w:tcPr>
          <w:p w14:paraId="22ED089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Foxp3</w:t>
            </w:r>
          </w:p>
        </w:tc>
        <w:tc>
          <w:tcPr>
            <w:tcW w:w="992" w:type="dxa"/>
          </w:tcPr>
          <w:p w14:paraId="7A6F15B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Ki67</w:t>
            </w:r>
          </w:p>
        </w:tc>
      </w:tr>
      <w:tr w:rsidR="00CC66E3" w:rsidRPr="00CC66E3" w14:paraId="48BEF61D" w14:textId="77777777" w:rsidTr="00CC66E3">
        <w:tc>
          <w:tcPr>
            <w:tcW w:w="1129" w:type="dxa"/>
          </w:tcPr>
          <w:p w14:paraId="6B79A6F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Supplier</w:t>
            </w:r>
          </w:p>
        </w:tc>
        <w:tc>
          <w:tcPr>
            <w:tcW w:w="746" w:type="dxa"/>
          </w:tcPr>
          <w:p w14:paraId="350858B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1C3FEA1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993" w:type="dxa"/>
          </w:tcPr>
          <w:p w14:paraId="5B04B2D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LS-Bio</w:t>
            </w:r>
          </w:p>
        </w:tc>
        <w:tc>
          <w:tcPr>
            <w:tcW w:w="837" w:type="dxa"/>
          </w:tcPr>
          <w:p w14:paraId="5E4D182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864" w:type="dxa"/>
          </w:tcPr>
          <w:p w14:paraId="4EA45F4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Invitrogen</w:t>
            </w:r>
          </w:p>
        </w:tc>
        <w:tc>
          <w:tcPr>
            <w:tcW w:w="992" w:type="dxa"/>
          </w:tcPr>
          <w:p w14:paraId="12E892E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850" w:type="dxa"/>
          </w:tcPr>
          <w:p w14:paraId="7F581C13"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StemCell</w:t>
            </w:r>
            <w:proofErr w:type="spellEnd"/>
          </w:p>
        </w:tc>
        <w:tc>
          <w:tcPr>
            <w:tcW w:w="709" w:type="dxa"/>
          </w:tcPr>
          <w:p w14:paraId="723A10A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851" w:type="dxa"/>
          </w:tcPr>
          <w:p w14:paraId="389D5AA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Invitrogen</w:t>
            </w:r>
          </w:p>
        </w:tc>
        <w:tc>
          <w:tcPr>
            <w:tcW w:w="992" w:type="dxa"/>
          </w:tcPr>
          <w:p w14:paraId="07AB112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r>
      <w:tr w:rsidR="00CC66E3" w:rsidRPr="00CC66E3" w14:paraId="0F776B6A" w14:textId="77777777" w:rsidTr="00CC66E3">
        <w:tc>
          <w:tcPr>
            <w:tcW w:w="1129" w:type="dxa"/>
          </w:tcPr>
          <w:p w14:paraId="60F49FA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Clone</w:t>
            </w:r>
          </w:p>
        </w:tc>
        <w:tc>
          <w:tcPr>
            <w:tcW w:w="746" w:type="dxa"/>
          </w:tcPr>
          <w:p w14:paraId="239DEA2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7C2D29F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NAT105</w:t>
            </w:r>
          </w:p>
        </w:tc>
        <w:tc>
          <w:tcPr>
            <w:tcW w:w="993" w:type="dxa"/>
          </w:tcPr>
          <w:p w14:paraId="6BAEF6D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WR18</w:t>
            </w:r>
          </w:p>
        </w:tc>
        <w:tc>
          <w:tcPr>
            <w:tcW w:w="837" w:type="dxa"/>
          </w:tcPr>
          <w:p w14:paraId="32406C5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CD3-12</w:t>
            </w:r>
          </w:p>
        </w:tc>
        <w:tc>
          <w:tcPr>
            <w:tcW w:w="864" w:type="dxa"/>
          </w:tcPr>
          <w:p w14:paraId="6C896ED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SP16</w:t>
            </w:r>
          </w:p>
        </w:tc>
        <w:tc>
          <w:tcPr>
            <w:tcW w:w="992" w:type="dxa"/>
          </w:tcPr>
          <w:p w14:paraId="6F6F20F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Poly</w:t>
            </w:r>
          </w:p>
        </w:tc>
        <w:tc>
          <w:tcPr>
            <w:tcW w:w="850" w:type="dxa"/>
          </w:tcPr>
          <w:p w14:paraId="1551DBA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G10E5</w:t>
            </w:r>
          </w:p>
        </w:tc>
        <w:tc>
          <w:tcPr>
            <w:tcW w:w="709" w:type="dxa"/>
          </w:tcPr>
          <w:p w14:paraId="0063BF9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10D6</w:t>
            </w:r>
          </w:p>
        </w:tc>
        <w:tc>
          <w:tcPr>
            <w:tcW w:w="851" w:type="dxa"/>
          </w:tcPr>
          <w:p w14:paraId="0DB94F8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236A/E7</w:t>
            </w:r>
          </w:p>
        </w:tc>
        <w:tc>
          <w:tcPr>
            <w:tcW w:w="992" w:type="dxa"/>
          </w:tcPr>
          <w:p w14:paraId="192DDCA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SP6</w:t>
            </w:r>
          </w:p>
        </w:tc>
      </w:tr>
      <w:tr w:rsidR="00CC66E3" w:rsidRPr="00CC66E3" w14:paraId="3F10CAC7" w14:textId="77777777" w:rsidTr="00CC66E3">
        <w:tc>
          <w:tcPr>
            <w:tcW w:w="1129" w:type="dxa"/>
          </w:tcPr>
          <w:p w14:paraId="73607EA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Concentration</w:t>
            </w:r>
          </w:p>
        </w:tc>
        <w:tc>
          <w:tcPr>
            <w:tcW w:w="746" w:type="dxa"/>
          </w:tcPr>
          <w:p w14:paraId="57E6D09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4CDC344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w:t>
            </w:r>
          </w:p>
        </w:tc>
        <w:tc>
          <w:tcPr>
            <w:tcW w:w="993" w:type="dxa"/>
          </w:tcPr>
          <w:p w14:paraId="36CD527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1/500</w:t>
            </w:r>
          </w:p>
        </w:tc>
        <w:tc>
          <w:tcPr>
            <w:tcW w:w="837" w:type="dxa"/>
          </w:tcPr>
          <w:p w14:paraId="7DE1898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1/500</w:t>
            </w:r>
          </w:p>
        </w:tc>
        <w:tc>
          <w:tcPr>
            <w:tcW w:w="864" w:type="dxa"/>
          </w:tcPr>
          <w:p w14:paraId="5066DCC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w:t>
            </w:r>
          </w:p>
        </w:tc>
        <w:tc>
          <w:tcPr>
            <w:tcW w:w="992" w:type="dxa"/>
          </w:tcPr>
          <w:p w14:paraId="152FE61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w:t>
            </w:r>
          </w:p>
        </w:tc>
        <w:tc>
          <w:tcPr>
            <w:tcW w:w="850" w:type="dxa"/>
          </w:tcPr>
          <w:p w14:paraId="699B554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1/200</w:t>
            </w:r>
          </w:p>
        </w:tc>
        <w:tc>
          <w:tcPr>
            <w:tcW w:w="709" w:type="dxa"/>
          </w:tcPr>
          <w:p w14:paraId="07244D5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w:t>
            </w:r>
          </w:p>
        </w:tc>
        <w:tc>
          <w:tcPr>
            <w:tcW w:w="851" w:type="dxa"/>
          </w:tcPr>
          <w:p w14:paraId="16B8627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1/40</w:t>
            </w:r>
          </w:p>
        </w:tc>
        <w:tc>
          <w:tcPr>
            <w:tcW w:w="992" w:type="dxa"/>
          </w:tcPr>
          <w:p w14:paraId="3AA74BB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1/500</w:t>
            </w:r>
          </w:p>
        </w:tc>
      </w:tr>
      <w:tr w:rsidR="00CC66E3" w:rsidRPr="00CC66E3" w14:paraId="130E5649" w14:textId="77777777" w:rsidTr="00CC66E3">
        <w:tc>
          <w:tcPr>
            <w:tcW w:w="1129" w:type="dxa"/>
          </w:tcPr>
          <w:p w14:paraId="0240149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6F6234E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2594522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3" w:type="dxa"/>
          </w:tcPr>
          <w:p w14:paraId="46211AB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37" w:type="dxa"/>
          </w:tcPr>
          <w:p w14:paraId="7F0A587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64" w:type="dxa"/>
          </w:tcPr>
          <w:p w14:paraId="4AF178D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2CB6C52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0" w:type="dxa"/>
          </w:tcPr>
          <w:p w14:paraId="7AB711B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09" w:type="dxa"/>
          </w:tcPr>
          <w:p w14:paraId="5C30309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3FC4DBD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7E3359F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r>
      <w:tr w:rsidR="00CC66E3" w:rsidRPr="00CC66E3" w14:paraId="2D181C71" w14:textId="77777777" w:rsidTr="00CC66E3">
        <w:tc>
          <w:tcPr>
            <w:tcW w:w="1129" w:type="dxa"/>
          </w:tcPr>
          <w:p w14:paraId="2810D90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2961D4D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292E9E3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993" w:type="dxa"/>
          </w:tcPr>
          <w:p w14:paraId="7C78453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837" w:type="dxa"/>
          </w:tcPr>
          <w:p w14:paraId="2D05749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864" w:type="dxa"/>
          </w:tcPr>
          <w:p w14:paraId="4557156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992" w:type="dxa"/>
          </w:tcPr>
          <w:p w14:paraId="38DC177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850" w:type="dxa"/>
          </w:tcPr>
          <w:p w14:paraId="6E7DC37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709" w:type="dxa"/>
          </w:tcPr>
          <w:p w14:paraId="69BFA64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785A148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c>
          <w:tcPr>
            <w:tcW w:w="992" w:type="dxa"/>
          </w:tcPr>
          <w:p w14:paraId="32D1939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2</w:t>
            </w:r>
          </w:p>
        </w:tc>
      </w:tr>
      <w:tr w:rsidR="00CC66E3" w:rsidRPr="00CC66E3" w14:paraId="22FAB72E" w14:textId="77777777" w:rsidTr="00CC66E3">
        <w:tc>
          <w:tcPr>
            <w:tcW w:w="1129" w:type="dxa"/>
          </w:tcPr>
          <w:p w14:paraId="1107D5F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Primary Ab</w:t>
            </w:r>
          </w:p>
        </w:tc>
        <w:tc>
          <w:tcPr>
            <w:tcW w:w="746" w:type="dxa"/>
          </w:tcPr>
          <w:p w14:paraId="74A775E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5763530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PDL1</w:t>
            </w:r>
          </w:p>
        </w:tc>
        <w:tc>
          <w:tcPr>
            <w:tcW w:w="993" w:type="dxa"/>
          </w:tcPr>
          <w:p w14:paraId="1875C05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DC-Lamp</w:t>
            </w:r>
          </w:p>
        </w:tc>
        <w:tc>
          <w:tcPr>
            <w:tcW w:w="837" w:type="dxa"/>
          </w:tcPr>
          <w:p w14:paraId="785F857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CD45</w:t>
            </w:r>
          </w:p>
        </w:tc>
        <w:tc>
          <w:tcPr>
            <w:tcW w:w="864" w:type="dxa"/>
          </w:tcPr>
          <w:p w14:paraId="038F2BB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CD20</w:t>
            </w:r>
          </w:p>
        </w:tc>
        <w:tc>
          <w:tcPr>
            <w:tcW w:w="992" w:type="dxa"/>
          </w:tcPr>
          <w:p w14:paraId="268D32C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CD68</w:t>
            </w:r>
          </w:p>
        </w:tc>
        <w:tc>
          <w:tcPr>
            <w:tcW w:w="850" w:type="dxa"/>
          </w:tcPr>
          <w:p w14:paraId="11E286B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CD11b</w:t>
            </w:r>
          </w:p>
        </w:tc>
        <w:tc>
          <w:tcPr>
            <w:tcW w:w="709" w:type="dxa"/>
          </w:tcPr>
          <w:p w14:paraId="3A57D73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56E7B7D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EOMES</w:t>
            </w:r>
          </w:p>
        </w:tc>
        <w:tc>
          <w:tcPr>
            <w:tcW w:w="992" w:type="dxa"/>
          </w:tcPr>
          <w:p w14:paraId="12856830"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PanCK</w:t>
            </w:r>
            <w:proofErr w:type="spellEnd"/>
          </w:p>
        </w:tc>
      </w:tr>
      <w:tr w:rsidR="00CC66E3" w:rsidRPr="00CC66E3" w14:paraId="5E09543A" w14:textId="77777777" w:rsidTr="00CC66E3">
        <w:tc>
          <w:tcPr>
            <w:tcW w:w="1129" w:type="dxa"/>
          </w:tcPr>
          <w:p w14:paraId="07522CF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Supplier</w:t>
            </w:r>
          </w:p>
        </w:tc>
        <w:tc>
          <w:tcPr>
            <w:tcW w:w="746" w:type="dxa"/>
          </w:tcPr>
          <w:p w14:paraId="7693BD9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1CDE57F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Cell </w:t>
            </w:r>
            <w:proofErr w:type="spellStart"/>
            <w:r w:rsidRPr="00CC66E3">
              <w:rPr>
                <w:rFonts w:ascii="Calibri" w:hAnsi="Calibri" w:cs="Calibri"/>
                <w:sz w:val="14"/>
                <w:szCs w:val="14"/>
              </w:rPr>
              <w:t>signaling</w:t>
            </w:r>
            <w:proofErr w:type="spellEnd"/>
          </w:p>
        </w:tc>
        <w:tc>
          <w:tcPr>
            <w:tcW w:w="993" w:type="dxa"/>
          </w:tcPr>
          <w:p w14:paraId="18E0E15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Novus Bio</w:t>
            </w:r>
          </w:p>
        </w:tc>
        <w:tc>
          <w:tcPr>
            <w:tcW w:w="837" w:type="dxa"/>
          </w:tcPr>
          <w:p w14:paraId="06328FB2"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BioLegend</w:t>
            </w:r>
            <w:proofErr w:type="spellEnd"/>
          </w:p>
        </w:tc>
        <w:tc>
          <w:tcPr>
            <w:tcW w:w="864" w:type="dxa"/>
          </w:tcPr>
          <w:p w14:paraId="5CBF4A2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992" w:type="dxa"/>
          </w:tcPr>
          <w:p w14:paraId="318C6D4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850" w:type="dxa"/>
          </w:tcPr>
          <w:p w14:paraId="7348C54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c>
          <w:tcPr>
            <w:tcW w:w="709" w:type="dxa"/>
          </w:tcPr>
          <w:p w14:paraId="49C462F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0E15B6D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Millipore</w:t>
            </w:r>
          </w:p>
        </w:tc>
        <w:tc>
          <w:tcPr>
            <w:tcW w:w="992" w:type="dxa"/>
          </w:tcPr>
          <w:p w14:paraId="7213008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Abcam</w:t>
            </w:r>
          </w:p>
        </w:tc>
      </w:tr>
      <w:tr w:rsidR="00CC66E3" w:rsidRPr="00CC66E3" w14:paraId="4589AE82" w14:textId="77777777" w:rsidTr="00CC66E3">
        <w:tc>
          <w:tcPr>
            <w:tcW w:w="1129" w:type="dxa"/>
          </w:tcPr>
          <w:p w14:paraId="26F10CA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Clone/Product</w:t>
            </w:r>
          </w:p>
        </w:tc>
        <w:tc>
          <w:tcPr>
            <w:tcW w:w="746" w:type="dxa"/>
          </w:tcPr>
          <w:p w14:paraId="087F963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21B1DE19"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E1L3N</w:t>
            </w:r>
          </w:p>
        </w:tc>
        <w:tc>
          <w:tcPr>
            <w:tcW w:w="993" w:type="dxa"/>
          </w:tcPr>
          <w:p w14:paraId="3FA2281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1010E1.01</w:t>
            </w:r>
          </w:p>
        </w:tc>
        <w:tc>
          <w:tcPr>
            <w:tcW w:w="837" w:type="dxa"/>
          </w:tcPr>
          <w:p w14:paraId="4AE7FCD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H130</w:t>
            </w:r>
          </w:p>
        </w:tc>
        <w:tc>
          <w:tcPr>
            <w:tcW w:w="864" w:type="dxa"/>
          </w:tcPr>
          <w:p w14:paraId="40DC078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L26</w:t>
            </w:r>
          </w:p>
        </w:tc>
        <w:tc>
          <w:tcPr>
            <w:tcW w:w="992" w:type="dxa"/>
          </w:tcPr>
          <w:p w14:paraId="5419485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PG-M1</w:t>
            </w:r>
          </w:p>
        </w:tc>
        <w:tc>
          <w:tcPr>
            <w:tcW w:w="850" w:type="dxa"/>
          </w:tcPr>
          <w:p w14:paraId="68FA09D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EPR1344</w:t>
            </w:r>
          </w:p>
        </w:tc>
        <w:tc>
          <w:tcPr>
            <w:tcW w:w="709" w:type="dxa"/>
          </w:tcPr>
          <w:p w14:paraId="5B57CF0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52ADFE2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poly</w:t>
            </w:r>
          </w:p>
        </w:tc>
        <w:tc>
          <w:tcPr>
            <w:tcW w:w="992" w:type="dxa"/>
          </w:tcPr>
          <w:p w14:paraId="77FD253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AE1/AE3</w:t>
            </w:r>
          </w:p>
        </w:tc>
      </w:tr>
      <w:tr w:rsidR="00CC66E3" w:rsidRPr="00CC66E3" w14:paraId="2978998C" w14:textId="77777777" w:rsidTr="00CC66E3">
        <w:tc>
          <w:tcPr>
            <w:tcW w:w="1129" w:type="dxa"/>
          </w:tcPr>
          <w:p w14:paraId="4DF8910F"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Concentration</w:t>
            </w:r>
          </w:p>
        </w:tc>
        <w:tc>
          <w:tcPr>
            <w:tcW w:w="746" w:type="dxa"/>
          </w:tcPr>
          <w:p w14:paraId="53E1D28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1955617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w:t>
            </w:r>
          </w:p>
        </w:tc>
        <w:tc>
          <w:tcPr>
            <w:tcW w:w="993" w:type="dxa"/>
          </w:tcPr>
          <w:p w14:paraId="7B894B2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w:t>
            </w:r>
          </w:p>
        </w:tc>
        <w:tc>
          <w:tcPr>
            <w:tcW w:w="837" w:type="dxa"/>
          </w:tcPr>
          <w:p w14:paraId="5D14FC1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w:t>
            </w:r>
          </w:p>
        </w:tc>
        <w:tc>
          <w:tcPr>
            <w:tcW w:w="864" w:type="dxa"/>
          </w:tcPr>
          <w:p w14:paraId="0918185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1/1000</w:t>
            </w:r>
          </w:p>
        </w:tc>
        <w:tc>
          <w:tcPr>
            <w:tcW w:w="992" w:type="dxa"/>
          </w:tcPr>
          <w:p w14:paraId="7C6A592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1/50</w:t>
            </w:r>
          </w:p>
        </w:tc>
        <w:tc>
          <w:tcPr>
            <w:tcW w:w="850" w:type="dxa"/>
          </w:tcPr>
          <w:p w14:paraId="16EA488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1/1000</w:t>
            </w:r>
          </w:p>
        </w:tc>
        <w:tc>
          <w:tcPr>
            <w:tcW w:w="709" w:type="dxa"/>
          </w:tcPr>
          <w:p w14:paraId="34EDB23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1DDAF140"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1/1000</w:t>
            </w:r>
          </w:p>
        </w:tc>
        <w:tc>
          <w:tcPr>
            <w:tcW w:w="992" w:type="dxa"/>
          </w:tcPr>
          <w:p w14:paraId="7365F51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1/2000</w:t>
            </w:r>
          </w:p>
        </w:tc>
      </w:tr>
      <w:tr w:rsidR="00CC66E3" w:rsidRPr="00CC66E3" w14:paraId="2A92DBA5" w14:textId="77777777" w:rsidTr="00CC66E3">
        <w:tc>
          <w:tcPr>
            <w:tcW w:w="1129" w:type="dxa"/>
          </w:tcPr>
          <w:p w14:paraId="12A7653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3AE2517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175BDFFB"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3" w:type="dxa"/>
          </w:tcPr>
          <w:p w14:paraId="3AAC57EE"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37" w:type="dxa"/>
          </w:tcPr>
          <w:p w14:paraId="00B624B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64" w:type="dxa"/>
          </w:tcPr>
          <w:p w14:paraId="66AA955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392FC17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0" w:type="dxa"/>
          </w:tcPr>
          <w:p w14:paraId="781D9A2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09" w:type="dxa"/>
          </w:tcPr>
          <w:p w14:paraId="22B0365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5D2195D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6C7DA0E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r>
      <w:tr w:rsidR="00CC66E3" w:rsidRPr="00CC66E3" w14:paraId="7D9F3967" w14:textId="77777777" w:rsidTr="00CC66E3">
        <w:tc>
          <w:tcPr>
            <w:tcW w:w="1129" w:type="dxa"/>
          </w:tcPr>
          <w:p w14:paraId="5F010A0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45EB8F0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78DA03F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3</w:t>
            </w:r>
          </w:p>
        </w:tc>
        <w:tc>
          <w:tcPr>
            <w:tcW w:w="993" w:type="dxa"/>
          </w:tcPr>
          <w:p w14:paraId="5ED7C69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37" w:type="dxa"/>
          </w:tcPr>
          <w:p w14:paraId="16EA8C5D"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64" w:type="dxa"/>
          </w:tcPr>
          <w:p w14:paraId="3F1788C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04E70E97"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0" w:type="dxa"/>
          </w:tcPr>
          <w:p w14:paraId="2F27779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09" w:type="dxa"/>
          </w:tcPr>
          <w:p w14:paraId="1823D9AA"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32620143"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74D72B2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Round 3</w:t>
            </w:r>
          </w:p>
        </w:tc>
      </w:tr>
      <w:tr w:rsidR="00CC66E3" w:rsidRPr="00CC66E3" w14:paraId="569B5269" w14:textId="77777777" w:rsidTr="00CC66E3">
        <w:tc>
          <w:tcPr>
            <w:tcW w:w="1129" w:type="dxa"/>
          </w:tcPr>
          <w:p w14:paraId="606A1422"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46" w:type="dxa"/>
          </w:tcPr>
          <w:p w14:paraId="609355F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55" w:type="dxa"/>
          </w:tcPr>
          <w:p w14:paraId="0F5590A4"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Hematoxylin</w:t>
            </w:r>
            <w:proofErr w:type="spellEnd"/>
          </w:p>
        </w:tc>
        <w:tc>
          <w:tcPr>
            <w:tcW w:w="993" w:type="dxa"/>
          </w:tcPr>
          <w:p w14:paraId="609AA7FC"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37" w:type="dxa"/>
          </w:tcPr>
          <w:p w14:paraId="282B688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64" w:type="dxa"/>
          </w:tcPr>
          <w:p w14:paraId="2455F828"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111DECB4"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0" w:type="dxa"/>
          </w:tcPr>
          <w:p w14:paraId="440E6485"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709" w:type="dxa"/>
          </w:tcPr>
          <w:p w14:paraId="773325D1"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851" w:type="dxa"/>
          </w:tcPr>
          <w:p w14:paraId="003ECB86" w14:textId="77777777" w:rsidR="00CC66E3" w:rsidRPr="00CC66E3" w:rsidRDefault="00CC66E3" w:rsidP="00CC66E3">
            <w:pPr>
              <w:jc w:val="both"/>
              <w:rPr>
                <w:rFonts w:ascii="Calibri" w:hAnsi="Calibri" w:cs="Calibri"/>
                <w:sz w:val="14"/>
                <w:szCs w:val="14"/>
              </w:rPr>
            </w:pPr>
            <w:r w:rsidRPr="00CC66E3">
              <w:rPr>
                <w:rFonts w:ascii="Calibri" w:hAnsi="Calibri" w:cs="Calibri"/>
                <w:sz w:val="14"/>
                <w:szCs w:val="14"/>
              </w:rPr>
              <w:t xml:space="preserve"> </w:t>
            </w:r>
          </w:p>
        </w:tc>
        <w:tc>
          <w:tcPr>
            <w:tcW w:w="992" w:type="dxa"/>
          </w:tcPr>
          <w:p w14:paraId="04128C41" w14:textId="77777777" w:rsidR="00CC66E3" w:rsidRPr="00CC66E3" w:rsidRDefault="00CC66E3" w:rsidP="00CC66E3">
            <w:pPr>
              <w:jc w:val="both"/>
              <w:rPr>
                <w:rFonts w:ascii="Calibri" w:hAnsi="Calibri" w:cs="Calibri"/>
                <w:sz w:val="14"/>
                <w:szCs w:val="14"/>
              </w:rPr>
            </w:pPr>
            <w:proofErr w:type="spellStart"/>
            <w:r w:rsidRPr="00CC66E3">
              <w:rPr>
                <w:rFonts w:ascii="Calibri" w:hAnsi="Calibri" w:cs="Calibri"/>
                <w:sz w:val="14"/>
                <w:szCs w:val="14"/>
              </w:rPr>
              <w:t>Hematoxylin</w:t>
            </w:r>
            <w:proofErr w:type="spellEnd"/>
          </w:p>
        </w:tc>
      </w:tr>
    </w:tbl>
    <w:p w14:paraId="0C85CA66" w14:textId="733E508C" w:rsidR="00CC66E3" w:rsidRPr="00CC66E3" w:rsidRDefault="00CC66E3" w:rsidP="00CC66E3">
      <w:pPr>
        <w:spacing w:line="480" w:lineRule="auto"/>
        <w:jc w:val="both"/>
        <w:rPr>
          <w:rFonts w:ascii="Calibri" w:hAnsi="Calibri"/>
        </w:rPr>
      </w:pPr>
    </w:p>
    <w:p w14:paraId="18214BC0" w14:textId="4EDD446C" w:rsidR="00D66757" w:rsidRPr="00CC66E3" w:rsidRDefault="00CC66E3" w:rsidP="00CC66E3">
      <w:pPr>
        <w:spacing w:line="480" w:lineRule="auto"/>
        <w:jc w:val="both"/>
        <w:rPr>
          <w:rFonts w:ascii="Calibri" w:hAnsi="Calibri"/>
        </w:rPr>
      </w:pPr>
      <w:r w:rsidRPr="00CC66E3">
        <w:rPr>
          <w:rFonts w:ascii="Calibri" w:hAnsi="Calibri"/>
        </w:rPr>
        <w:t xml:space="preserve">The secondary HRP-conjugated antibodies anti-mouse and anti-rabbit used were </w:t>
      </w:r>
      <w:proofErr w:type="spellStart"/>
      <w:r w:rsidRPr="00CC66E3">
        <w:rPr>
          <w:rFonts w:ascii="Calibri" w:hAnsi="Calibri"/>
        </w:rPr>
        <w:t>Histofine</w:t>
      </w:r>
      <w:proofErr w:type="spellEnd"/>
      <w:r w:rsidRPr="00CC66E3">
        <w:rPr>
          <w:rFonts w:ascii="Calibri" w:hAnsi="Calibri"/>
        </w:rPr>
        <w:t xml:space="preserve">® Simple </w:t>
      </w:r>
      <w:proofErr w:type="spellStart"/>
      <w:r w:rsidRPr="00CC66E3">
        <w:rPr>
          <w:rFonts w:ascii="Calibri" w:hAnsi="Calibri"/>
        </w:rPr>
        <w:t>Stain</w:t>
      </w:r>
      <w:r w:rsidRPr="00CC66E3">
        <w:rPr>
          <w:rFonts w:ascii="Calibri" w:hAnsi="Calibri"/>
          <w:vertAlign w:val="superscript"/>
        </w:rPr>
        <w:t>TM</w:t>
      </w:r>
      <w:proofErr w:type="spellEnd"/>
      <w:r w:rsidRPr="00CC66E3">
        <w:rPr>
          <w:rFonts w:ascii="Calibri" w:hAnsi="Calibri"/>
        </w:rPr>
        <w:t xml:space="preserve"> (MAX PO, Nichirei biosciences) and biotinylated anti-rat antibody (BA-4001, Vector laboratories). Peroxidase detection was performed with AEC solution (SK-4200, Vector laboratories). After each round, AEC was removed by ethanol washes and HRP inactivated with </w:t>
      </w:r>
      <w:proofErr w:type="spellStart"/>
      <w:r w:rsidRPr="00CC66E3">
        <w:rPr>
          <w:rFonts w:ascii="Calibri" w:hAnsi="Calibri"/>
        </w:rPr>
        <w:t>Dako</w:t>
      </w:r>
      <w:proofErr w:type="spellEnd"/>
      <w:r w:rsidRPr="00CC66E3">
        <w:rPr>
          <w:rFonts w:ascii="Calibri" w:hAnsi="Calibri"/>
        </w:rPr>
        <w:t xml:space="preserve"> S2003. After each cycle the antibodies were stripped with heat-mediated antigen retrieval (Citrate buffer pH6). All the images were processed as per method described previously</w:t>
      </w:r>
      <w:r>
        <w:rPr>
          <w:rFonts w:ascii="Calibri" w:hAnsi="Calibri"/>
        </w:rPr>
        <w:fldChar w:fldCharType="begin"/>
      </w:r>
      <w:r w:rsidR="00D66757">
        <w:rPr>
          <w:rFonts w:ascii="Calibri" w:hAnsi="Calibri"/>
        </w:rPr>
        <w:instrText xml:space="preserve"> ADDIN ZOTERO_ITEM CSL_CITATION {"citationID":"EwRIKFze","properties":{"formattedCitation":"(10,11)","plainCitation":"(10,11)","noteIndex":0},"citationItems":[{"id":850,"uris":["http://zotero.org/users/5058104/items/CFHF7J6J"],"uri":["http://zotero.org/users/5058104/items/CFHF7J6J"],"itemData":{"id":850,"type":"article-journal","abstract":"Here, we describe a multiplexed immunohistochemical platform with computational image processing workflows, including image cytometry, enabling simultaneous evaluation of 12 biomarkers in one formalin-fixed paraffin-embedded tissue section. To validate this platform, we used tissue microarrays containing 38 archival head and neck squamous cell carcinomas and revealed differential immune profiles based on lymphoid and myeloid cell densities, correlating with human papilloma virus status and prognosis. Based on these results, we investigated 24 pancreatic ductal adenocarcinomas from patients who received neoadjuvant GVAX vaccination and revealed that response to therapy correlated with degree of mono-myelocytic cell density and percentages of CD8+ T cells expressing T cell exhaustion markers. These data highlight the utility of in situ immune monitoring for patient stratification and provide digital image processing pipelines to the community for examining immune complexity in precious tissue sections, where phenotype and tissue architecture are preserved to improve biomarker discovery and assessment.","container-title":"Cell Reports","DOI":"10.1016/j.celrep.2017.03.037","ISSN":"2211-1247","issue":"1","journalAbbreviation":"Cell Reports","language":"en","page":"203-217","source":"ScienceDirect","title":"Quantitative Multiplex Immunohistochemistry Reveals Myeloid-Inflamed Tumor-Immune Complexity Associated with Poor Prognosis","volume":"19","author":[{"family":"Tsujikawa","given":"Takahiro"},{"family":"Kumar","given":"Sushil"},{"family":"Borkar","given":"Rohan N."},{"family":"Azimi","given":"Vahid"},{"family":"Thibault","given":"Guillaume"},{"family":"Chang","given":"Young Hwan"},{"family":"Balter","given":"Ariel"},{"family":"Kawashima","given":"Rie"},{"family":"Choe","given":"Gina"},{"family":"Sauer","given":"David"},{"family":"El Rassi","given":"Edward"},{"family":"Clayburgh","given":"Daniel R."},{"family":"Kulesz-Martin","given":"Molly F."},{"family":"Lutz","given":"Eric R."},{"family":"Zheng","given":"Lei"},{"family":"Jaffee","given":"Elizabeth M."},{"family":"Leyshock","given":"Patrick"},{"family":"Margolin","given":"Adam A."},{"family":"Mori","given":"Motomi"},{"family":"Gray","given":"Joe W."},{"family":"Flint","given":"Paul W."},{"family":"Coussens","given":"Lisa M."}],"issued":{"date-parts":[["2017",4,4]]}}},{"id":854,"uris":["http://zotero.org/users/5058104/items/8PB9NJYY"],"uri":["http://zotero.org/users/5058104/items/8PB9NJYY"],"itemData":{"id":854,"type":"article-journal","abstract":"Biomarker assessments of tumor specimens is widely used in cancer research to audit tumor cell intrinsic as well as tumor cell extrinsic features including the diversity of immune, stromal, and mesenchymal cells. To comprehensively and quantitatively audit the tumor-immune microenvironment (TiME), we developed a novel multiplex immunohistochemistry (mIHC) platform and computational image processing workflow using a single formalin-fixed paraffin-embedded (FFPE) tissue section. Herein, we validated this platform using nine matched primary newly diagnosed and recurrent head and neck squamous cell carcinoma (HNSCC) sections sequentially subjected to immunodetection with a panel of 29 antibodies identifying malignant tumor cells, and 17 distinct leukocyte lineages and their functional states. Image cytometric analysis was applied to interpret chromogenic signals from digitally scanned and coregistered light microscopy-based images enabling identification and quantification of individual tumor cells, structural features, immune cell phenotypes and their functional state. In agreement with our previous study via a 12-plex imaging mIHC platform, myeloid-inflamed status in newly diagnosed primary tumors associated with significantly short progression free survival, independent of lymphoid-inflamed status. Spatial distribution of tumor and immune cell lineages in TiME was also examined and revealed statistically significant CD8+ T cell exclusion from tumor nests, whereas regulatory T cells and myeloid cells, when present in close proximity to tumor cells, highly associated with rapid cancer recurrence. These findings indicate presence of differential immune-spatial profiles in newly diagnosed and recurrent HNSCC, and establish the robustness of the 29-plex mIHC platform and associated analytics for quantitative analysis of single tissue sections revealing longitudinal TiME changes.","container-title":"Methods in Enzymology","DOI":"10.1016/bs.mie.2019.05.039","ISSN":"1557-7988","journalAbbreviation":"Meth. Enzymol.","language":"eng","note":"PMID: 32122539","page":"1-20","source":"PubMed","title":"High-dimensional multiplexed immunohistochemical characterization of immune contexture in human cancers","volume":"635","author":[{"family":"Banik","given":"Grace"},{"family":"Betts","given":"Courtney B."},{"family":"Liudahl","given":"Shannon M."},{"family":"Sivagnanam","given":"Shamilene"},{"family":"Kawashima","given":"Rie"},{"family":"Cotechini","given":"Tiziana"},{"family":"Larson","given":"William"},{"family":"Goecks","given":"Jeremy"},{"family":"Pai","given":"Sara I."},{"family":"Clayburgh","given":"Daniel R."},{"family":"Tsujikawa","given":"Takahiro"},{"family":"Coussens","given":"Lisa M."}],"issued":{"date-parts":[["2020"]]}}}],"schema":"https://github.com/citation-style-language/schema/raw/master/csl-citation.json"} </w:instrText>
      </w:r>
      <w:r>
        <w:rPr>
          <w:rFonts w:ascii="Calibri" w:hAnsi="Calibri"/>
        </w:rPr>
        <w:fldChar w:fldCharType="separate"/>
      </w:r>
      <w:r w:rsidR="00D66757">
        <w:rPr>
          <w:rFonts w:ascii="Calibri" w:hAnsi="Calibri"/>
          <w:noProof/>
        </w:rPr>
        <w:t>(10,11)</w:t>
      </w:r>
      <w:r>
        <w:rPr>
          <w:rFonts w:ascii="Calibri" w:hAnsi="Calibri"/>
        </w:rPr>
        <w:fldChar w:fldCharType="end"/>
      </w:r>
      <w:r w:rsidRPr="00CC66E3">
        <w:rPr>
          <w:rFonts w:ascii="Calibri" w:hAnsi="Calibri"/>
        </w:rPr>
        <w:t>. Data analysis was performed on carcinoma and stromal area using FCS Express 7 Image Cytometry software (De Novo Software)</w:t>
      </w:r>
      <w:r w:rsidR="00D66757">
        <w:rPr>
          <w:rFonts w:ascii="Calibri" w:hAnsi="Calibri"/>
        </w:rPr>
        <w:t xml:space="preserve">, based on lineage markers described in Supplementary Table </w:t>
      </w:r>
      <w:r w:rsidR="00693416">
        <w:rPr>
          <w:rFonts w:ascii="Calibri" w:hAnsi="Calibri"/>
        </w:rPr>
        <w:t>2</w:t>
      </w:r>
      <w:r w:rsidR="00D66757">
        <w:rPr>
          <w:rFonts w:ascii="Calibri" w:hAnsi="Calibri"/>
        </w:rPr>
        <w:t>.</w:t>
      </w:r>
    </w:p>
    <w:p w14:paraId="0E8707AD" w14:textId="77777777" w:rsidR="00F67021" w:rsidRDefault="00F67021" w:rsidP="00F67021">
      <w:pPr>
        <w:spacing w:line="480" w:lineRule="auto"/>
        <w:jc w:val="both"/>
        <w:rPr>
          <w:b/>
        </w:rPr>
      </w:pPr>
    </w:p>
    <w:p w14:paraId="6D3E3C1B" w14:textId="77777777" w:rsidR="00F67021" w:rsidRPr="00C415A9" w:rsidRDefault="00F67021" w:rsidP="00F67021">
      <w:pPr>
        <w:spacing w:line="480" w:lineRule="auto"/>
        <w:jc w:val="both"/>
        <w:rPr>
          <w:b/>
        </w:rPr>
      </w:pPr>
      <w:r>
        <w:rPr>
          <w:b/>
        </w:rPr>
        <w:t xml:space="preserve">Neoantigen prediction and </w:t>
      </w:r>
      <w:r w:rsidRPr="00C415A9">
        <w:rPr>
          <w:b/>
        </w:rPr>
        <w:t>LOHHLA</w:t>
      </w:r>
    </w:p>
    <w:p w14:paraId="0794C3DC" w14:textId="1380491C" w:rsidR="00F67021" w:rsidRPr="00771D25" w:rsidRDefault="00F67021" w:rsidP="00F67021">
      <w:pPr>
        <w:spacing w:line="480" w:lineRule="auto"/>
        <w:ind w:firstLine="720"/>
        <w:jc w:val="both"/>
        <w:rPr>
          <w:lang w:val="en-US"/>
        </w:rPr>
      </w:pPr>
      <w:r w:rsidRPr="00771D25">
        <w:rPr>
          <w:lang w:val="en-US"/>
        </w:rPr>
        <w:t xml:space="preserve">HLA typing was performed using </w:t>
      </w:r>
      <w:proofErr w:type="spellStart"/>
      <w:r w:rsidRPr="00771D25">
        <w:rPr>
          <w:lang w:val="en-US"/>
        </w:rPr>
        <w:t>Optitype</w:t>
      </w:r>
      <w:proofErr w:type="spellEnd"/>
      <w:r w:rsidRPr="00771D25">
        <w:rPr>
          <w:lang w:val="en-US"/>
        </w:rPr>
        <w:fldChar w:fldCharType="begin"/>
      </w:r>
      <w:r w:rsidR="00D66757">
        <w:rPr>
          <w:lang w:val="en-US"/>
        </w:rPr>
        <w:instrText xml:space="preserve"> ADDIN ZOTERO_ITEM CSL_CITATION {"citationID":"9GQCdhuq","properties":{"formattedCitation":"(12)","plainCitation":"(12)","noteIndex":0},"citationItems":[{"id":226,"uris":["http://zotero.org/users/5058104/items/RZMTXP2J"],"uri":["http://zotero.org/users/5058104/items/RZMTXP2J"],"itemData":{"id":226,"type":"article-journal","abstract":"Motivation: The human leukocyte antigen (HLA) gene cluster plays a crucial role in adaptive immunity and is thus relevant in many biomedical applications. While next-generation sequencing data are often available for a patient, deducing the HLA genotype is difficult because of substantial sequence similarity within the cluster and exceptionally high variability of the loci. Established approaches, therefore, rely on specific HLA enrichment and sequencing techniques, coming at an additional cost and extra turnaround time., Result: We present OptiType, a novel HLA genotyping algorithm based on integer linear programming, capable of producing accurate predictions from NGS data not specifically enriched for the HLA cluster. We also present a comprehensive benchmark dataset consisting of RNA, exome and whole-genome sequencing data. OptiType significantly outperformed previously published in silico approaches with an overall accuracy of 97% enabling its use in a broad range of applications., Contact:\nszolek@informatik.uni-tuebingen.de, Supplementary information:\nSupplementary data are available at Bioinformatics online.","container-title":"Bioinformatics","DOI":"10.1093/bioinformatics/btu548","ISSN":"1367-4803","issue":"23","journalAbbreviation":"Bioinformatics","note":"PMID: 25143287\nPMCID: PMC4441069","page":"3310-3316","source":"PubMed Central","title":"OptiType: precision HLA typing from next-generation sequencing data","title-short":"OptiType","volume":"30","author":[{"family":"Szolek","given":"András"},{"family":"Schubert","given":"Benjamin"},{"family":"Mohr","given":"Christopher"},{"family":"Sturm","given":"Marc"},{"family":"Feldhahn","given":"Magdalena"},{"family":"Kohlbacher","given":"Oliver"}],"issued":{"date-parts":[["2014",12,1]]}}}],"schema":"https://github.com/citation-style-language/schema/raw/master/csl-citation.json"} </w:instrText>
      </w:r>
      <w:r w:rsidRPr="00771D25">
        <w:rPr>
          <w:lang w:val="en-US"/>
        </w:rPr>
        <w:fldChar w:fldCharType="separate"/>
      </w:r>
      <w:r w:rsidR="00D66757">
        <w:rPr>
          <w:rFonts w:ascii="Calibri" w:cs="Calibri"/>
        </w:rPr>
        <w:t>(12)</w:t>
      </w:r>
      <w:r w:rsidRPr="00771D25">
        <w:fldChar w:fldCharType="end"/>
      </w:r>
      <w:r w:rsidRPr="00771D25">
        <w:rPr>
          <w:lang w:val="en-US"/>
        </w:rPr>
        <w:t xml:space="preserve"> on germline (blood) WGS data from each patient. This was used as input for </w:t>
      </w:r>
      <w:proofErr w:type="spellStart"/>
      <w:r w:rsidRPr="00771D25">
        <w:rPr>
          <w:lang w:val="en-US"/>
        </w:rPr>
        <w:t>netMHCpan</w:t>
      </w:r>
      <w:proofErr w:type="spellEnd"/>
      <w:r w:rsidRPr="00771D25">
        <w:rPr>
          <w:lang w:val="en-US"/>
        </w:rPr>
        <w:t xml:space="preserve"> 4.0</w:t>
      </w:r>
      <w:r w:rsidRPr="00771D25">
        <w:rPr>
          <w:lang w:val="en-US"/>
        </w:rPr>
        <w:fldChar w:fldCharType="begin"/>
      </w:r>
      <w:r w:rsidR="00D66757">
        <w:rPr>
          <w:lang w:val="en-US"/>
        </w:rPr>
        <w:instrText xml:space="preserve"> ADDIN ZOTERO_ITEM CSL_CITATION {"citationID":"OH8hH28j","properties":{"formattedCitation":"(13,14)","plainCitation":"(13,14)","noteIndex":0},"citationItems":[{"id":225,"uris":["http://zotero.org/users/5058104/items/3FJD4ARK"],"uri":["http://zotero.org/users/5058104/items/3FJD4ARK"],"itemData":{"id":225,"type":"article-journal","abstract":"MOTIVATION: Many biological processes are guided by receptor interactions with linear ligands of variable length. One such receptor is the MHC class I molecule. The length preferences vary depending on the MHC allele, but are generally limited to peptides of length 8-11 amino acids. On this relatively simple system, we developed a sequence alignment method based on artificial neural networks that allows insertions and deletions in the alignment.\nRESULTS: We show that prediction methods based on alignments that include insertions and deletions have significantly higher performance than methods trained on peptides of single lengths. Also, we illustrate how the location of deletions can aid the interpretation of the modes of binding of the peptide-MHC, as in the case of long peptides bulging out of the MHC groove or protruding at either terminus. Finally, we demonstrate that the method can learn the length profile of different MHC molecules, and quantified the reduction of the experimental effort required to identify potential epitopes using our prediction algorithm.\nAVAILABILITY AND IMPLEMENTATION: The NetMHC-4.0 method for the prediction of peptide-MHC class I binding affinity using gapped sequence alignment is publicly available at: http://www.cbs.dtu.dk/services/NetMHC-4.0.","container-title":"Bioinformatics (Oxford, England)","DOI":"10.1093/bioinformatics/btv639","ISSN":"1367-4811","issue":"4","journalAbbreviation":"Bioinformatics","language":"eng","note":"PMID: 26515819","page":"511-517","source":"PubMed","title":"Gapped sequence alignment using artificial neural networks: application to the MHC class I system","title-short":"Gapped sequence alignment using artificial neural networks","volume":"32","author":[{"family":"Andreatta","given":"Massimo"},{"family":"Nielsen","given":"Morten"}],"issued":{"date-parts":[["2016",2,15]]}}},{"id":224,"uris":["http://zotero.org/users/5058104/items/VJ25DAMI"],"uri":["http://zotero.org/users/5058104/items/VJ25DAMI"],"itemData":{"id":224,"type":"article-journal","abstract":"In this paper we describe an improved neural network method to predict T-cell class I epitopes. A novel input representation has been developed consisting of a combination of sparse encoding, Blosum encoding, and input derived from hidden Markov models. We demonstrate that the combination of several neural networks derived using different sequence-encoding schemes has a performance superior to neural networks derived using a single sequence-encoding scheme. The new method is shown to have a performance that is substantially higher than that of other methods. By use of mutual information calculations we show that peptides that bind to the HLA A*0204 complex display signal of higher order sequence correlations. Neural networks are ideally suited to integrate such higher order correlations when predicting the binding affinity. It is this feature combined with the use of several neural networks derived from different and novel sequence-encoding schemes and the ability of the neural network to be trained on data consisting of continuous binding affinities that gives the new method an improved performance. The difference in predictive performance between the neural network methods and that of the matrix-driven methods is found to be most significant for peptides that bind strongly to the HLA molecule, confirming that the signal of higher order sequence correlation is most strongly present in high-binding peptides. Finally, we use the method to predict T-cell epitopes for the genome of hepatitis C virus and discuss possible applications of the prediction method to guide the process of rational vaccine design.","container-title":"Protein Science: A Publication of the Protein Society","DOI":"10.1110/ps.0239403","ISSN":"0961-8368","issue":"5","journalAbbreviation":"Protein Sci.","language":"eng","note":"PMID: 12717023\nPMCID: PMC2323871","page":"1007-1017","source":"PubMed","title":"Reliable prediction of T-cell epitopes using neural networks with novel sequence representations","volume":"12","author":[{"family":"Nielsen","given":"Morten"},{"family":"Lundegaard","given":"Claus"},{"family":"Worning","given":"Peder"},{"family":"Lauemøller","given":"Sanne Lise"},{"family":"Lamberth","given":"Kasper"},{"family":"Buus","given":"Søren"},{"family":"Brunak","given":"Søren"},{"family":"Lund","given":"Ole"}],"issued":{"date-parts":[["2003",5]]}}}],"schema":"https://github.com/citation-style-language/schema/raw/master/csl-citation.json"} </w:instrText>
      </w:r>
      <w:r w:rsidRPr="00771D25">
        <w:rPr>
          <w:lang w:val="en-US"/>
        </w:rPr>
        <w:fldChar w:fldCharType="separate"/>
      </w:r>
      <w:r w:rsidR="00D66757">
        <w:rPr>
          <w:rFonts w:ascii="Calibri" w:cs="Calibri"/>
        </w:rPr>
        <w:t>(13,14)</w:t>
      </w:r>
      <w:r w:rsidRPr="00771D25">
        <w:fldChar w:fldCharType="end"/>
      </w:r>
      <w:r w:rsidRPr="00771D25">
        <w:rPr>
          <w:lang w:val="en-US"/>
        </w:rPr>
        <w:t xml:space="preserve"> for neoantigen prediction; 9-, 10- and 11-mer peptides were considered for each somatic mutation, called using methods </w:t>
      </w:r>
      <w:r w:rsidRPr="00771D25">
        <w:rPr>
          <w:lang w:val="en-US"/>
        </w:rPr>
        <w:lastRenderedPageBreak/>
        <w:t xml:space="preserve">described above. </w:t>
      </w:r>
      <w:r>
        <w:rPr>
          <w:lang w:val="en-US"/>
        </w:rPr>
        <w:t xml:space="preserve">To assess for quantitative differences between neoantigens in the progressive and regressive groups, we compared their binding affinities (as calculated by </w:t>
      </w:r>
      <w:proofErr w:type="spellStart"/>
      <w:r>
        <w:rPr>
          <w:lang w:val="en-US"/>
        </w:rPr>
        <w:t>netMHCpan</w:t>
      </w:r>
      <w:proofErr w:type="spellEnd"/>
      <w:r>
        <w:rPr>
          <w:lang w:val="en-US"/>
        </w:rPr>
        <w:t xml:space="preserve">) and their differential </w:t>
      </w:r>
      <w:proofErr w:type="spellStart"/>
      <w:r>
        <w:rPr>
          <w:lang w:val="en-US"/>
        </w:rPr>
        <w:t>agretopicity</w:t>
      </w:r>
      <w:proofErr w:type="spellEnd"/>
      <w:r>
        <w:rPr>
          <w:lang w:val="en-US"/>
        </w:rPr>
        <w:t xml:space="preserve"> index (DAI), defined as the difference in binding affinity between mutant and wild-type peptides. Significant differences in these values were not observed between the regressive and progressive groups.</w:t>
      </w:r>
    </w:p>
    <w:p w14:paraId="712A7FB3" w14:textId="7C756EFF" w:rsidR="00F67021" w:rsidRPr="00771D25" w:rsidRDefault="00F67021" w:rsidP="00F67021">
      <w:pPr>
        <w:spacing w:line="480" w:lineRule="auto"/>
        <w:ind w:firstLine="720"/>
        <w:jc w:val="both"/>
        <w:rPr>
          <w:lang w:val="en-US"/>
        </w:rPr>
      </w:pPr>
      <w:r w:rsidRPr="00771D25">
        <w:rPr>
          <w:lang w:val="en-US"/>
        </w:rPr>
        <w:t>The same HLA typing data was used as input to the LOHHLA tool</w:t>
      </w:r>
      <w:r w:rsidRPr="00771D25">
        <w:rPr>
          <w:lang w:val="en-US"/>
        </w:rPr>
        <w:fldChar w:fldCharType="begin"/>
      </w:r>
      <w:r w:rsidR="00D66757">
        <w:rPr>
          <w:lang w:val="en-US"/>
        </w:rPr>
        <w:instrText xml:space="preserve"> ADDIN ZOTERO_ITEM CSL_CITATION {"citationID":"1IvTSD5q","properties":{"formattedCitation":"(15)","plainCitation":"(15)","noteIndex":0},"citationItems":[{"id":39,"uris":["http://zotero.org/users/5058104/items/HX9ZUK56"],"uri":["http://zotero.org/users/5058104/items/HX9ZUK56"],"itemData":{"id":39,"type":"article-journal","container-title":"Cell","DOI":"10.1016/j.cell.2017.10.001","ISSN":"1097-4172 (Electronic) 0092-8674 (Linking)","issue":"6","page":"1259-1271 e11","title":"Allele-Specific HLA Loss and Immune Escape in Lung Cancer Evolution","volume":"171","author":[{"family":"McGranahan","given":"N."},{"family":"Rosenthal","given":"R."},{"family":"Hiley","given":"C. T."},{"family":"Rowan","given":"A. J."},{"family":"Watkins","given":"T. B. K."},{"family":"Wilson","given":"G. A."},{"family":"Birkbak","given":"N. J."},{"family":"Veeriah","given":"S."},{"family":"Van Loo","given":"P."},{"family":"Herrero","given":"J."},{"family":"Swanton","given":"C."},{"family":"Consortium","given":"T. RACERx"}],"issued":{"date-parts":[["2017"]]}}}],"schema":"https://github.com/citation-style-language/schema/raw/master/csl-citation.json"} </w:instrText>
      </w:r>
      <w:r w:rsidRPr="00771D25">
        <w:rPr>
          <w:lang w:val="en-US"/>
        </w:rPr>
        <w:fldChar w:fldCharType="separate"/>
      </w:r>
      <w:r w:rsidR="00D66757">
        <w:rPr>
          <w:rFonts w:ascii="Calibri" w:cs="Calibri"/>
        </w:rPr>
        <w:t>(15)</w:t>
      </w:r>
      <w:r w:rsidRPr="00771D25">
        <w:fldChar w:fldCharType="end"/>
      </w:r>
      <w:r w:rsidRPr="00771D25">
        <w:rPr>
          <w:lang w:val="en-US"/>
        </w:rPr>
        <w:t xml:space="preserve"> (Loss of Heterozygosity in Human Leukocyte Antigen), alongside copy number, purity and ploidy data derived from ASCAT. This tool assesses each sample for the presence of LOH in the HLA region – a difficult task due to polymorphism in this region. Output plots from LOHHLA were visually checked prior to calling the presence or absence of HLA LOH in a sample. </w:t>
      </w:r>
    </w:p>
    <w:p w14:paraId="0671D963" w14:textId="77777777" w:rsidR="00F67021" w:rsidRDefault="00F67021" w:rsidP="00F67021">
      <w:pPr>
        <w:spacing w:line="480" w:lineRule="auto"/>
        <w:jc w:val="both"/>
      </w:pPr>
    </w:p>
    <w:p w14:paraId="58AD590B" w14:textId="77777777" w:rsidR="00F67021" w:rsidRPr="00C415A9" w:rsidRDefault="00F67021" w:rsidP="00F67021">
      <w:pPr>
        <w:spacing w:line="480" w:lineRule="auto"/>
        <w:jc w:val="both"/>
        <w:rPr>
          <w:b/>
        </w:rPr>
      </w:pPr>
      <w:r w:rsidRPr="00C415A9">
        <w:rPr>
          <w:b/>
        </w:rPr>
        <w:t>DMR analysis</w:t>
      </w:r>
    </w:p>
    <w:p w14:paraId="0D3DF00A" w14:textId="61D109E2" w:rsidR="00F67021" w:rsidRDefault="00F67021" w:rsidP="00F67021">
      <w:pPr>
        <w:spacing w:line="480" w:lineRule="auto"/>
        <w:ind w:firstLine="720"/>
        <w:jc w:val="both"/>
        <w:rPr>
          <w:lang w:val="en-US"/>
        </w:rPr>
      </w:pPr>
      <w:r w:rsidRPr="00771D25">
        <w:rPr>
          <w:lang w:val="en-US"/>
        </w:rPr>
        <w:t>Methylation data analysis was performed using the Chip Analysis Methylation Pipeline (</w:t>
      </w:r>
      <w:proofErr w:type="spellStart"/>
      <w:r w:rsidRPr="00771D25">
        <w:rPr>
          <w:lang w:val="en-US"/>
        </w:rPr>
        <w:t>ChAMP</w:t>
      </w:r>
      <w:proofErr w:type="spellEnd"/>
      <w:r w:rsidRPr="00771D25">
        <w:rPr>
          <w:lang w:val="en-US"/>
        </w:rPr>
        <w:t>) Bioconductor package with default settings</w:t>
      </w:r>
      <w:r w:rsidRPr="00771D25">
        <w:rPr>
          <w:lang w:val="en-US"/>
        </w:rPr>
        <w:fldChar w:fldCharType="begin"/>
      </w:r>
      <w:r w:rsidR="00D66757">
        <w:rPr>
          <w:lang w:val="en-US"/>
        </w:rPr>
        <w:instrText xml:space="preserve"> ADDIN ZOTERO_ITEM CSL_CITATION {"citationID":"XXjfmhoT","properties":{"formattedCitation":"(16)","plainCitation":"(16)","noteIndex":0},"citationItems":[{"id":180,"uris":["http://zotero.org/users/5058104/items/HPULJE4U"],"uri":["http://zotero.org/users/5058104/items/HPULJE4U"],"itemData":{"id":180,"type":"article-journal","abstract":"Abstract.  The Illumina Infinium HumanMethylation450 BeadChip is a new platform for high-throughput DNA methylation analysis. Several methods for normalization","container-title":"Bioinformatics","DOI":"10.1093/bioinformatics/btt684","ISSN":"1367-4803","issue":"3","journalAbbreviation":"Bioinformatics","language":"en","page":"428-430","source":"academic.oup.com","title":"ChAMP: 450k Chip Analysis Methylation Pipeline","title-short":"ChAMP","volume":"30","author":[{"family":"Morris","given":"Tiffany J."},{"family":"Butcher","given":"Lee M."},{"family":"Feber","given":"Andrew"},{"family":"Teschendorff","given":"Andrew E."},{"family":"Chakravarthy","given":"Ankur R."},{"family":"Wojdacz","given":"Tomasz K."},{"family":"Beck","given":"Stephan"}],"issued":{"date-parts":[["2014",2,1]]}}}],"schema":"https://github.com/citation-style-language/schema/raw/master/csl-citation.json"} </w:instrText>
      </w:r>
      <w:r w:rsidRPr="00771D25">
        <w:rPr>
          <w:lang w:val="en-US"/>
        </w:rPr>
        <w:fldChar w:fldCharType="separate"/>
      </w:r>
      <w:r w:rsidR="00D66757">
        <w:rPr>
          <w:rFonts w:ascii="Calibri" w:cs="Calibri"/>
          <w:lang w:val="en-US"/>
        </w:rPr>
        <w:t>(16)</w:t>
      </w:r>
      <w:r w:rsidRPr="00771D25">
        <w:fldChar w:fldCharType="end"/>
      </w:r>
      <w:r w:rsidRPr="00771D25">
        <w:rPr>
          <w:lang w:val="en-US"/>
        </w:rPr>
        <w:t xml:space="preserve">. The functions </w:t>
      </w:r>
      <w:proofErr w:type="spellStart"/>
      <w:proofErr w:type="gramStart"/>
      <w:r w:rsidRPr="00771D25">
        <w:rPr>
          <w:lang w:val="en-US"/>
        </w:rPr>
        <w:t>champ.DMP</w:t>
      </w:r>
      <w:proofErr w:type="spellEnd"/>
      <w:r w:rsidRPr="00771D25">
        <w:rPr>
          <w:lang w:val="en-US"/>
        </w:rPr>
        <w:t>(</w:t>
      </w:r>
      <w:proofErr w:type="gramEnd"/>
      <w:r w:rsidRPr="00771D25">
        <w:rPr>
          <w:lang w:val="en-US"/>
        </w:rPr>
        <w:t xml:space="preserve">) and </w:t>
      </w:r>
      <w:proofErr w:type="spellStart"/>
      <w:r w:rsidRPr="00771D25">
        <w:rPr>
          <w:lang w:val="en-US"/>
        </w:rPr>
        <w:t>champ.DMP</w:t>
      </w:r>
      <w:proofErr w:type="spellEnd"/>
      <w:r w:rsidRPr="00771D25">
        <w:rPr>
          <w:lang w:val="en-US"/>
        </w:rPr>
        <w:t xml:space="preserve">() were used to identify differentially methylated probes (DMPs) and differentially methylated regions (DMRs) respectively. Annotation of DMPs and DMRs with </w:t>
      </w:r>
      <w:r>
        <w:rPr>
          <w:lang w:val="en-US"/>
        </w:rPr>
        <w:t>affected</w:t>
      </w:r>
      <w:r w:rsidRPr="00771D25">
        <w:rPr>
          <w:lang w:val="en-US"/>
        </w:rPr>
        <w:t xml:space="preserve"> genes is performed by default within these functions.</w:t>
      </w:r>
    </w:p>
    <w:p w14:paraId="1C2E5879" w14:textId="77777777" w:rsidR="00F67021" w:rsidRDefault="00F67021" w:rsidP="00F67021">
      <w:pPr>
        <w:spacing w:line="480" w:lineRule="auto"/>
        <w:ind w:firstLine="720"/>
        <w:jc w:val="both"/>
        <w:rPr>
          <w:lang w:val="en-US"/>
        </w:rPr>
      </w:pPr>
      <w:r>
        <w:rPr>
          <w:lang w:val="en-US"/>
        </w:rPr>
        <w:t xml:space="preserve">A criticism raised against this analysis is the identification of DMRs affecting a highly polymorphic region of chromosome 6. However, we argue that this is a differential analysis between two groups (progressive and regressive), with results replicated in an independent dataset from TCGA (Cancer vs Control data), therefore should not be affected by polymorphism unless the underlying HLA types are significantly different between the two groups. For each identified HLA type, based on 4-digit resolution, we compared the number </w:t>
      </w:r>
      <w:r>
        <w:rPr>
          <w:lang w:val="en-US"/>
        </w:rPr>
        <w:lastRenderedPageBreak/>
        <w:t>of patients identified in the progressive and regressive groups using a Fisher’s exact test, and did not find any HLA types to be significant with p &lt; 0.05.</w:t>
      </w:r>
    </w:p>
    <w:p w14:paraId="3904CD35" w14:textId="77777777" w:rsidR="00F67021" w:rsidRDefault="00F67021" w:rsidP="00F67021">
      <w:pPr>
        <w:spacing w:line="480" w:lineRule="auto"/>
        <w:jc w:val="both"/>
      </w:pPr>
    </w:p>
    <w:p w14:paraId="08414D63" w14:textId="77777777" w:rsidR="00F67021" w:rsidRDefault="00F67021" w:rsidP="00F67021">
      <w:pPr>
        <w:spacing w:line="480" w:lineRule="auto"/>
        <w:jc w:val="both"/>
        <w:rPr>
          <w:b/>
        </w:rPr>
      </w:pPr>
      <w:r w:rsidRPr="00C415A9">
        <w:rPr>
          <w:b/>
        </w:rPr>
        <w:t>Immune cell quantification from GXN data</w:t>
      </w:r>
    </w:p>
    <w:p w14:paraId="4C428E5B" w14:textId="59358F0A" w:rsidR="00F67021" w:rsidRDefault="00F67021" w:rsidP="00F67021">
      <w:pPr>
        <w:spacing w:line="480" w:lineRule="auto"/>
        <w:ind w:firstLine="720"/>
        <w:jc w:val="both"/>
        <w:rPr>
          <w:lang w:val="en-US"/>
        </w:rPr>
      </w:pPr>
      <w:r w:rsidRPr="00771D25">
        <w:rPr>
          <w:lang w:val="en-US"/>
        </w:rPr>
        <w:t>To estimate relative immune cell populations from gene expression data we applied the method of Danaher et al.</w:t>
      </w:r>
      <w:r w:rsidRPr="00771D25">
        <w:rPr>
          <w:lang w:val="en-US"/>
        </w:rPr>
        <w:fldChar w:fldCharType="begin"/>
      </w:r>
      <w:r w:rsidR="00D66757">
        <w:rPr>
          <w:lang w:val="en-US"/>
        </w:rPr>
        <w:instrText xml:space="preserve"> ADDIN ZOTERO_ITEM CSL_CITATION {"citationID":"8AHL0gHG","properties":{"formattedCitation":"(17)","plainCitation":"(17)","noteIndex":0},"citationItems":[{"id":72,"uris":["http://zotero.org/users/5058104/items/N3QRWX3Y"],"uri":["http://zotero.org/users/5058104/items/N3QRWX3Y"],"itemData":{"id":72,"type":"article-journal","container-title":"J Immunother Cancer","DOI":"10.1186/s40425-017-0215-8","ISSN":"2051-1426 (Electronic) 2051-1426 (Linking)","page":"18","title":"Gene expression markers of Tumor Infiltrating Leukocytes","volume":"5","author":[{"family":"Danaher","given":"P."},{"family":"Warren","given":"S."},{"family":"Dennis","given":"L."},{"family":"D'Amico","given":"L."},{"family":"White","given":"A."},{"family":"Disis","given":"M. L."},{"family":"Geller","given":"M. A."},{"family":"Odunsi","given":"K."},{"family":"Beechem","given":"J."},{"family":"Fling","given":"S. P."}],"issued":{"date-parts":[["2017"]]}}}],"schema":"https://github.com/citation-style-language/schema/raw/master/csl-citation.json"} </w:instrText>
      </w:r>
      <w:r w:rsidRPr="00771D25">
        <w:rPr>
          <w:lang w:val="en-US"/>
        </w:rPr>
        <w:fldChar w:fldCharType="separate"/>
      </w:r>
      <w:r w:rsidR="00D66757">
        <w:rPr>
          <w:rFonts w:ascii="Calibri" w:cs="Calibri"/>
        </w:rPr>
        <w:t>(17)</w:t>
      </w:r>
      <w:r w:rsidRPr="00771D25">
        <w:fldChar w:fldCharType="end"/>
      </w:r>
      <w:r>
        <w:t xml:space="preserve"> This method was chosen as it has been shown to out-perform similar methods when benchmarked against immunohistochemistry in a large analysis of early-stage invasive lung cancer</w:t>
      </w:r>
      <w:r>
        <w:fldChar w:fldCharType="begin"/>
      </w:r>
      <w:r w:rsidR="00D66757">
        <w:instrText xml:space="preserve"> ADDIN ZOTERO_ITEM CSL_CITATION {"citationID":"EocxD1uE","properties":{"formattedCitation":"(18)","plainCitation":"(18)","noteIndex":0},"citationItems":[{"id":293,"uris":["http://zotero.org/users/5058104/items/EGSR7AFF"],"uri":["http://zotero.org/users/5058104/items/EGSR7AFF"],"itemData":{"id":293,"type":"article-journal","abstract":"RNA sequencing data and tumour pathology observations of non-small-cell lung cancers indicate that the immune cell microenvironment exerts strong evolutionary selection pressures that shape the immune-evasion capacity of tumours.","container-title":"Nature","DOI":"10.1038/s41586-019-1032-7","ISSN":"1476-4687","language":"En","page":"1","source":"www.nature.com","title":"Neoantigen-directed immune escape in lung cancer evolution","author":[{"family":"Rosenthal","given":"Rachel"},{"family":"Cadieux","given":"Elizabeth Larose"},{"family":"Salgado","given":"Roberto"},{"family":"Bakir","given":"Maise Al"},{"family":"Moore","given":"David A."},{"family":"Hiley","given":"Crispin T."},{"family":"Lund","given":"Tom"},{"family":"Tanić","given":"Miljana"},{"family":"Reading","given":"James L."},{"family":"Joshi","given":"Kroopa"},{"family":"Henry","given":"Jake Y."},{"family":"Ghorani","given":"Ehsan"},{"family":"Wilson","given":"Gareth A."},{"family":"Birkbak","given":"Nicolai J."},{"family":"Jamal-Hanjani","given":"Mariam"},{"family":"Veeriah","given":"Selvaraju"},{"family":"Szallasi","given":"Zoltan"},{"family":"Loi","given":"Sherene"},{"family":"Hellmann","given":"Matthew D."},{"family":"Feber","given":"Andrew"},{"family":"Chain","given":"Benny"},{"family":"Herrero","given":"Javier"},{"family":"Quezada","given":"Sergio A."},{"family":"Demeulemeester","given":"Jonas"},{"family":"Loo","given":"Peter Van"},{"family":"Beck","given":"Stephan"},{"family":"McGranahan","given":"Nicholas"},{"family":"Swanton","given":"Charles"}],"issued":{"date-parts":[["2019",3,20]]}}}],"schema":"https://github.com/citation-style-language/schema/raw/master/csl-citation.json"} </w:instrText>
      </w:r>
      <w:r>
        <w:fldChar w:fldCharType="separate"/>
      </w:r>
      <w:r w:rsidR="00D66757">
        <w:rPr>
          <w:rFonts w:ascii="Calibri" w:cs="Calibri"/>
        </w:rPr>
        <w:t>(18)</w:t>
      </w:r>
      <w:r>
        <w:fldChar w:fldCharType="end"/>
      </w:r>
      <w:r w:rsidRPr="00771D25">
        <w:rPr>
          <w:lang w:val="en-US"/>
        </w:rPr>
        <w:t>. Briefly, for each of 15 immune cell types, a small set of genes is defined which has been shown to correlate with the presence of that cell type. For each cell type, the mean expression of its associated genes gives a ‘score’ for that cell type. If a gene is not measured by the Affymetrix microarray used, that gene is ignored.</w:t>
      </w:r>
    </w:p>
    <w:p w14:paraId="305C0629" w14:textId="42B10BFD" w:rsidR="00F67021" w:rsidRDefault="00F67021" w:rsidP="00F67021">
      <w:pPr>
        <w:spacing w:line="480" w:lineRule="auto"/>
        <w:ind w:firstLine="720"/>
        <w:jc w:val="both"/>
        <w:rPr>
          <w:lang w:val="en-US"/>
        </w:rPr>
      </w:pPr>
      <w:r w:rsidRPr="00771D25">
        <w:rPr>
          <w:lang w:val="en-US"/>
        </w:rPr>
        <w:t xml:space="preserve">A ‘TIL score’, estimating the overall infiltration of lymphocytes into the tissue, is calculated by taking the mean of 10 individual cell type scores (B-cells, Cytotoxic cells, Exhausted CD8, Macrophages, Neutrophils, NK CD56dim cells, NK cells, T-cells, Th1 cells, CD8 T cells). This process is encoded in the R function </w:t>
      </w:r>
      <w:proofErr w:type="spellStart"/>
      <w:proofErr w:type="gramStart"/>
      <w:r w:rsidRPr="00771D25">
        <w:rPr>
          <w:lang w:val="en-US"/>
        </w:rPr>
        <w:t>do.danaher</w:t>
      </w:r>
      <w:proofErr w:type="spellEnd"/>
      <w:proofErr w:type="gramEnd"/>
      <w:r w:rsidRPr="00771D25">
        <w:rPr>
          <w:lang w:val="en-US"/>
        </w:rPr>
        <w:t xml:space="preserve">(), which is available from the </w:t>
      </w:r>
      <w:proofErr w:type="spellStart"/>
      <w:r w:rsidRPr="00771D25">
        <w:rPr>
          <w:lang w:val="en-US"/>
        </w:rPr>
        <w:t>Github</w:t>
      </w:r>
      <w:proofErr w:type="spellEnd"/>
      <w:r w:rsidRPr="00771D25">
        <w:rPr>
          <w:lang w:val="en-US"/>
        </w:rPr>
        <w:t xml:space="preserve"> repository accompanying this paper.</w:t>
      </w:r>
    </w:p>
    <w:p w14:paraId="1D25C872" w14:textId="27CE4042" w:rsidR="008E27AE" w:rsidRDefault="008E27AE" w:rsidP="00F67021">
      <w:pPr>
        <w:spacing w:line="480" w:lineRule="auto"/>
        <w:ind w:firstLine="720"/>
        <w:jc w:val="both"/>
        <w:rPr>
          <w:lang w:val="en-US"/>
        </w:rPr>
      </w:pPr>
      <w:r>
        <w:rPr>
          <w:lang w:val="en-US"/>
        </w:rPr>
        <w:t xml:space="preserve">In order to further justify our choice of the Danaher method, we compared the results with two different methods: the </w:t>
      </w:r>
      <w:proofErr w:type="spellStart"/>
      <w:r>
        <w:rPr>
          <w:lang w:val="en-US"/>
        </w:rPr>
        <w:t>Davoli</w:t>
      </w:r>
      <w:proofErr w:type="spellEnd"/>
      <w:r>
        <w:rPr>
          <w:lang w:val="en-US"/>
        </w:rPr>
        <w:t xml:space="preserve"> method and CIBERSORT using LM22. As CIBERSORT gives relative data, we adjusted these results using </w:t>
      </w:r>
      <w:proofErr w:type="spellStart"/>
      <w:r>
        <w:rPr>
          <w:lang w:val="en-US"/>
        </w:rPr>
        <w:t>tumour</w:t>
      </w:r>
      <w:proofErr w:type="spellEnd"/>
      <w:r>
        <w:rPr>
          <w:lang w:val="en-US"/>
        </w:rPr>
        <w:t xml:space="preserve"> purity estimates from ESTIMATE. We found poor correlation between the three methods, therefore we assessed each against </w:t>
      </w:r>
      <w:proofErr w:type="spellStart"/>
      <w:r>
        <w:rPr>
          <w:lang w:val="en-US"/>
        </w:rPr>
        <w:t>mIHC</w:t>
      </w:r>
      <w:proofErr w:type="spellEnd"/>
      <w:r>
        <w:rPr>
          <w:lang w:val="en-US"/>
        </w:rPr>
        <w:t xml:space="preserve"> data as a ‘gold standard’. Due to the very small sample size these data were not performed on the same samples, yet we expected to see similar changes between progressive and progressive groups for any cell type showing a significant signal (p&lt;0.05). Using this comparison, we found Danaher performed well for </w:t>
      </w:r>
      <w:r w:rsidR="00B933F8">
        <w:rPr>
          <w:lang w:val="en-US"/>
        </w:rPr>
        <w:t xml:space="preserve">CD8 cells, but </w:t>
      </w:r>
      <w:r w:rsidR="00542675">
        <w:rPr>
          <w:lang w:val="en-US"/>
        </w:rPr>
        <w:t xml:space="preserve">did not correlate well with </w:t>
      </w:r>
      <w:proofErr w:type="spellStart"/>
      <w:r w:rsidR="00542675">
        <w:rPr>
          <w:lang w:val="en-US"/>
        </w:rPr>
        <w:lastRenderedPageBreak/>
        <w:t>mIHC</w:t>
      </w:r>
      <w:proofErr w:type="spellEnd"/>
      <w:r w:rsidR="00542675">
        <w:rPr>
          <w:lang w:val="en-US"/>
        </w:rPr>
        <w:t xml:space="preserve"> data for overall numbers of T-cells, macrophages or </w:t>
      </w:r>
      <w:proofErr w:type="spellStart"/>
      <w:r w:rsidR="00542675">
        <w:rPr>
          <w:lang w:val="en-US"/>
        </w:rPr>
        <w:t>Tregs</w:t>
      </w:r>
      <w:proofErr w:type="spellEnd"/>
      <w:r w:rsidR="00542675">
        <w:rPr>
          <w:lang w:val="en-US"/>
        </w:rPr>
        <w:t>. We therefore remove these cell types from our downstream analyses.</w:t>
      </w:r>
    </w:p>
    <w:p w14:paraId="55652936" w14:textId="77777777" w:rsidR="00F67021" w:rsidRDefault="00F67021" w:rsidP="00F67021">
      <w:pPr>
        <w:spacing w:line="480" w:lineRule="auto"/>
        <w:ind w:firstLine="720"/>
        <w:jc w:val="both"/>
        <w:rPr>
          <w:lang w:val="en-US"/>
        </w:rPr>
      </w:pPr>
    </w:p>
    <w:p w14:paraId="24EAE00D" w14:textId="77777777" w:rsidR="00F67021" w:rsidRPr="005555B6" w:rsidRDefault="00F67021" w:rsidP="00F67021">
      <w:pPr>
        <w:spacing w:line="480" w:lineRule="auto"/>
        <w:jc w:val="both"/>
        <w:rPr>
          <w:b/>
          <w:bCs/>
          <w:lang w:val="en-US"/>
        </w:rPr>
      </w:pPr>
      <w:r w:rsidRPr="005555B6">
        <w:rPr>
          <w:b/>
          <w:bCs/>
          <w:lang w:val="en-US"/>
        </w:rPr>
        <w:t>Immune cell quantification from methylation data</w:t>
      </w:r>
    </w:p>
    <w:p w14:paraId="61A2079F" w14:textId="41A0648E" w:rsidR="00F67021" w:rsidRDefault="00F67021" w:rsidP="00F67021">
      <w:pPr>
        <w:spacing w:line="480" w:lineRule="auto"/>
        <w:jc w:val="both"/>
        <w:rPr>
          <w:lang w:val="en-US"/>
        </w:rPr>
      </w:pPr>
      <w:r>
        <w:rPr>
          <w:lang w:val="en-US"/>
        </w:rPr>
        <w:tab/>
        <w:t xml:space="preserve">Similar immune quantification from methylation data was performed using </w:t>
      </w:r>
      <w:proofErr w:type="spellStart"/>
      <w:r>
        <w:rPr>
          <w:lang w:val="en-US"/>
        </w:rPr>
        <w:t>methylCIBERSORT</w:t>
      </w:r>
      <w:proofErr w:type="spellEnd"/>
      <w:r>
        <w:rPr>
          <w:lang w:val="en-US"/>
        </w:rPr>
        <w:fldChar w:fldCharType="begin"/>
      </w:r>
      <w:r w:rsidR="00D66757">
        <w:rPr>
          <w:lang w:val="en-US"/>
        </w:rPr>
        <w:instrText xml:space="preserve"> ADDIN ZOTERO_ITEM CSL_CITATION {"citationID":"ORMWOPZM","properties":{"formattedCitation":"(19)","plainCitation":"(19)","noteIndex":0},"citationItems":[{"id":345,"uris":["http://zotero.org/users/5058104/items/LB3WE3CE"],"uri":["http://zotero.org/users/5058104/items/LB3WE3CE"],"itemData":{"id":345,"type":"article-journal","abstract":"Determining the extent of immune cell infiltration into solid tumours is essential for adequate therapeutic response. Here the authors develop a DNA methylation-based approach for tumour cell fraction deconvolution and analyse tumour composition and genomics across a wide spectrum of solid cancers.","container-title":"Nature Communications","DOI":"10.1038/s41467-018-05570-1","ISSN":"2041-1723","issue":"1","language":"En","page":"3220","source":"www.nature.com","title":"Pan-cancer deconvolution of tumour composition using DNA methylation","volume":"9","author":[{"family":"Chakravarthy","given":"Ankur"},{"family":"Furness","given":"Andrew"},{"family":"Joshi","given":"Kroopa"},{"family":"Ghorani","given":"Ehsan"},{"family":"Ford","given":"Kirsty"},{"family":"Ward","given":"Matthew J."},{"family":"King","given":"Emma V."},{"family":"Lechner","given":"Matt"},{"family":"Marafioti","given":"Teresa"},{"family":"Quezada","given":"Sergio A."},{"family":"Thomas","given":"Gareth J."},{"family":"Feber","given":"Andrew"},{"family":"Fenton","given":"Tim R."}],"issued":{"date-parts":[["2018",8,13]]}}}],"schema":"https://github.com/citation-style-language/schema/raw/master/csl-citation.json"} </w:instrText>
      </w:r>
      <w:r>
        <w:rPr>
          <w:lang w:val="en-US"/>
        </w:rPr>
        <w:fldChar w:fldCharType="separate"/>
      </w:r>
      <w:r w:rsidR="00D66757">
        <w:rPr>
          <w:rFonts w:ascii="Calibri" w:cs="Calibri"/>
        </w:rPr>
        <w:t>(19)</w:t>
      </w:r>
      <w:r>
        <w:rPr>
          <w:lang w:val="en-US"/>
        </w:rPr>
        <w:fldChar w:fldCharType="end"/>
      </w:r>
      <w:r>
        <w:rPr>
          <w:lang w:val="en-US"/>
        </w:rPr>
        <w:t xml:space="preserve">. Methylation data was first converted to a mixture file using the </w:t>
      </w:r>
      <w:proofErr w:type="spellStart"/>
      <w:r>
        <w:rPr>
          <w:lang w:val="en-US"/>
        </w:rPr>
        <w:t>methylCIBERSORT</w:t>
      </w:r>
      <w:proofErr w:type="spellEnd"/>
      <w:r>
        <w:rPr>
          <w:lang w:val="en-US"/>
        </w:rPr>
        <w:t xml:space="preserve"> R package version 0.2.0. A signature file for squamous cell lung cancer was also taken from this package; this signature was derived from TILs in squamous cell lung cancer, a very similar biological question to that of our study. These data were used as input to CIBERSORT</w:t>
      </w:r>
      <w:r>
        <w:rPr>
          <w:lang w:val="en-US"/>
        </w:rPr>
        <w:fldChar w:fldCharType="begin"/>
      </w:r>
      <w:r w:rsidR="00D66757">
        <w:rPr>
          <w:lang w:val="en-US"/>
        </w:rPr>
        <w:instrText xml:space="preserve"> ADDIN ZOTERO_ITEM CSL_CITATION {"citationID":"t5rBZSGJ","properties":{"formattedCitation":"(20)","plainCitation":"(20)","noteIndex":0},"citationItems":[{"id":348,"uris":["http://zotero.org/users/5058104/items/FRT972B6"],"uri":["http://zotero.org/users/5058104/items/FRT972B6"],"itemData":{"id":348,"type":"article-journal","abstract":"We introduce CIBERSORT, a method for characterizing cell composition of complex tissues from their gene expression profiles. When applied to enumeration of hematopoietic subsets in RNA mixtures from fresh, frozen and fixed tissues, including solid tumors, CIBERSORT outperformed other methods with respect to noise, unknown mixture content and closely related cell types. CIBERSORT should enable large-scale analysis of RNA mixtures for cellular biomarkers and therapeutic targets (http://cibersort.stanford.edu/).","container-title":"Nature Methods","DOI":"10.1038/nmeth.3337","ISSN":"1548-7105","issue":"5","language":"en","page":"453-457","source":"www.nature.com","title":"Robust enumeration of cell subsets from tissue expression profiles","volume":"12","author":[{"family":"Newman","given":"Aaron M."},{"family":"Liu","given":"Chih Long"},{"family":"Green","given":"Michael R."},{"family":"Gentles","given":"Andrew J."},{"family":"Feng","given":"Weiguo"},{"family":"Xu","given":"Yue"},{"family":"Hoang","given":"Chuong D."},{"family":"Diehn","given":"Maximilian"},{"family":"Alizadeh","given":"Ash A."}],"issued":{"date-parts":[["2015",5]]}}}],"schema":"https://github.com/citation-style-language/schema/raw/master/csl-citation.json"} </w:instrText>
      </w:r>
      <w:r>
        <w:rPr>
          <w:lang w:val="en-US"/>
        </w:rPr>
        <w:fldChar w:fldCharType="separate"/>
      </w:r>
      <w:r w:rsidR="00D66757">
        <w:rPr>
          <w:rFonts w:ascii="Calibri" w:cs="Calibri"/>
        </w:rPr>
        <w:t>(20)</w:t>
      </w:r>
      <w:r>
        <w:rPr>
          <w:lang w:val="en-US"/>
        </w:rPr>
        <w:fldChar w:fldCharType="end"/>
      </w:r>
      <w:r>
        <w:rPr>
          <w:lang w:val="en-US"/>
        </w:rPr>
        <w:t xml:space="preserve"> to provide relative values for each immune cell subtype included in the signature file.</w:t>
      </w:r>
    </w:p>
    <w:p w14:paraId="2AAFBAE1" w14:textId="10605B37" w:rsidR="0069173F" w:rsidRDefault="0069173F" w:rsidP="00F67021">
      <w:pPr>
        <w:spacing w:line="480" w:lineRule="auto"/>
        <w:jc w:val="both"/>
        <w:rPr>
          <w:lang w:val="en-US"/>
        </w:rPr>
      </w:pPr>
    </w:p>
    <w:p w14:paraId="5B980B78" w14:textId="69A75B01" w:rsidR="00472F2D" w:rsidRDefault="00472F2D" w:rsidP="00F67021">
      <w:pPr>
        <w:spacing w:line="480" w:lineRule="auto"/>
        <w:jc w:val="both"/>
        <w:rPr>
          <w:lang w:val="en-US"/>
        </w:rPr>
      </w:pPr>
      <w:r>
        <w:rPr>
          <w:b/>
          <w:bCs/>
          <w:lang w:val="en-US"/>
        </w:rPr>
        <w:t>Correlation of smoking status with outcome</w:t>
      </w:r>
    </w:p>
    <w:p w14:paraId="545B2ADA" w14:textId="1D77E00E" w:rsidR="00472F2D" w:rsidRPr="00472F2D" w:rsidRDefault="00472F2D" w:rsidP="00F67021">
      <w:pPr>
        <w:spacing w:line="480" w:lineRule="auto"/>
        <w:jc w:val="both"/>
        <w:rPr>
          <w:lang w:val="en-US"/>
        </w:rPr>
      </w:pPr>
      <w:r>
        <w:rPr>
          <w:lang w:val="en-US"/>
        </w:rPr>
        <w:tab/>
      </w:r>
      <w:r w:rsidR="00996F9A">
        <w:rPr>
          <w:lang w:val="en-US"/>
        </w:rPr>
        <w:t>As described in the main text, w</w:t>
      </w:r>
      <w:r>
        <w:rPr>
          <w:lang w:val="en-US"/>
        </w:rPr>
        <w:t xml:space="preserve">e hypothesized that the immunosuppressive effects of </w:t>
      </w:r>
      <w:r w:rsidR="00996F9A">
        <w:rPr>
          <w:lang w:val="en-US"/>
        </w:rPr>
        <w:t xml:space="preserve">active </w:t>
      </w:r>
      <w:r>
        <w:rPr>
          <w:lang w:val="en-US"/>
        </w:rPr>
        <w:t xml:space="preserve">smoking would </w:t>
      </w:r>
      <w:r w:rsidR="00996F9A">
        <w:rPr>
          <w:lang w:val="en-US"/>
        </w:rPr>
        <w:t xml:space="preserve">reduce immune infiltrates and increase risk of progression. We confirmed this result using a Cochrane-Armitage test for trend to identify decreasing infiltrates / increasing progression risk from </w:t>
      </w:r>
      <w:r w:rsidR="009D24D0">
        <w:rPr>
          <w:lang w:val="en-US"/>
        </w:rPr>
        <w:t>n</w:t>
      </w:r>
      <w:r w:rsidR="00996F9A">
        <w:rPr>
          <w:lang w:val="en-US"/>
        </w:rPr>
        <w:t xml:space="preserve">ever to </w:t>
      </w:r>
      <w:r w:rsidR="009D24D0">
        <w:rPr>
          <w:lang w:val="en-US"/>
        </w:rPr>
        <w:t>f</w:t>
      </w:r>
      <w:r w:rsidR="00996F9A">
        <w:rPr>
          <w:lang w:val="en-US"/>
        </w:rPr>
        <w:t xml:space="preserve">ormer to </w:t>
      </w:r>
      <w:r w:rsidR="009D24D0">
        <w:rPr>
          <w:lang w:val="en-US"/>
        </w:rPr>
        <w:t>c</w:t>
      </w:r>
      <w:r w:rsidR="00996F9A">
        <w:rPr>
          <w:lang w:val="en-US"/>
        </w:rPr>
        <w:t>urrent smokers (here defining a sample as ‘infiltrated’ if lymphocytes per unit area quantified from H&amp;E imaging was above the median value). To ensure this result was not driven by multiple samples from a few patients we applied a bootstrapping method to correct for multiple patient samples. We ran 1,000 simulations in which we selected one sample at random from each patient and calculated a Cochrane-Armitage p-value for trend. From these data we present mean p-values in the text, with confidence intervals calculated as 2 standard deviations from the mean.</w:t>
      </w:r>
    </w:p>
    <w:p w14:paraId="011EE6C9" w14:textId="77777777" w:rsidR="0069173F" w:rsidRDefault="0069173F">
      <w:pPr>
        <w:rPr>
          <w:b/>
          <w:bCs/>
          <w:lang w:val="en-US"/>
        </w:rPr>
      </w:pPr>
      <w:r>
        <w:rPr>
          <w:b/>
          <w:bCs/>
          <w:lang w:val="en-US"/>
        </w:rPr>
        <w:br w:type="page"/>
      </w:r>
    </w:p>
    <w:p w14:paraId="6915AB00" w14:textId="4E0A6DB0" w:rsidR="0069173F" w:rsidRPr="0069173F" w:rsidRDefault="0069173F" w:rsidP="00F67021">
      <w:pPr>
        <w:spacing w:line="480" w:lineRule="auto"/>
        <w:jc w:val="both"/>
        <w:rPr>
          <w:b/>
          <w:bCs/>
          <w:lang w:val="en-US"/>
        </w:rPr>
      </w:pPr>
      <w:r w:rsidRPr="0069173F">
        <w:rPr>
          <w:b/>
          <w:bCs/>
          <w:lang w:val="en-US"/>
        </w:rPr>
        <w:lastRenderedPageBreak/>
        <w:t>References</w:t>
      </w:r>
    </w:p>
    <w:p w14:paraId="678539B6" w14:textId="77777777" w:rsidR="00D66757" w:rsidRPr="00D66757" w:rsidRDefault="0069173F" w:rsidP="00D66757">
      <w:pPr>
        <w:pStyle w:val="Bibliography"/>
        <w:rPr>
          <w:rFonts w:ascii="Calibri" w:cs="Calibri"/>
        </w:rPr>
      </w:pPr>
      <w:r>
        <w:rPr>
          <w:lang w:val="en-US"/>
        </w:rPr>
        <w:fldChar w:fldCharType="begin"/>
      </w:r>
      <w:r w:rsidR="00606474">
        <w:rPr>
          <w:lang w:val="en-US"/>
        </w:rPr>
        <w:instrText xml:space="preserve"> ADDIN ZOTERO_BIBL {"uncited":[],"omitted":[],"custom":[]} CSL_BIBLIOGRAPHY </w:instrText>
      </w:r>
      <w:r>
        <w:rPr>
          <w:lang w:val="en-US"/>
        </w:rPr>
        <w:fldChar w:fldCharType="separate"/>
      </w:r>
      <w:r w:rsidR="00D66757" w:rsidRPr="00D66757">
        <w:rPr>
          <w:rFonts w:ascii="Calibri" w:cs="Calibri"/>
        </w:rPr>
        <w:t xml:space="preserve">1. </w:t>
      </w:r>
      <w:r w:rsidR="00D66757" w:rsidRPr="00D66757">
        <w:rPr>
          <w:rFonts w:ascii="Calibri" w:cs="Calibri"/>
        </w:rPr>
        <w:tab/>
        <w:t xml:space="preserve">Kanehisa M, Goto S. KEGG: kyoto encyclopedia of genes and genomes. Nucleic Acids Res. 2000;28:27–30. </w:t>
      </w:r>
    </w:p>
    <w:p w14:paraId="7D03DE3E" w14:textId="77777777" w:rsidR="00D66757" w:rsidRPr="00D66757" w:rsidRDefault="00D66757" w:rsidP="00D66757">
      <w:pPr>
        <w:pStyle w:val="Bibliography"/>
        <w:rPr>
          <w:rFonts w:ascii="Calibri" w:cs="Calibri"/>
        </w:rPr>
      </w:pPr>
      <w:r w:rsidRPr="00D66757">
        <w:rPr>
          <w:rFonts w:ascii="Calibri" w:cs="Calibri"/>
        </w:rPr>
        <w:t xml:space="preserve">2. </w:t>
      </w:r>
      <w:r w:rsidRPr="00D66757">
        <w:rPr>
          <w:rFonts w:ascii="Calibri" w:cs="Calibri"/>
        </w:rPr>
        <w:tab/>
        <w:t xml:space="preserve">AbdulJabbar, K. Geospatial immune variability illuminates differential evolution of lung adenocarcinoma. Nature Medicine (accepted for publication). 2020; </w:t>
      </w:r>
    </w:p>
    <w:p w14:paraId="1871FCA4" w14:textId="77777777" w:rsidR="00D66757" w:rsidRPr="00D66757" w:rsidRDefault="00D66757" w:rsidP="00D66757">
      <w:pPr>
        <w:pStyle w:val="Bibliography"/>
        <w:rPr>
          <w:rFonts w:ascii="Calibri" w:cs="Calibri"/>
        </w:rPr>
      </w:pPr>
      <w:r w:rsidRPr="00D66757">
        <w:rPr>
          <w:rFonts w:ascii="Calibri" w:cs="Calibri"/>
        </w:rPr>
        <w:t xml:space="preserve">3. </w:t>
      </w:r>
      <w:r w:rsidRPr="00D66757">
        <w:rPr>
          <w:rFonts w:ascii="Calibri" w:cs="Calibri"/>
        </w:rPr>
        <w:tab/>
        <w:t xml:space="preserve">Jamal-Hanjani M, Wilson GA, McGranahan N, Birkbak NJ, Watkins TBK, Veeriah S, et al. Tracking the Evolution of Non-Small-Cell Lung Cancer. N Engl J Med. 2017;376:2109–21. </w:t>
      </w:r>
    </w:p>
    <w:p w14:paraId="67F5ECD4" w14:textId="77777777" w:rsidR="00D66757" w:rsidRPr="00D66757" w:rsidRDefault="00D66757" w:rsidP="00D66757">
      <w:pPr>
        <w:pStyle w:val="Bibliography"/>
        <w:rPr>
          <w:rFonts w:ascii="Calibri" w:cs="Calibri"/>
        </w:rPr>
      </w:pPr>
      <w:r w:rsidRPr="00D66757">
        <w:rPr>
          <w:rFonts w:ascii="Calibri" w:cs="Calibri"/>
        </w:rPr>
        <w:t xml:space="preserve">4. </w:t>
      </w:r>
      <w:r w:rsidRPr="00D66757">
        <w:rPr>
          <w:rFonts w:ascii="Calibri" w:cs="Calibri"/>
        </w:rPr>
        <w:tab/>
        <w:t xml:space="preserve">Sirinukunwattana K, Raza SEA, Tsang Y, Snead DRJ, Cree IA, Rajpoot NM. Locality Sensitive Deep Learning for Detection and Classification of Nuclei in Routine Colon Cancer Histology Images. IEEE Transactions on Medical Imaging. 2016;35:1196–206. </w:t>
      </w:r>
    </w:p>
    <w:p w14:paraId="608B6545" w14:textId="77777777" w:rsidR="00D66757" w:rsidRPr="00D66757" w:rsidRDefault="00D66757" w:rsidP="00D66757">
      <w:pPr>
        <w:pStyle w:val="Bibliography"/>
        <w:rPr>
          <w:rFonts w:ascii="Calibri" w:cs="Calibri"/>
        </w:rPr>
      </w:pPr>
      <w:r w:rsidRPr="00D66757">
        <w:rPr>
          <w:rFonts w:ascii="Calibri" w:cs="Calibri"/>
        </w:rPr>
        <w:t xml:space="preserve">5. </w:t>
      </w:r>
      <w:r w:rsidRPr="00D66757">
        <w:rPr>
          <w:rFonts w:ascii="Calibri" w:cs="Calibri"/>
        </w:rPr>
        <w:tab/>
        <w:t xml:space="preserve">Moore DA, Sereno M, Das M, Acevedo JDB, Sinnadurai S, Smith C, et al. In situ growth in early lung adenocarcinoma may represent precursor growth or invasive clone outgrowth—a clinically relevant distinction. Modern Pathology. 2019;1. </w:t>
      </w:r>
    </w:p>
    <w:p w14:paraId="5EB8E341" w14:textId="77777777" w:rsidR="00D66757" w:rsidRPr="00D66757" w:rsidRDefault="00D66757" w:rsidP="00D66757">
      <w:pPr>
        <w:pStyle w:val="Bibliography"/>
        <w:rPr>
          <w:rFonts w:ascii="Calibri" w:cs="Calibri"/>
        </w:rPr>
      </w:pPr>
      <w:r w:rsidRPr="00D66757">
        <w:rPr>
          <w:rFonts w:ascii="Calibri" w:cs="Calibri"/>
        </w:rPr>
        <w:t xml:space="preserve">6. </w:t>
      </w:r>
      <w:r w:rsidRPr="00D66757">
        <w:rPr>
          <w:rFonts w:ascii="Calibri" w:cs="Calibri"/>
        </w:rPr>
        <w:tab/>
        <w:t xml:space="preserve">Akarca AU, Shende VH, Ramsay AD, Diss T, Pane-Foix M, Rizvi H, et al. BRAF V600E mutation-specific antibody, a sensitive diagnostic marker revealing minimal residual disease in hairy cell leukaemia. Br J Haematol. 2013;162:848–51. </w:t>
      </w:r>
    </w:p>
    <w:p w14:paraId="75F3109F" w14:textId="77777777" w:rsidR="00D66757" w:rsidRPr="00D66757" w:rsidRDefault="00D66757" w:rsidP="00D66757">
      <w:pPr>
        <w:pStyle w:val="Bibliography"/>
        <w:rPr>
          <w:rFonts w:ascii="Calibri" w:cs="Calibri"/>
        </w:rPr>
      </w:pPr>
      <w:r w:rsidRPr="00D66757">
        <w:rPr>
          <w:rFonts w:ascii="Calibri" w:cs="Calibri"/>
        </w:rPr>
        <w:t xml:space="preserve">7. </w:t>
      </w:r>
      <w:r w:rsidRPr="00D66757">
        <w:rPr>
          <w:rFonts w:ascii="Calibri" w:cs="Calibri"/>
        </w:rPr>
        <w:tab/>
        <w:t xml:space="preserve">Marafioti T, Jones M, Facchetti F, Diss TC, Du M-Q, Isaacson PG, et al. Phenotype and genotype of interfollicular large B cells, a subpopulation of lymphocytes often with dendritic morphology. Blood. 2003;102:2868–76. </w:t>
      </w:r>
    </w:p>
    <w:p w14:paraId="08D1A611" w14:textId="77777777" w:rsidR="00D66757" w:rsidRPr="00D66757" w:rsidRDefault="00D66757" w:rsidP="00D66757">
      <w:pPr>
        <w:pStyle w:val="Bibliography"/>
        <w:rPr>
          <w:rFonts w:ascii="Calibri" w:cs="Calibri"/>
        </w:rPr>
      </w:pPr>
      <w:r w:rsidRPr="00D66757">
        <w:rPr>
          <w:rFonts w:ascii="Calibri" w:cs="Calibri"/>
        </w:rPr>
        <w:t xml:space="preserve">8. </w:t>
      </w:r>
      <w:r w:rsidRPr="00D66757">
        <w:rPr>
          <w:rFonts w:ascii="Calibri" w:cs="Calibri"/>
        </w:rPr>
        <w:tab/>
        <w:t xml:space="preserve">Bankhead P, Loughrey MB, Fernández JA, Dombrowski Y, McArt DG, Dunne PD, et al. QuPath: Open source software for digital pathology image analysis. Scientific Reports. Nature Publishing Group; 2017;7:16878. </w:t>
      </w:r>
    </w:p>
    <w:p w14:paraId="6DDC88DB" w14:textId="77777777" w:rsidR="00D66757" w:rsidRPr="00D66757" w:rsidRDefault="00D66757" w:rsidP="00D66757">
      <w:pPr>
        <w:pStyle w:val="Bibliography"/>
        <w:rPr>
          <w:rFonts w:ascii="Calibri" w:cs="Calibri"/>
        </w:rPr>
      </w:pPr>
      <w:r w:rsidRPr="00D66757">
        <w:rPr>
          <w:rFonts w:ascii="Calibri" w:cs="Calibri"/>
        </w:rPr>
        <w:t xml:space="preserve">9. </w:t>
      </w:r>
      <w:r w:rsidRPr="00D66757">
        <w:rPr>
          <w:rFonts w:ascii="Calibri" w:cs="Calibri"/>
        </w:rPr>
        <w:tab/>
        <w:t xml:space="preserve">Benaglia T, Chauveau D, Hunter DR, Young DS. mixtools: An R Package for Analyzing Mixture Models. Journal of Statistical Software. 2009;32:1–29. </w:t>
      </w:r>
    </w:p>
    <w:p w14:paraId="407B199E" w14:textId="77777777" w:rsidR="00D66757" w:rsidRPr="00D66757" w:rsidRDefault="00D66757" w:rsidP="00D66757">
      <w:pPr>
        <w:pStyle w:val="Bibliography"/>
        <w:rPr>
          <w:rFonts w:ascii="Calibri" w:cs="Calibri"/>
        </w:rPr>
      </w:pPr>
      <w:r w:rsidRPr="00D66757">
        <w:rPr>
          <w:rFonts w:ascii="Calibri" w:cs="Calibri"/>
        </w:rPr>
        <w:t xml:space="preserve">10. </w:t>
      </w:r>
      <w:r w:rsidRPr="00D66757">
        <w:rPr>
          <w:rFonts w:ascii="Calibri" w:cs="Calibri"/>
        </w:rPr>
        <w:tab/>
        <w:t xml:space="preserve">Tsujikawa T, Kumar S, Borkar RN, Azimi V, Thibault G, Chang YH, et al. Quantitative Multiplex Immunohistochemistry Reveals Myeloid-Inflamed Tumor-Immune Complexity Associated with Poor Prognosis. Cell Reports. 2017;19:203–17. </w:t>
      </w:r>
    </w:p>
    <w:p w14:paraId="4D929724" w14:textId="77777777" w:rsidR="00D66757" w:rsidRPr="00D66757" w:rsidRDefault="00D66757" w:rsidP="00D66757">
      <w:pPr>
        <w:pStyle w:val="Bibliography"/>
        <w:rPr>
          <w:rFonts w:ascii="Calibri" w:cs="Calibri"/>
        </w:rPr>
      </w:pPr>
      <w:r w:rsidRPr="00D66757">
        <w:rPr>
          <w:rFonts w:ascii="Calibri" w:cs="Calibri"/>
        </w:rPr>
        <w:t xml:space="preserve">11. </w:t>
      </w:r>
      <w:r w:rsidRPr="00D66757">
        <w:rPr>
          <w:rFonts w:ascii="Calibri" w:cs="Calibri"/>
        </w:rPr>
        <w:tab/>
        <w:t xml:space="preserve">Banik G, Betts CB, Liudahl SM, Sivagnanam S, Kawashima R, Cotechini T, et al. High-dimensional multiplexed immunohistochemical characterization of immune contexture in human cancers. Meth Enzymol. 2020;635:1–20. </w:t>
      </w:r>
    </w:p>
    <w:p w14:paraId="0BBD2AA1" w14:textId="77777777" w:rsidR="00D66757" w:rsidRPr="00D66757" w:rsidRDefault="00D66757" w:rsidP="00D66757">
      <w:pPr>
        <w:pStyle w:val="Bibliography"/>
        <w:rPr>
          <w:rFonts w:ascii="Calibri" w:cs="Calibri"/>
        </w:rPr>
      </w:pPr>
      <w:r w:rsidRPr="00D66757">
        <w:rPr>
          <w:rFonts w:ascii="Calibri" w:cs="Calibri"/>
        </w:rPr>
        <w:t xml:space="preserve">12. </w:t>
      </w:r>
      <w:r w:rsidRPr="00D66757">
        <w:rPr>
          <w:rFonts w:ascii="Calibri" w:cs="Calibri"/>
        </w:rPr>
        <w:tab/>
        <w:t xml:space="preserve">Szolek A, Schubert B, Mohr C, Sturm M, Feldhahn M, Kohlbacher O. OptiType: precision HLA typing from next-generation sequencing data. Bioinformatics. 2014;30:3310–6. </w:t>
      </w:r>
    </w:p>
    <w:p w14:paraId="73192133" w14:textId="77777777" w:rsidR="00D66757" w:rsidRPr="00D66757" w:rsidRDefault="00D66757" w:rsidP="00D66757">
      <w:pPr>
        <w:pStyle w:val="Bibliography"/>
        <w:rPr>
          <w:rFonts w:ascii="Calibri" w:cs="Calibri"/>
        </w:rPr>
      </w:pPr>
      <w:r w:rsidRPr="00D66757">
        <w:rPr>
          <w:rFonts w:ascii="Calibri" w:cs="Calibri"/>
        </w:rPr>
        <w:t xml:space="preserve">13. </w:t>
      </w:r>
      <w:r w:rsidRPr="00D66757">
        <w:rPr>
          <w:rFonts w:ascii="Calibri" w:cs="Calibri"/>
        </w:rPr>
        <w:tab/>
        <w:t xml:space="preserve">Andreatta M, Nielsen M. Gapped sequence alignment using artificial neural networks: application to the MHC class I system. Bioinformatics. 2016;32:511–7. </w:t>
      </w:r>
    </w:p>
    <w:p w14:paraId="261BA301" w14:textId="77777777" w:rsidR="00D66757" w:rsidRPr="00D66757" w:rsidRDefault="00D66757" w:rsidP="00D66757">
      <w:pPr>
        <w:pStyle w:val="Bibliography"/>
        <w:rPr>
          <w:rFonts w:ascii="Calibri" w:cs="Calibri"/>
        </w:rPr>
      </w:pPr>
      <w:r w:rsidRPr="00D66757">
        <w:rPr>
          <w:rFonts w:ascii="Calibri" w:cs="Calibri"/>
        </w:rPr>
        <w:lastRenderedPageBreak/>
        <w:t xml:space="preserve">14. </w:t>
      </w:r>
      <w:r w:rsidRPr="00D66757">
        <w:rPr>
          <w:rFonts w:ascii="Calibri" w:cs="Calibri"/>
        </w:rPr>
        <w:tab/>
        <w:t xml:space="preserve">Nielsen M, Lundegaard C, Worning P, Lauemøller SL, Lamberth K, Buus S, et al. Reliable prediction of T-cell epitopes using neural networks with novel sequence representations. Protein Sci. 2003;12:1007–17. </w:t>
      </w:r>
    </w:p>
    <w:p w14:paraId="0D493269" w14:textId="77777777" w:rsidR="00D66757" w:rsidRPr="00D66757" w:rsidRDefault="00D66757" w:rsidP="00D66757">
      <w:pPr>
        <w:pStyle w:val="Bibliography"/>
        <w:rPr>
          <w:rFonts w:ascii="Calibri" w:cs="Calibri"/>
        </w:rPr>
      </w:pPr>
      <w:r w:rsidRPr="00D66757">
        <w:rPr>
          <w:rFonts w:ascii="Calibri" w:cs="Calibri"/>
        </w:rPr>
        <w:t xml:space="preserve">15. </w:t>
      </w:r>
      <w:r w:rsidRPr="00D66757">
        <w:rPr>
          <w:rFonts w:ascii="Calibri" w:cs="Calibri"/>
        </w:rPr>
        <w:tab/>
        <w:t xml:space="preserve">McGranahan N, Rosenthal R, Hiley CT, Rowan AJ, Watkins TBK, Wilson GA, et al. Allele-Specific HLA Loss and Immune Escape in Lung Cancer Evolution. Cell. 2017;171:1259-1271 e11. </w:t>
      </w:r>
    </w:p>
    <w:p w14:paraId="4C1F9FD7" w14:textId="77777777" w:rsidR="00D66757" w:rsidRPr="00D66757" w:rsidRDefault="00D66757" w:rsidP="00D66757">
      <w:pPr>
        <w:pStyle w:val="Bibliography"/>
        <w:rPr>
          <w:rFonts w:ascii="Calibri" w:cs="Calibri"/>
        </w:rPr>
      </w:pPr>
      <w:r w:rsidRPr="00D66757">
        <w:rPr>
          <w:rFonts w:ascii="Calibri" w:cs="Calibri"/>
        </w:rPr>
        <w:t xml:space="preserve">16. </w:t>
      </w:r>
      <w:r w:rsidRPr="00D66757">
        <w:rPr>
          <w:rFonts w:ascii="Calibri" w:cs="Calibri"/>
        </w:rPr>
        <w:tab/>
        <w:t xml:space="preserve">Morris TJ, Butcher LM, Feber A, Teschendorff AE, Chakravarthy AR, Wojdacz TK, et al. ChAMP: 450k Chip Analysis Methylation Pipeline. Bioinformatics. 2014;30:428–30. </w:t>
      </w:r>
    </w:p>
    <w:p w14:paraId="7443CFB2" w14:textId="77777777" w:rsidR="00D66757" w:rsidRPr="00D66757" w:rsidRDefault="00D66757" w:rsidP="00D66757">
      <w:pPr>
        <w:pStyle w:val="Bibliography"/>
        <w:rPr>
          <w:rFonts w:ascii="Calibri" w:cs="Calibri"/>
        </w:rPr>
      </w:pPr>
      <w:r w:rsidRPr="00D66757">
        <w:rPr>
          <w:rFonts w:ascii="Calibri" w:cs="Calibri"/>
        </w:rPr>
        <w:t xml:space="preserve">17. </w:t>
      </w:r>
      <w:r w:rsidRPr="00D66757">
        <w:rPr>
          <w:rFonts w:ascii="Calibri" w:cs="Calibri"/>
        </w:rPr>
        <w:tab/>
        <w:t xml:space="preserve">Danaher P, Warren S, Dennis L, D’Amico L, White A, Disis ML, et al. Gene expression markers of Tumor Infiltrating Leukocytes. J Immunother Cancer. 2017;5:18. </w:t>
      </w:r>
    </w:p>
    <w:p w14:paraId="6883E2A3" w14:textId="77777777" w:rsidR="00D66757" w:rsidRPr="00D66757" w:rsidRDefault="00D66757" w:rsidP="00D66757">
      <w:pPr>
        <w:pStyle w:val="Bibliography"/>
        <w:rPr>
          <w:rFonts w:ascii="Calibri" w:cs="Calibri"/>
        </w:rPr>
      </w:pPr>
      <w:r w:rsidRPr="00D66757">
        <w:rPr>
          <w:rFonts w:ascii="Calibri" w:cs="Calibri"/>
        </w:rPr>
        <w:t xml:space="preserve">18. </w:t>
      </w:r>
      <w:r w:rsidRPr="00D66757">
        <w:rPr>
          <w:rFonts w:ascii="Calibri" w:cs="Calibri"/>
        </w:rPr>
        <w:tab/>
        <w:t xml:space="preserve">Rosenthal R, Cadieux EL, Salgado R, Bakir MA, Moore DA, Hiley CT, et al. Neoantigen-directed immune escape in lung cancer evolution. Nature. 2019;1. </w:t>
      </w:r>
    </w:p>
    <w:p w14:paraId="269A7489" w14:textId="77777777" w:rsidR="00D66757" w:rsidRPr="00D66757" w:rsidRDefault="00D66757" w:rsidP="00D66757">
      <w:pPr>
        <w:pStyle w:val="Bibliography"/>
        <w:rPr>
          <w:rFonts w:ascii="Calibri" w:cs="Calibri"/>
        </w:rPr>
      </w:pPr>
      <w:r w:rsidRPr="00D66757">
        <w:rPr>
          <w:rFonts w:ascii="Calibri" w:cs="Calibri"/>
        </w:rPr>
        <w:t xml:space="preserve">19. </w:t>
      </w:r>
      <w:r w:rsidRPr="00D66757">
        <w:rPr>
          <w:rFonts w:ascii="Calibri" w:cs="Calibri"/>
        </w:rPr>
        <w:tab/>
        <w:t xml:space="preserve">Chakravarthy A, Furness A, Joshi K, Ghorani E, Ford K, Ward MJ, et al. Pan-cancer deconvolution of tumour composition using DNA methylation. Nature Communications. 2018;9:3220. </w:t>
      </w:r>
    </w:p>
    <w:p w14:paraId="0E758623" w14:textId="77777777" w:rsidR="00D66757" w:rsidRPr="00D66757" w:rsidRDefault="00D66757" w:rsidP="00D66757">
      <w:pPr>
        <w:pStyle w:val="Bibliography"/>
        <w:rPr>
          <w:rFonts w:ascii="Calibri" w:cs="Calibri"/>
        </w:rPr>
      </w:pPr>
      <w:r w:rsidRPr="00D66757">
        <w:rPr>
          <w:rFonts w:ascii="Calibri" w:cs="Calibri"/>
        </w:rPr>
        <w:t xml:space="preserve">20. </w:t>
      </w:r>
      <w:r w:rsidRPr="00D66757">
        <w:rPr>
          <w:rFonts w:ascii="Calibri" w:cs="Calibri"/>
        </w:rPr>
        <w:tab/>
        <w:t xml:space="preserve">Newman AM, Liu CL, Green MR, Gentles AJ, Feng W, Xu Y, et al. Robust enumeration of cell subsets from tissue expression profiles. Nature Methods. 2015;12:453–7. </w:t>
      </w:r>
    </w:p>
    <w:p w14:paraId="3CAAC31D" w14:textId="297ED54E" w:rsidR="0069173F" w:rsidRDefault="0069173F" w:rsidP="00F67021">
      <w:pPr>
        <w:spacing w:line="480" w:lineRule="auto"/>
        <w:jc w:val="both"/>
        <w:rPr>
          <w:lang w:val="en-US"/>
        </w:rPr>
      </w:pPr>
      <w:r>
        <w:rPr>
          <w:lang w:val="en-US"/>
        </w:rPr>
        <w:fldChar w:fldCharType="end"/>
      </w:r>
    </w:p>
    <w:p w14:paraId="200B41BF" w14:textId="77777777" w:rsidR="00F67021" w:rsidRPr="00771D25" w:rsidRDefault="00F67021" w:rsidP="00F67021">
      <w:pPr>
        <w:spacing w:line="480" w:lineRule="auto"/>
        <w:ind w:firstLine="720"/>
        <w:jc w:val="both"/>
        <w:rPr>
          <w:lang w:val="en-US"/>
        </w:rPr>
      </w:pPr>
    </w:p>
    <w:p w14:paraId="309C64DB" w14:textId="77777777" w:rsidR="0069173F" w:rsidRDefault="0069173F">
      <w:pPr>
        <w:rPr>
          <w:b/>
        </w:rPr>
      </w:pPr>
      <w:r>
        <w:rPr>
          <w:b/>
        </w:rPr>
        <w:br w:type="page"/>
      </w:r>
    </w:p>
    <w:p w14:paraId="44455582" w14:textId="7D8CF435" w:rsidR="00D00162" w:rsidRPr="00D00162" w:rsidRDefault="00D00162" w:rsidP="00D00162">
      <w:pPr>
        <w:spacing w:line="480" w:lineRule="auto"/>
        <w:rPr>
          <w:b/>
          <w:bCs/>
        </w:rPr>
      </w:pPr>
      <w:r w:rsidRPr="00D00162">
        <w:rPr>
          <w:b/>
          <w:bCs/>
        </w:rPr>
        <w:lastRenderedPageBreak/>
        <w:t>Supplementary Tables</w:t>
      </w:r>
    </w:p>
    <w:p w14:paraId="4C78C178" w14:textId="5EAF0293" w:rsidR="00D00162" w:rsidRDefault="00D00162" w:rsidP="00D00162">
      <w:pPr>
        <w:spacing w:line="480" w:lineRule="auto"/>
      </w:pPr>
      <w:r>
        <w:t>Supplementary tables S1-5 are included as Excel files. Legends are presented here.</w:t>
      </w:r>
    </w:p>
    <w:p w14:paraId="6BCB37B0" w14:textId="1AC3629D" w:rsidR="00D00162" w:rsidRDefault="00D00162" w:rsidP="00D00162">
      <w:pPr>
        <w:spacing w:line="480" w:lineRule="auto"/>
      </w:pPr>
      <w:r w:rsidRPr="00D00162">
        <w:rPr>
          <w:b/>
          <w:bCs/>
        </w:rPr>
        <w:t>Table S1</w:t>
      </w:r>
      <w:r>
        <w:t>. Details of molecular investigations performed on each sample. Clinical and outcome data is also presented.</w:t>
      </w:r>
      <w:r w:rsidR="00EB77B0">
        <w:t xml:space="preserve"> In all cases with a previous history of lung cancer, this was of squamous histology.</w:t>
      </w:r>
    </w:p>
    <w:p w14:paraId="54AAE72B" w14:textId="3B73370F" w:rsidR="00515D22" w:rsidRDefault="00515D22" w:rsidP="00D00162">
      <w:pPr>
        <w:spacing w:line="480" w:lineRule="auto"/>
      </w:pPr>
    </w:p>
    <w:p w14:paraId="4E141D81" w14:textId="74BCBCA5" w:rsidR="00515D22" w:rsidRDefault="00515D22" w:rsidP="00D00162">
      <w:pPr>
        <w:spacing w:line="480" w:lineRule="auto"/>
      </w:pPr>
      <w:r w:rsidRPr="0015094F">
        <w:rPr>
          <w:b/>
          <w:bCs/>
        </w:rPr>
        <w:t>Table S</w:t>
      </w:r>
      <w:r>
        <w:rPr>
          <w:b/>
          <w:bCs/>
        </w:rPr>
        <w:t>2</w:t>
      </w:r>
      <w:r>
        <w:t>. Markers used to define cell types in quantitative multiplex immunohistochemistry experiments.</w:t>
      </w:r>
    </w:p>
    <w:p w14:paraId="251D23EE" w14:textId="77777777" w:rsidR="00D00162" w:rsidRDefault="00D00162" w:rsidP="00D00162">
      <w:pPr>
        <w:spacing w:line="480" w:lineRule="auto"/>
      </w:pPr>
    </w:p>
    <w:p w14:paraId="0DF5173D" w14:textId="0360C306" w:rsidR="00D00162" w:rsidRDefault="00D00162" w:rsidP="00D00162">
      <w:pPr>
        <w:spacing w:line="480" w:lineRule="auto"/>
      </w:pPr>
      <w:r w:rsidRPr="00D00162">
        <w:rPr>
          <w:b/>
          <w:bCs/>
        </w:rPr>
        <w:t>Table S</w:t>
      </w:r>
      <w:r w:rsidR="00515D22">
        <w:rPr>
          <w:b/>
          <w:bCs/>
        </w:rPr>
        <w:t>3.</w:t>
      </w:r>
      <w:r>
        <w:t xml:space="preserve"> Immune cell deconvolution from molecular data. Relative proportions of immune cell subtypes are predicted from gene expression data using the Danaher method, and from methylation data using </w:t>
      </w:r>
      <w:proofErr w:type="spellStart"/>
      <w:r>
        <w:t>methylCIBERSORT</w:t>
      </w:r>
      <w:proofErr w:type="spellEnd"/>
      <w:r>
        <w:t>. Differences between progressive and regressive groups are reported here.</w:t>
      </w:r>
    </w:p>
    <w:p w14:paraId="70F40291" w14:textId="77777777" w:rsidR="00D00162" w:rsidRDefault="00D00162" w:rsidP="00D00162">
      <w:pPr>
        <w:spacing w:line="480" w:lineRule="auto"/>
      </w:pPr>
    </w:p>
    <w:p w14:paraId="65340407" w14:textId="05416B4A" w:rsidR="00D00162" w:rsidRDefault="00D00162" w:rsidP="00D00162">
      <w:pPr>
        <w:spacing w:line="480" w:lineRule="auto"/>
      </w:pPr>
      <w:r w:rsidRPr="00D00162">
        <w:rPr>
          <w:b/>
          <w:bCs/>
        </w:rPr>
        <w:t>Table S</w:t>
      </w:r>
      <w:r w:rsidR="00515D22">
        <w:rPr>
          <w:b/>
          <w:bCs/>
        </w:rPr>
        <w:t>4</w:t>
      </w:r>
      <w:r>
        <w:t>. Gene lists used in this analysis.</w:t>
      </w:r>
    </w:p>
    <w:p w14:paraId="4D270DBF" w14:textId="77777777" w:rsidR="00D00162" w:rsidRDefault="00D00162" w:rsidP="00D00162">
      <w:pPr>
        <w:spacing w:line="480" w:lineRule="auto"/>
      </w:pPr>
    </w:p>
    <w:p w14:paraId="224E9D6B" w14:textId="3A877212" w:rsidR="00D00162" w:rsidRDefault="00D00162" w:rsidP="00D00162">
      <w:pPr>
        <w:spacing w:line="480" w:lineRule="auto"/>
      </w:pPr>
      <w:r w:rsidRPr="00D00162">
        <w:rPr>
          <w:b/>
          <w:bCs/>
        </w:rPr>
        <w:t>Table S</w:t>
      </w:r>
      <w:r w:rsidR="00515D22">
        <w:rPr>
          <w:b/>
          <w:bCs/>
        </w:rPr>
        <w:t>5</w:t>
      </w:r>
      <w:r>
        <w:t xml:space="preserve">. Pathway analysis comparing the </w:t>
      </w:r>
      <w:proofErr w:type="spellStart"/>
      <w:r>
        <w:t>illumina</w:t>
      </w:r>
      <w:proofErr w:type="spellEnd"/>
      <w:r>
        <w:t xml:space="preserve"> and Affymetrix datasets as described in Supplementary Methods.</w:t>
      </w:r>
    </w:p>
    <w:p w14:paraId="61B37227" w14:textId="3C2F3230" w:rsidR="0015094F" w:rsidRDefault="0015094F" w:rsidP="00D00162">
      <w:pPr>
        <w:spacing w:line="480" w:lineRule="auto"/>
      </w:pPr>
    </w:p>
    <w:p w14:paraId="79A5241D" w14:textId="0E8EE3BC" w:rsidR="0015094F" w:rsidRDefault="0015094F" w:rsidP="00D00162">
      <w:pPr>
        <w:spacing w:line="480" w:lineRule="auto"/>
      </w:pPr>
    </w:p>
    <w:p w14:paraId="0BC1EE9C" w14:textId="29EB8C79" w:rsidR="00D00162" w:rsidRDefault="00D00162">
      <w:r>
        <w:br w:type="page"/>
      </w:r>
    </w:p>
    <w:p w14:paraId="238186B3" w14:textId="376DD645" w:rsidR="00D00162" w:rsidRPr="00D00162" w:rsidRDefault="00D00162">
      <w:pPr>
        <w:rPr>
          <w:b/>
          <w:bCs/>
        </w:rPr>
      </w:pPr>
      <w:r w:rsidRPr="00D00162">
        <w:rPr>
          <w:b/>
          <w:bCs/>
        </w:rPr>
        <w:lastRenderedPageBreak/>
        <w:t>Supplementary Figures</w:t>
      </w:r>
    </w:p>
    <w:p w14:paraId="50074386" w14:textId="7527D1DC" w:rsidR="00492B42" w:rsidRPr="00AE44EF" w:rsidRDefault="00404244" w:rsidP="00492B42">
      <w:pPr>
        <w:spacing w:line="480" w:lineRule="auto"/>
        <w:rPr>
          <w:rFonts w:ascii="Arial" w:hAnsi="Arial" w:cs="Arial"/>
          <w:sz w:val="22"/>
          <w:szCs w:val="22"/>
        </w:rPr>
      </w:pPr>
      <w:r>
        <w:rPr>
          <w:rFonts w:ascii="Arial" w:hAnsi="Arial" w:cs="Arial"/>
          <w:noProof/>
          <w:sz w:val="22"/>
          <w:szCs w:val="22"/>
        </w:rPr>
        <w:drawing>
          <wp:inline distT="0" distB="0" distL="0" distR="0" wp14:anchorId="13AACFA0" wp14:editId="24F2E6EA">
            <wp:extent cx="5727700" cy="7729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1.pdf"/>
                    <pic:cNvPicPr/>
                  </pic:nvPicPr>
                  <pic:blipFill>
                    <a:blip r:embed="rId5">
                      <a:extLst>
                        <a:ext uri="{28A0092B-C50C-407E-A947-70E740481C1C}">
                          <a14:useLocalDpi xmlns:a14="http://schemas.microsoft.com/office/drawing/2010/main" val="0"/>
                        </a:ext>
                      </a:extLst>
                    </a:blip>
                    <a:stretch>
                      <a:fillRect/>
                    </a:stretch>
                  </pic:blipFill>
                  <pic:spPr>
                    <a:xfrm>
                      <a:off x="0" y="0"/>
                      <a:ext cx="5727700" cy="7729220"/>
                    </a:xfrm>
                    <a:prstGeom prst="rect">
                      <a:avLst/>
                    </a:prstGeom>
                  </pic:spPr>
                </pic:pic>
              </a:graphicData>
            </a:graphic>
          </wp:inline>
        </w:drawing>
      </w:r>
    </w:p>
    <w:p w14:paraId="41B64931" w14:textId="77777777" w:rsidR="00492B42" w:rsidRPr="00AE44EF" w:rsidRDefault="00492B42" w:rsidP="00492B42">
      <w:pPr>
        <w:spacing w:line="480" w:lineRule="auto"/>
        <w:rPr>
          <w:rFonts w:ascii="Arial" w:hAnsi="Arial" w:cs="Arial"/>
          <w:sz w:val="22"/>
          <w:szCs w:val="22"/>
        </w:rPr>
      </w:pPr>
      <w:r>
        <w:rPr>
          <w:rFonts w:ascii="Arial" w:hAnsi="Arial" w:cs="Arial"/>
          <w:b/>
          <w:bCs/>
          <w:sz w:val="22"/>
          <w:szCs w:val="22"/>
        </w:rPr>
        <w:t>Figure S</w:t>
      </w:r>
      <w:r w:rsidRPr="00AE44EF">
        <w:rPr>
          <w:rFonts w:ascii="Arial" w:hAnsi="Arial" w:cs="Arial"/>
          <w:b/>
          <w:bCs/>
          <w:sz w:val="22"/>
          <w:szCs w:val="22"/>
        </w:rPr>
        <w:t>1. Summary of analyses performed on each CIS sample.</w:t>
      </w:r>
      <w:r w:rsidRPr="00AE44EF">
        <w:rPr>
          <w:rFonts w:ascii="Arial" w:hAnsi="Arial" w:cs="Arial"/>
          <w:sz w:val="22"/>
          <w:szCs w:val="22"/>
        </w:rPr>
        <w:t xml:space="preserve"> Due to technical limitations related to the small size of </w:t>
      </w:r>
      <w:proofErr w:type="spellStart"/>
      <w:r w:rsidRPr="00AE44EF">
        <w:rPr>
          <w:rFonts w:ascii="Arial" w:hAnsi="Arial" w:cs="Arial"/>
          <w:sz w:val="22"/>
          <w:szCs w:val="22"/>
        </w:rPr>
        <w:t>bronchoscopic</w:t>
      </w:r>
      <w:proofErr w:type="spellEnd"/>
      <w:r w:rsidRPr="00AE44EF">
        <w:rPr>
          <w:rFonts w:ascii="Arial" w:hAnsi="Arial" w:cs="Arial"/>
          <w:sz w:val="22"/>
          <w:szCs w:val="22"/>
        </w:rPr>
        <w:t xml:space="preserve"> biopsies, not all analyses were </w:t>
      </w:r>
      <w:r w:rsidRPr="00AE44EF">
        <w:rPr>
          <w:rFonts w:ascii="Arial" w:hAnsi="Arial" w:cs="Arial"/>
          <w:sz w:val="22"/>
          <w:szCs w:val="22"/>
        </w:rPr>
        <w:lastRenderedPageBreak/>
        <w:t>performed on all samples. Table S1 provides a detailed reference of analyses performed on a per-sample basis. Methodology for sample selection for each analysis modality is provided in methods.</w:t>
      </w:r>
    </w:p>
    <w:p w14:paraId="0922AAA8" w14:textId="77777777" w:rsidR="00492B42" w:rsidRPr="00AE44EF" w:rsidRDefault="00492B42" w:rsidP="00492B42">
      <w:pPr>
        <w:spacing w:line="480" w:lineRule="auto"/>
        <w:rPr>
          <w:rFonts w:ascii="Arial" w:hAnsi="Arial" w:cs="Arial"/>
          <w:sz w:val="22"/>
          <w:szCs w:val="22"/>
          <w:lang w:val="en-US"/>
        </w:rPr>
      </w:pPr>
      <w:r w:rsidRPr="00AE44EF">
        <w:rPr>
          <w:rFonts w:ascii="Arial" w:hAnsi="Arial" w:cs="Arial"/>
          <w:sz w:val="22"/>
          <w:szCs w:val="22"/>
          <w:lang w:val="en-US"/>
        </w:rPr>
        <w:br w:type="page"/>
      </w:r>
    </w:p>
    <w:p w14:paraId="11F997F2" w14:textId="77777777" w:rsidR="00492B42" w:rsidRPr="00AE44EF" w:rsidRDefault="00492B42" w:rsidP="00492B42">
      <w:pPr>
        <w:spacing w:line="480" w:lineRule="auto"/>
        <w:rPr>
          <w:rFonts w:ascii="Arial" w:hAnsi="Arial" w:cs="Arial"/>
          <w:sz w:val="22"/>
          <w:szCs w:val="22"/>
          <w:lang w:val="en-US"/>
        </w:rPr>
      </w:pPr>
    </w:p>
    <w:p w14:paraId="2F46D922" w14:textId="2916876D" w:rsidR="00492B42" w:rsidRPr="00FE3106" w:rsidRDefault="00404244" w:rsidP="00492B42">
      <w:pPr>
        <w:spacing w:line="480" w:lineRule="auto"/>
        <w:rPr>
          <w:rFonts w:ascii="Arial" w:hAnsi="Arial" w:cs="Arial"/>
          <w:b/>
          <w:bCs/>
          <w:sz w:val="22"/>
          <w:szCs w:val="22"/>
          <w:lang w:val="en-US"/>
        </w:rPr>
      </w:pPr>
      <w:r>
        <w:rPr>
          <w:rFonts w:ascii="Arial" w:hAnsi="Arial" w:cs="Arial"/>
          <w:b/>
          <w:bCs/>
          <w:noProof/>
          <w:sz w:val="22"/>
          <w:szCs w:val="22"/>
          <w:lang w:val="en-US"/>
        </w:rPr>
        <w:drawing>
          <wp:inline distT="0" distB="0" distL="0" distR="0" wp14:anchorId="605623A8" wp14:editId="1534A226">
            <wp:extent cx="5727700" cy="572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2.pdf"/>
                    <pic:cNvPicPr/>
                  </pic:nvPicPr>
                  <pic:blipFill>
                    <a:blip r:embed="rId6">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C04CC5C" w14:textId="77777777" w:rsidR="00492B42" w:rsidRPr="00FE3106" w:rsidRDefault="00492B42" w:rsidP="00492B42">
      <w:pPr>
        <w:spacing w:line="480" w:lineRule="auto"/>
        <w:rPr>
          <w:rFonts w:ascii="Arial" w:hAnsi="Arial" w:cs="Arial"/>
          <w:b/>
          <w:bCs/>
          <w:sz w:val="22"/>
          <w:szCs w:val="22"/>
          <w:lang w:val="en-US"/>
        </w:rPr>
      </w:pPr>
      <w:r>
        <w:rPr>
          <w:rFonts w:ascii="Arial" w:hAnsi="Arial" w:cs="Arial"/>
          <w:b/>
          <w:bCs/>
          <w:sz w:val="22"/>
          <w:szCs w:val="22"/>
          <w:lang w:val="en-US"/>
        </w:rPr>
        <w:t>Figure S</w:t>
      </w:r>
      <w:r w:rsidRPr="00FE3106">
        <w:rPr>
          <w:rFonts w:ascii="Arial" w:hAnsi="Arial" w:cs="Arial"/>
          <w:b/>
          <w:bCs/>
          <w:sz w:val="22"/>
          <w:szCs w:val="22"/>
          <w:lang w:val="en-US"/>
        </w:rPr>
        <w:t>2. Proinflammatory cytokines are upregulated in regressive lesions.</w:t>
      </w:r>
    </w:p>
    <w:p w14:paraId="6F20CB8C" w14:textId="78CD5316" w:rsidR="00492B42" w:rsidRPr="00FE3106" w:rsidRDefault="00492B42" w:rsidP="00492B42">
      <w:pPr>
        <w:spacing w:line="480" w:lineRule="auto"/>
        <w:rPr>
          <w:rFonts w:ascii="Arial" w:hAnsi="Arial" w:cs="Arial"/>
          <w:sz w:val="22"/>
          <w:szCs w:val="22"/>
          <w:lang w:val="en-US"/>
        </w:rPr>
      </w:pPr>
      <w:r w:rsidRPr="00FE3106">
        <w:rPr>
          <w:rFonts w:ascii="Arial" w:hAnsi="Arial" w:cs="Arial"/>
          <w:sz w:val="22"/>
          <w:szCs w:val="22"/>
          <w:lang w:val="en-US"/>
        </w:rPr>
        <w:t>Comparing transcriptomic data from progressive CIS lesions (n=10) with regressive (n=8) we find regressive lesions express higher levels of cytokines</w:t>
      </w:r>
      <w:r w:rsidR="00404244">
        <w:rPr>
          <w:rFonts w:ascii="Arial" w:hAnsi="Arial" w:cs="Arial"/>
          <w:sz w:val="22"/>
          <w:szCs w:val="22"/>
          <w:lang w:val="en-US"/>
        </w:rPr>
        <w:t xml:space="preserve"> classically considered to be pro-inflammatory</w:t>
      </w:r>
      <w:r w:rsidRPr="00FE3106">
        <w:rPr>
          <w:rFonts w:ascii="Arial" w:hAnsi="Arial" w:cs="Arial"/>
          <w:sz w:val="22"/>
          <w:szCs w:val="22"/>
          <w:lang w:val="en-US"/>
        </w:rPr>
        <w:t xml:space="preserve"> (a) but not anti-inflammatory (b)</w:t>
      </w:r>
      <w:r>
        <w:rPr>
          <w:rFonts w:ascii="Arial" w:hAnsi="Arial" w:cs="Arial"/>
          <w:sz w:val="22"/>
          <w:szCs w:val="22"/>
          <w:lang w:val="en-US"/>
        </w:rPr>
        <w:t xml:space="preserve"> within the epithelium</w:t>
      </w:r>
      <w:r w:rsidRPr="00FE3106">
        <w:rPr>
          <w:rFonts w:ascii="Arial" w:hAnsi="Arial" w:cs="Arial"/>
          <w:sz w:val="22"/>
          <w:szCs w:val="22"/>
          <w:lang w:val="en-US"/>
        </w:rPr>
        <w:t xml:space="preserve">. The </w:t>
      </w:r>
      <w:proofErr w:type="spellStart"/>
      <w:proofErr w:type="gramStart"/>
      <w:r w:rsidRPr="00FE3106">
        <w:rPr>
          <w:rFonts w:ascii="Arial" w:hAnsi="Arial" w:cs="Arial"/>
          <w:sz w:val="22"/>
          <w:szCs w:val="22"/>
          <w:lang w:val="en-US"/>
        </w:rPr>
        <w:t>pro:anti</w:t>
      </w:r>
      <w:proofErr w:type="gramEnd"/>
      <w:r w:rsidRPr="00FE3106">
        <w:rPr>
          <w:rFonts w:ascii="Arial" w:hAnsi="Arial" w:cs="Arial"/>
          <w:sz w:val="22"/>
          <w:szCs w:val="22"/>
          <w:lang w:val="en-US"/>
        </w:rPr>
        <w:t>-inflammatory</w:t>
      </w:r>
      <w:proofErr w:type="spellEnd"/>
      <w:r w:rsidRPr="00FE3106">
        <w:rPr>
          <w:rFonts w:ascii="Arial" w:hAnsi="Arial" w:cs="Arial"/>
          <w:sz w:val="22"/>
          <w:szCs w:val="22"/>
          <w:lang w:val="en-US"/>
        </w:rPr>
        <w:t xml:space="preserve"> ratio is higher </w:t>
      </w:r>
      <w:r>
        <w:rPr>
          <w:rFonts w:ascii="Arial" w:hAnsi="Arial" w:cs="Arial"/>
          <w:sz w:val="22"/>
          <w:szCs w:val="22"/>
          <w:lang w:val="en-US"/>
        </w:rPr>
        <w:t xml:space="preserve">in regressive lesions </w:t>
      </w:r>
      <w:r w:rsidRPr="00FE3106">
        <w:rPr>
          <w:rFonts w:ascii="Arial" w:hAnsi="Arial" w:cs="Arial"/>
          <w:sz w:val="22"/>
          <w:szCs w:val="22"/>
          <w:lang w:val="en-US"/>
        </w:rPr>
        <w:t>(c). Transcriptomic data from laser-captured stroma adjacent to the same lesions does not show any difference in cytokine expression between progressive and regressive lesions (d-f). Expression values shown are the geometric means of gene expression data for 9 pro-inflammatory and 7 anti-</w:t>
      </w:r>
      <w:r w:rsidRPr="00FE3106">
        <w:rPr>
          <w:rFonts w:ascii="Arial" w:hAnsi="Arial" w:cs="Arial"/>
          <w:sz w:val="22"/>
          <w:szCs w:val="22"/>
          <w:lang w:val="en-US"/>
        </w:rPr>
        <w:lastRenderedPageBreak/>
        <w:t xml:space="preserve">inflammatory cytokines. </w:t>
      </w:r>
      <w:r w:rsidRPr="00FE3106">
        <w:rPr>
          <w:rFonts w:ascii="Arial" w:hAnsi="Arial" w:cs="Arial"/>
          <w:sz w:val="22"/>
          <w:szCs w:val="22"/>
        </w:rPr>
        <w:t>p-values are calculated using linear mixed</w:t>
      </w:r>
      <w:r>
        <w:rPr>
          <w:rFonts w:ascii="Arial" w:hAnsi="Arial" w:cs="Arial"/>
          <w:sz w:val="22"/>
          <w:szCs w:val="22"/>
        </w:rPr>
        <w:t xml:space="preserve"> </w:t>
      </w:r>
      <w:r w:rsidRPr="00FE3106">
        <w:rPr>
          <w:rFonts w:ascii="Arial" w:hAnsi="Arial" w:cs="Arial"/>
          <w:sz w:val="22"/>
          <w:szCs w:val="22"/>
        </w:rPr>
        <w:t>effects modelling to account for samples from the same patient.</w:t>
      </w:r>
      <w:r w:rsidRPr="00FE3106">
        <w:rPr>
          <w:rFonts w:ascii="Arial" w:hAnsi="Arial" w:cs="Arial"/>
          <w:sz w:val="22"/>
          <w:szCs w:val="22"/>
          <w:lang w:val="en-US"/>
        </w:rPr>
        <w:br w:type="page"/>
      </w:r>
    </w:p>
    <w:p w14:paraId="582DA9CD" w14:textId="38332253" w:rsidR="00492B42" w:rsidRPr="00FE3106" w:rsidRDefault="00404244" w:rsidP="00492B42">
      <w:pPr>
        <w:spacing w:line="480" w:lineRule="auto"/>
        <w:rPr>
          <w:rFonts w:ascii="Arial" w:hAnsi="Arial" w:cs="Arial"/>
          <w:sz w:val="22"/>
          <w:szCs w:val="22"/>
          <w:lang w:val="en-US"/>
        </w:rPr>
      </w:pPr>
      <w:r>
        <w:rPr>
          <w:rFonts w:ascii="Arial" w:hAnsi="Arial" w:cs="Arial"/>
          <w:noProof/>
          <w:sz w:val="22"/>
          <w:szCs w:val="22"/>
          <w:lang w:val="en-US"/>
        </w:rPr>
        <w:lastRenderedPageBreak/>
        <w:drawing>
          <wp:inline distT="0" distB="0" distL="0" distR="0" wp14:anchorId="1CB88CD7" wp14:editId="3D2410E8">
            <wp:extent cx="5727700" cy="4770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3.pdf"/>
                    <pic:cNvPicPr/>
                  </pic:nvPicPr>
                  <pic:blipFill>
                    <a:blip r:embed="rId7">
                      <a:extLst>
                        <a:ext uri="{28A0092B-C50C-407E-A947-70E740481C1C}">
                          <a14:useLocalDpi xmlns:a14="http://schemas.microsoft.com/office/drawing/2010/main" val="0"/>
                        </a:ext>
                      </a:extLst>
                    </a:blip>
                    <a:stretch>
                      <a:fillRect/>
                    </a:stretch>
                  </pic:blipFill>
                  <pic:spPr>
                    <a:xfrm>
                      <a:off x="0" y="0"/>
                      <a:ext cx="5727700" cy="4770120"/>
                    </a:xfrm>
                    <a:prstGeom prst="rect">
                      <a:avLst/>
                    </a:prstGeom>
                  </pic:spPr>
                </pic:pic>
              </a:graphicData>
            </a:graphic>
          </wp:inline>
        </w:drawing>
      </w:r>
    </w:p>
    <w:p w14:paraId="6AD805B2" w14:textId="77777777" w:rsidR="00492B42" w:rsidRPr="00FE3106" w:rsidRDefault="00492B42" w:rsidP="00492B42">
      <w:pPr>
        <w:spacing w:line="480" w:lineRule="auto"/>
        <w:rPr>
          <w:rFonts w:ascii="Arial" w:hAnsi="Arial" w:cs="Arial"/>
          <w:b/>
          <w:bCs/>
          <w:sz w:val="22"/>
          <w:szCs w:val="22"/>
          <w:lang w:val="en-US"/>
        </w:rPr>
      </w:pPr>
      <w:r>
        <w:rPr>
          <w:rFonts w:ascii="Arial" w:hAnsi="Arial" w:cs="Arial"/>
          <w:b/>
          <w:bCs/>
          <w:sz w:val="22"/>
          <w:szCs w:val="22"/>
          <w:lang w:val="en-US"/>
        </w:rPr>
        <w:t>Figure S</w:t>
      </w:r>
      <w:r w:rsidRPr="00FE3106">
        <w:rPr>
          <w:rFonts w:ascii="Arial" w:hAnsi="Arial" w:cs="Arial"/>
          <w:b/>
          <w:bCs/>
          <w:sz w:val="22"/>
          <w:szCs w:val="22"/>
          <w:lang w:val="en-US"/>
        </w:rPr>
        <w:t>3. Expression of individual cytokines in progressive and regressive CIS lesions.</w:t>
      </w:r>
    </w:p>
    <w:p w14:paraId="1B04195F" w14:textId="1119B9CD" w:rsidR="008E4C60" w:rsidRDefault="00492B42" w:rsidP="00492B42">
      <w:pPr>
        <w:spacing w:line="480" w:lineRule="auto"/>
        <w:rPr>
          <w:rFonts w:ascii="Arial" w:hAnsi="Arial" w:cs="Arial"/>
          <w:sz w:val="22"/>
          <w:szCs w:val="22"/>
        </w:rPr>
      </w:pPr>
      <w:r w:rsidRPr="00FE3106">
        <w:rPr>
          <w:rFonts w:ascii="Arial" w:hAnsi="Arial" w:cs="Arial"/>
          <w:sz w:val="22"/>
          <w:szCs w:val="22"/>
          <w:lang w:val="en-US"/>
        </w:rPr>
        <w:t xml:space="preserve">Continuing the analysis of transcriptomic data from progressive CIS lesions (n=10) with regressive (n=8) shown in </w:t>
      </w:r>
      <w:r>
        <w:rPr>
          <w:rFonts w:ascii="Arial" w:hAnsi="Arial" w:cs="Arial"/>
          <w:sz w:val="22"/>
          <w:szCs w:val="22"/>
          <w:lang w:val="en-US"/>
        </w:rPr>
        <w:t>Figure S</w:t>
      </w:r>
      <w:r w:rsidRPr="00FE3106">
        <w:rPr>
          <w:rFonts w:ascii="Arial" w:hAnsi="Arial" w:cs="Arial"/>
          <w:sz w:val="22"/>
          <w:szCs w:val="22"/>
          <w:lang w:val="en-US"/>
        </w:rPr>
        <w:t>2, we demonstrate the contributions of individual pro-inflammatory cytokines (a) and anti-inflammatory cytokines (b). We see upregulation of several pro-inflammatory cytokines in regressive lesions</w:t>
      </w:r>
      <w:r w:rsidRPr="00533F6E">
        <w:rPr>
          <w:rFonts w:ascii="Arial" w:hAnsi="Arial" w:cs="Arial"/>
          <w:i/>
          <w:iCs/>
          <w:sz w:val="22"/>
          <w:szCs w:val="22"/>
          <w:lang w:val="en-US"/>
        </w:rPr>
        <w:t xml:space="preserve">: IL12A, IL2, IL23A </w:t>
      </w:r>
      <w:r w:rsidRPr="00533F6E">
        <w:rPr>
          <w:rFonts w:ascii="Arial" w:hAnsi="Arial" w:cs="Arial"/>
          <w:sz w:val="22"/>
          <w:szCs w:val="22"/>
          <w:lang w:val="en-US"/>
        </w:rPr>
        <w:t>and</w:t>
      </w:r>
      <w:r w:rsidRPr="00533F6E">
        <w:rPr>
          <w:rFonts w:ascii="Arial" w:hAnsi="Arial" w:cs="Arial"/>
          <w:i/>
          <w:iCs/>
          <w:sz w:val="22"/>
          <w:szCs w:val="22"/>
          <w:lang w:val="en-US"/>
        </w:rPr>
        <w:t xml:space="preserve"> TNF</w:t>
      </w:r>
      <w:r w:rsidRPr="00EF2355">
        <w:rPr>
          <w:rFonts w:ascii="Arial" w:hAnsi="Arial" w:cs="Arial"/>
          <w:sz w:val="22"/>
          <w:szCs w:val="22"/>
          <w:lang w:val="en-US"/>
        </w:rPr>
        <w:t xml:space="preserve">. </w:t>
      </w:r>
      <w:r w:rsidRPr="00533F6E">
        <w:rPr>
          <w:rFonts w:ascii="Arial" w:hAnsi="Arial" w:cs="Arial"/>
          <w:i/>
          <w:iCs/>
          <w:sz w:val="22"/>
          <w:szCs w:val="22"/>
          <w:lang w:val="en-US"/>
        </w:rPr>
        <w:t>CXCL8</w:t>
      </w:r>
      <w:r w:rsidRPr="00EF2355">
        <w:rPr>
          <w:rFonts w:ascii="Arial" w:hAnsi="Arial" w:cs="Arial"/>
          <w:sz w:val="22"/>
          <w:szCs w:val="22"/>
          <w:lang w:val="en-US"/>
        </w:rPr>
        <w:t xml:space="preserve">, which is associated with macrophages, is downregulated in regressive lesions. </w:t>
      </w:r>
      <w:r w:rsidRPr="00EF2355">
        <w:rPr>
          <w:rFonts w:ascii="Arial" w:hAnsi="Arial" w:cs="Arial"/>
          <w:sz w:val="22"/>
          <w:szCs w:val="22"/>
        </w:rPr>
        <w:t>p-values are calculated using linear mixed</w:t>
      </w:r>
      <w:r>
        <w:rPr>
          <w:rFonts w:ascii="Arial" w:hAnsi="Arial" w:cs="Arial"/>
          <w:sz w:val="22"/>
          <w:szCs w:val="22"/>
        </w:rPr>
        <w:t xml:space="preserve"> </w:t>
      </w:r>
      <w:r w:rsidRPr="00EF2355">
        <w:rPr>
          <w:rFonts w:ascii="Arial" w:hAnsi="Arial" w:cs="Arial"/>
          <w:sz w:val="22"/>
          <w:szCs w:val="22"/>
        </w:rPr>
        <w:t>effects mode</w:t>
      </w:r>
      <w:r w:rsidR="009D24D0">
        <w:rPr>
          <w:rFonts w:ascii="Arial" w:hAnsi="Arial" w:cs="Arial"/>
          <w:sz w:val="22"/>
          <w:szCs w:val="22"/>
        </w:rPr>
        <w:t>l</w:t>
      </w:r>
      <w:r w:rsidRPr="00EF2355">
        <w:rPr>
          <w:rFonts w:ascii="Arial" w:hAnsi="Arial" w:cs="Arial"/>
          <w:sz w:val="22"/>
          <w:szCs w:val="22"/>
        </w:rPr>
        <w:t>ling to account for samples from the same patient.</w:t>
      </w:r>
    </w:p>
    <w:p w14:paraId="5869E0D6" w14:textId="77777777" w:rsidR="008E4C60" w:rsidRDefault="008E4C60">
      <w:pPr>
        <w:rPr>
          <w:rFonts w:ascii="Arial" w:hAnsi="Arial" w:cs="Arial"/>
          <w:sz w:val="22"/>
          <w:szCs w:val="22"/>
        </w:rPr>
      </w:pPr>
      <w:r>
        <w:rPr>
          <w:rFonts w:ascii="Arial" w:hAnsi="Arial" w:cs="Arial"/>
          <w:sz w:val="22"/>
          <w:szCs w:val="22"/>
        </w:rPr>
        <w:br w:type="page"/>
      </w:r>
    </w:p>
    <w:p w14:paraId="3F7B59B5" w14:textId="1F77B98C" w:rsidR="00FC68D4" w:rsidRDefault="00FC68D4" w:rsidP="00492B42">
      <w:pPr>
        <w:spacing w:line="480" w:lineRule="auto"/>
        <w:rPr>
          <w:rFonts w:ascii="Arial" w:hAnsi="Arial" w:cs="Arial"/>
          <w:b/>
          <w:bCs/>
          <w:sz w:val="22"/>
          <w:szCs w:val="22"/>
          <w:lang w:val="en-US"/>
        </w:rPr>
      </w:pPr>
      <w:r>
        <w:rPr>
          <w:rFonts w:ascii="Arial" w:hAnsi="Arial" w:cs="Arial"/>
          <w:b/>
          <w:bCs/>
          <w:noProof/>
          <w:sz w:val="22"/>
          <w:szCs w:val="22"/>
          <w:lang w:val="en-US"/>
        </w:rPr>
        <w:lastRenderedPageBreak/>
        <w:drawing>
          <wp:inline distT="0" distB="0" distL="0" distR="0" wp14:anchorId="4F15F8C4" wp14:editId="12597646">
            <wp:extent cx="5727700" cy="7729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4.pdf"/>
                    <pic:cNvPicPr/>
                  </pic:nvPicPr>
                  <pic:blipFill>
                    <a:blip r:embed="rId8">
                      <a:extLst>
                        <a:ext uri="{28A0092B-C50C-407E-A947-70E740481C1C}">
                          <a14:useLocalDpi xmlns:a14="http://schemas.microsoft.com/office/drawing/2010/main" val="0"/>
                        </a:ext>
                      </a:extLst>
                    </a:blip>
                    <a:stretch>
                      <a:fillRect/>
                    </a:stretch>
                  </pic:blipFill>
                  <pic:spPr>
                    <a:xfrm>
                      <a:off x="0" y="0"/>
                      <a:ext cx="5727700" cy="7729220"/>
                    </a:xfrm>
                    <a:prstGeom prst="rect">
                      <a:avLst/>
                    </a:prstGeom>
                  </pic:spPr>
                </pic:pic>
              </a:graphicData>
            </a:graphic>
          </wp:inline>
        </w:drawing>
      </w:r>
    </w:p>
    <w:p w14:paraId="779218D7" w14:textId="00C9241F" w:rsidR="008E4C60" w:rsidRDefault="008E4C60" w:rsidP="00492B42">
      <w:pPr>
        <w:spacing w:line="480" w:lineRule="auto"/>
        <w:rPr>
          <w:rFonts w:ascii="Arial" w:hAnsi="Arial" w:cs="Arial"/>
          <w:sz w:val="22"/>
          <w:szCs w:val="22"/>
          <w:lang w:val="en-US"/>
        </w:rPr>
      </w:pPr>
      <w:r w:rsidRPr="00DC67C8">
        <w:rPr>
          <w:rFonts w:ascii="Arial" w:hAnsi="Arial" w:cs="Arial"/>
          <w:b/>
          <w:bCs/>
          <w:sz w:val="22"/>
          <w:szCs w:val="22"/>
          <w:lang w:val="en-US"/>
        </w:rPr>
        <w:t>Figure S4.  Effects of smoking on progression risk and lymphocyte infiltration.</w:t>
      </w:r>
    </w:p>
    <w:p w14:paraId="52E52DFD" w14:textId="236F0409" w:rsidR="009B4EE2" w:rsidRDefault="00291049" w:rsidP="00492B42">
      <w:pPr>
        <w:spacing w:line="480" w:lineRule="auto"/>
        <w:rPr>
          <w:rFonts w:ascii="Arial" w:hAnsi="Arial" w:cs="Arial"/>
          <w:sz w:val="22"/>
          <w:szCs w:val="22"/>
          <w:lang w:val="en-US"/>
        </w:rPr>
      </w:pPr>
      <w:r w:rsidRPr="00291049">
        <w:rPr>
          <w:rFonts w:ascii="Arial" w:hAnsi="Arial" w:cs="Arial"/>
          <w:sz w:val="22"/>
          <w:szCs w:val="22"/>
        </w:rPr>
        <w:t xml:space="preserve">Smoking status was available for 132 CIS lesions from 59 patients (24 lesions from 13 current smokers; 104 from 43 former smokers; 4 from 3 never smokers). Here we show the </w:t>
      </w:r>
      <w:r w:rsidRPr="00291049">
        <w:rPr>
          <w:rFonts w:ascii="Arial" w:hAnsi="Arial" w:cs="Arial"/>
          <w:sz w:val="22"/>
          <w:szCs w:val="22"/>
        </w:rPr>
        <w:lastRenderedPageBreak/>
        <w:t xml:space="preserve">absolute (a) and relative (b) numbers of lesions in each group which progressed to cancer. Using a Cochrane-Armitage test to look for a trend from </w:t>
      </w:r>
      <w:r w:rsidR="009D24D0">
        <w:rPr>
          <w:rFonts w:ascii="Arial" w:hAnsi="Arial" w:cs="Arial"/>
          <w:sz w:val="22"/>
          <w:szCs w:val="22"/>
        </w:rPr>
        <w:t>c</w:t>
      </w:r>
      <w:r w:rsidRPr="00291049">
        <w:rPr>
          <w:rFonts w:ascii="Arial" w:hAnsi="Arial" w:cs="Arial"/>
          <w:sz w:val="22"/>
          <w:szCs w:val="22"/>
        </w:rPr>
        <w:t xml:space="preserve">urrent to </w:t>
      </w:r>
      <w:r w:rsidR="009D24D0">
        <w:rPr>
          <w:rFonts w:ascii="Arial" w:hAnsi="Arial" w:cs="Arial"/>
          <w:sz w:val="22"/>
          <w:szCs w:val="22"/>
        </w:rPr>
        <w:t>f</w:t>
      </w:r>
      <w:r w:rsidRPr="00291049">
        <w:rPr>
          <w:rFonts w:ascii="Arial" w:hAnsi="Arial" w:cs="Arial"/>
          <w:sz w:val="22"/>
          <w:szCs w:val="22"/>
        </w:rPr>
        <w:t xml:space="preserve">ormer to </w:t>
      </w:r>
      <w:r w:rsidR="009D24D0">
        <w:rPr>
          <w:rFonts w:ascii="Arial" w:hAnsi="Arial" w:cs="Arial"/>
          <w:sz w:val="22"/>
          <w:szCs w:val="22"/>
        </w:rPr>
        <w:t>n</w:t>
      </w:r>
      <w:r w:rsidRPr="00291049">
        <w:rPr>
          <w:rFonts w:ascii="Arial" w:hAnsi="Arial" w:cs="Arial"/>
          <w:sz w:val="22"/>
          <w:szCs w:val="22"/>
        </w:rPr>
        <w:t xml:space="preserve">ever smokers, we found a trend towards </w:t>
      </w:r>
      <w:r w:rsidR="0091434A">
        <w:rPr>
          <w:rFonts w:ascii="Arial" w:hAnsi="Arial" w:cs="Arial"/>
          <w:sz w:val="22"/>
          <w:szCs w:val="22"/>
        </w:rPr>
        <w:t>higher</w:t>
      </w:r>
      <w:r w:rsidRPr="00291049">
        <w:rPr>
          <w:rFonts w:ascii="Arial" w:hAnsi="Arial" w:cs="Arial"/>
          <w:sz w:val="22"/>
          <w:szCs w:val="22"/>
        </w:rPr>
        <w:t xml:space="preserve"> chance of regression (p=0.002). To account for samples from the same patient, we randomly selected one sample per patient and repeated this Cochrane-Armitage test, obtaining a p-value &lt; 0.1 irrespective of sample choice (c). Similarly, we show the absolute (d) and relative (e) numbers of lesions which are “infiltrated”, defined as having above the median number of infiltrating lymphocytes per unit area. Again, we observe a trend towards higher infiltration from </w:t>
      </w:r>
      <w:r w:rsidR="009D24D0">
        <w:rPr>
          <w:rFonts w:ascii="Arial" w:hAnsi="Arial" w:cs="Arial"/>
          <w:sz w:val="22"/>
          <w:szCs w:val="22"/>
        </w:rPr>
        <w:t>c</w:t>
      </w:r>
      <w:r w:rsidRPr="00291049">
        <w:rPr>
          <w:rFonts w:ascii="Arial" w:hAnsi="Arial" w:cs="Arial"/>
          <w:sz w:val="22"/>
          <w:szCs w:val="22"/>
        </w:rPr>
        <w:t xml:space="preserve">urrent to </w:t>
      </w:r>
      <w:r w:rsidR="009D24D0">
        <w:rPr>
          <w:rFonts w:ascii="Arial" w:hAnsi="Arial" w:cs="Arial"/>
          <w:sz w:val="22"/>
          <w:szCs w:val="22"/>
        </w:rPr>
        <w:t>f</w:t>
      </w:r>
      <w:r w:rsidRPr="00291049">
        <w:rPr>
          <w:rFonts w:ascii="Arial" w:hAnsi="Arial" w:cs="Arial"/>
          <w:sz w:val="22"/>
          <w:szCs w:val="22"/>
        </w:rPr>
        <w:t xml:space="preserve">ormer to </w:t>
      </w:r>
      <w:r w:rsidR="009D24D0">
        <w:rPr>
          <w:rFonts w:ascii="Arial" w:hAnsi="Arial" w:cs="Arial"/>
          <w:sz w:val="22"/>
          <w:szCs w:val="22"/>
        </w:rPr>
        <w:t>n</w:t>
      </w:r>
      <w:r w:rsidRPr="00291049">
        <w:rPr>
          <w:rFonts w:ascii="Arial" w:hAnsi="Arial" w:cs="Arial"/>
          <w:sz w:val="22"/>
          <w:szCs w:val="22"/>
        </w:rPr>
        <w:t>ever smokers, which is reasonably robust to sample selection (f).</w:t>
      </w:r>
      <w:r w:rsidR="00FC68D4">
        <w:rPr>
          <w:rFonts w:ascii="Arial" w:hAnsi="Arial" w:cs="Arial"/>
          <w:sz w:val="22"/>
          <w:szCs w:val="22"/>
        </w:rPr>
        <w:t xml:space="preserve"> Similar plots dividing the former-smoking group by time since quitting (g-j) do not show a trend towards increased chance of regression or increased lymphocytic infiltration over time.</w:t>
      </w:r>
    </w:p>
    <w:p w14:paraId="7C5F70E7" w14:textId="0BEE48A9" w:rsidR="00492B42" w:rsidRPr="00AE44EF" w:rsidRDefault="00492B42" w:rsidP="00492B42">
      <w:pPr>
        <w:spacing w:line="480" w:lineRule="auto"/>
        <w:rPr>
          <w:rFonts w:ascii="Arial" w:hAnsi="Arial" w:cs="Arial"/>
          <w:sz w:val="22"/>
          <w:szCs w:val="22"/>
          <w:lang w:val="en-US"/>
        </w:rPr>
      </w:pPr>
      <w:r w:rsidRPr="00FE3106">
        <w:rPr>
          <w:rFonts w:ascii="Arial" w:hAnsi="Arial" w:cs="Arial"/>
          <w:sz w:val="22"/>
          <w:szCs w:val="22"/>
          <w:lang w:val="en-US"/>
        </w:rPr>
        <w:br w:type="page"/>
      </w:r>
      <w:r w:rsidR="00F52B0E">
        <w:rPr>
          <w:rFonts w:ascii="Arial" w:hAnsi="Arial" w:cs="Arial"/>
          <w:noProof/>
          <w:sz w:val="22"/>
          <w:szCs w:val="22"/>
          <w:lang w:val="en-US"/>
        </w:rPr>
        <w:lastRenderedPageBreak/>
        <w:drawing>
          <wp:inline distT="0" distB="0" distL="0" distR="0" wp14:anchorId="4F66328B" wp14:editId="0E6CA60C">
            <wp:extent cx="5727700" cy="6877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5.pdf"/>
                    <pic:cNvPicPr/>
                  </pic:nvPicPr>
                  <pic:blipFill>
                    <a:blip r:embed="rId9">
                      <a:extLst>
                        <a:ext uri="{28A0092B-C50C-407E-A947-70E740481C1C}">
                          <a14:useLocalDpi xmlns:a14="http://schemas.microsoft.com/office/drawing/2010/main" val="0"/>
                        </a:ext>
                      </a:extLst>
                    </a:blip>
                    <a:stretch>
                      <a:fillRect/>
                    </a:stretch>
                  </pic:blipFill>
                  <pic:spPr>
                    <a:xfrm>
                      <a:off x="0" y="0"/>
                      <a:ext cx="5727700" cy="6877685"/>
                    </a:xfrm>
                    <a:prstGeom prst="rect">
                      <a:avLst/>
                    </a:prstGeom>
                  </pic:spPr>
                </pic:pic>
              </a:graphicData>
            </a:graphic>
          </wp:inline>
        </w:drawing>
      </w:r>
    </w:p>
    <w:p w14:paraId="747B35D7" w14:textId="0A5777CF" w:rsidR="00492B42" w:rsidRPr="00EF2355" w:rsidRDefault="00492B42" w:rsidP="00492B42">
      <w:pPr>
        <w:spacing w:line="480" w:lineRule="auto"/>
        <w:rPr>
          <w:rFonts w:ascii="Arial" w:hAnsi="Arial" w:cs="Arial"/>
          <w:b/>
          <w:bCs/>
          <w:sz w:val="22"/>
          <w:szCs w:val="22"/>
          <w:lang w:val="en-US"/>
        </w:rPr>
      </w:pPr>
      <w:r>
        <w:rPr>
          <w:rFonts w:ascii="Arial" w:hAnsi="Arial" w:cs="Arial"/>
          <w:b/>
          <w:bCs/>
          <w:sz w:val="22"/>
          <w:szCs w:val="22"/>
          <w:lang w:val="en-US"/>
        </w:rPr>
        <w:t>Figure S</w:t>
      </w:r>
      <w:r w:rsidR="00DA3CF4">
        <w:rPr>
          <w:rFonts w:ascii="Arial" w:hAnsi="Arial" w:cs="Arial"/>
          <w:b/>
          <w:bCs/>
          <w:sz w:val="22"/>
          <w:szCs w:val="22"/>
          <w:lang w:val="en-US"/>
        </w:rPr>
        <w:t>5</w:t>
      </w:r>
      <w:r w:rsidRPr="00EF2355">
        <w:rPr>
          <w:rFonts w:ascii="Arial" w:hAnsi="Arial" w:cs="Arial"/>
          <w:b/>
          <w:bCs/>
          <w:sz w:val="22"/>
          <w:szCs w:val="22"/>
          <w:lang w:val="en-US"/>
        </w:rPr>
        <w:t>. Neoantigen analysis of progressive versus regressive lesions.</w:t>
      </w:r>
    </w:p>
    <w:p w14:paraId="35CD76E9" w14:textId="77777777" w:rsidR="00492B42" w:rsidRPr="00EF2355" w:rsidRDefault="00492B42" w:rsidP="00492B42">
      <w:pPr>
        <w:spacing w:line="480" w:lineRule="auto"/>
        <w:rPr>
          <w:rFonts w:ascii="Arial" w:hAnsi="Arial" w:cs="Arial"/>
          <w:sz w:val="22"/>
          <w:szCs w:val="22"/>
          <w:lang w:val="en-US"/>
        </w:rPr>
      </w:pPr>
      <w:r w:rsidRPr="00EF2355">
        <w:rPr>
          <w:rFonts w:ascii="Arial" w:hAnsi="Arial" w:cs="Arial"/>
          <w:sz w:val="22"/>
          <w:szCs w:val="22"/>
          <w:lang w:val="en-US"/>
        </w:rPr>
        <w:t>Predicted neoantigen load correlates closely with mutational burden (a). Therefore</w:t>
      </w:r>
      <w:r>
        <w:rPr>
          <w:rFonts w:ascii="Arial" w:hAnsi="Arial" w:cs="Arial"/>
          <w:sz w:val="22"/>
          <w:szCs w:val="22"/>
          <w:lang w:val="en-US"/>
        </w:rPr>
        <w:t>,</w:t>
      </w:r>
      <w:r w:rsidRPr="00EF2355">
        <w:rPr>
          <w:rFonts w:ascii="Arial" w:hAnsi="Arial" w:cs="Arial"/>
          <w:sz w:val="22"/>
          <w:szCs w:val="22"/>
          <w:lang w:val="en-US"/>
        </w:rPr>
        <w:t xml:space="preserve"> progressive samples, which harbor more mutations, have more neoantigens (b). This remains true when the analysis is limited to clonal neoantigens (c). The proportion of clonal neoantigens was similar (d). Considering the individual predicted neoantigens, there was no qualitative difference between progressive and regressive samples; they were similar in </w:t>
      </w:r>
      <w:r w:rsidRPr="00EF2355">
        <w:rPr>
          <w:rFonts w:ascii="Arial" w:hAnsi="Arial" w:cs="Arial"/>
          <w:sz w:val="22"/>
          <w:szCs w:val="22"/>
          <w:lang w:val="en-US"/>
        </w:rPr>
        <w:lastRenderedPageBreak/>
        <w:t xml:space="preserve">terms of binding affinity (e), rank binding affinity (f) and differential </w:t>
      </w:r>
      <w:proofErr w:type="spellStart"/>
      <w:r w:rsidRPr="00EF2355">
        <w:rPr>
          <w:rFonts w:ascii="Arial" w:hAnsi="Arial" w:cs="Arial"/>
          <w:sz w:val="22"/>
          <w:szCs w:val="22"/>
          <w:lang w:val="en-US"/>
        </w:rPr>
        <w:t>agretopicity</w:t>
      </w:r>
      <w:proofErr w:type="spellEnd"/>
      <w:r w:rsidRPr="00EF2355">
        <w:rPr>
          <w:rFonts w:ascii="Arial" w:hAnsi="Arial" w:cs="Arial"/>
          <w:sz w:val="22"/>
          <w:szCs w:val="22"/>
          <w:lang w:val="en-US"/>
        </w:rPr>
        <w:t xml:space="preserve"> index (DAI) (g). The ratio of observed to expected neoantigens (</w:t>
      </w:r>
      <w:r>
        <w:rPr>
          <w:rFonts w:ascii="Arial" w:hAnsi="Arial" w:cs="Arial"/>
          <w:sz w:val="22"/>
          <w:szCs w:val="22"/>
          <w:lang w:val="en-US"/>
        </w:rPr>
        <w:t>‘</w:t>
      </w:r>
      <w:r w:rsidRPr="00EF2355">
        <w:rPr>
          <w:rFonts w:ascii="Arial" w:hAnsi="Arial" w:cs="Arial"/>
          <w:sz w:val="22"/>
          <w:szCs w:val="22"/>
          <w:lang w:val="en-US"/>
        </w:rPr>
        <w:t>depletion score</w:t>
      </w:r>
      <w:r>
        <w:rPr>
          <w:rFonts w:ascii="Arial" w:hAnsi="Arial" w:cs="Arial"/>
          <w:sz w:val="22"/>
          <w:szCs w:val="22"/>
          <w:lang w:val="en-US"/>
        </w:rPr>
        <w:t>’</w:t>
      </w:r>
      <w:r w:rsidRPr="00EF2355">
        <w:rPr>
          <w:rFonts w:ascii="Arial" w:hAnsi="Arial" w:cs="Arial"/>
          <w:sz w:val="22"/>
          <w:szCs w:val="22"/>
          <w:lang w:val="en-US"/>
        </w:rPr>
        <w:t>) was similar between progressive and regressive lesions (h). The p-value for figure (a) was calculated using Pearson’s product moment; p-values for figures (b)-(h) were calculated using a Wilcoxon rank-sum test.</w:t>
      </w:r>
    </w:p>
    <w:p w14:paraId="2657A196" w14:textId="77777777" w:rsidR="00492B42" w:rsidRPr="00EF2355" w:rsidRDefault="00492B42" w:rsidP="00492B42">
      <w:pPr>
        <w:spacing w:line="480" w:lineRule="auto"/>
        <w:jc w:val="both"/>
        <w:rPr>
          <w:rFonts w:ascii="Arial" w:hAnsi="Arial" w:cs="Arial"/>
          <w:sz w:val="22"/>
          <w:szCs w:val="22"/>
        </w:rPr>
      </w:pPr>
      <w:r w:rsidRPr="00EF2355">
        <w:rPr>
          <w:rFonts w:ascii="Arial" w:hAnsi="Arial" w:cs="Arial"/>
          <w:sz w:val="22"/>
          <w:szCs w:val="22"/>
        </w:rPr>
        <w:br w:type="page"/>
      </w:r>
    </w:p>
    <w:p w14:paraId="0ADEC246" w14:textId="77777777" w:rsidR="00492B42" w:rsidRPr="00AE44EF" w:rsidRDefault="00492B42" w:rsidP="00492B42">
      <w:pPr>
        <w:spacing w:line="480" w:lineRule="auto"/>
        <w:jc w:val="both"/>
        <w:rPr>
          <w:rFonts w:ascii="Arial" w:hAnsi="Arial" w:cs="Arial"/>
          <w:sz w:val="22"/>
          <w:szCs w:val="22"/>
        </w:rPr>
      </w:pPr>
      <w:r>
        <w:rPr>
          <w:rFonts w:ascii="Arial" w:hAnsi="Arial" w:cs="Arial"/>
          <w:noProof/>
          <w:sz w:val="22"/>
          <w:szCs w:val="22"/>
        </w:rPr>
        <w:lastRenderedPageBreak/>
        <w:drawing>
          <wp:inline distT="0" distB="0" distL="0" distR="0" wp14:anchorId="4CF001B5" wp14:editId="2E7E4F1A">
            <wp:extent cx="592074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6.pdf"/>
                    <pic:cNvPicPr/>
                  </pic:nvPicPr>
                  <pic:blipFill>
                    <a:blip r:embed="rId10">
                      <a:extLst>
                        <a:ext uri="{28A0092B-C50C-407E-A947-70E740481C1C}">
                          <a14:useLocalDpi xmlns:a14="http://schemas.microsoft.com/office/drawing/2010/main" val="0"/>
                        </a:ext>
                      </a:extLst>
                    </a:blip>
                    <a:stretch>
                      <a:fillRect/>
                    </a:stretch>
                  </pic:blipFill>
                  <pic:spPr>
                    <a:xfrm>
                      <a:off x="0" y="0"/>
                      <a:ext cx="5920740" cy="8229600"/>
                    </a:xfrm>
                    <a:prstGeom prst="rect">
                      <a:avLst/>
                    </a:prstGeom>
                  </pic:spPr>
                </pic:pic>
              </a:graphicData>
            </a:graphic>
          </wp:inline>
        </w:drawing>
      </w:r>
    </w:p>
    <w:p w14:paraId="1ECFB58C" w14:textId="6409E0C7" w:rsidR="00492B42" w:rsidRPr="00533F6E" w:rsidRDefault="00492B42" w:rsidP="00492B42">
      <w:pPr>
        <w:spacing w:line="480" w:lineRule="auto"/>
        <w:jc w:val="both"/>
        <w:rPr>
          <w:rFonts w:ascii="Arial" w:hAnsi="Arial" w:cs="Arial"/>
          <w:sz w:val="22"/>
          <w:szCs w:val="22"/>
          <w:lang w:val="en-US"/>
        </w:rPr>
      </w:pPr>
      <w:r>
        <w:rPr>
          <w:rFonts w:ascii="Arial" w:hAnsi="Arial" w:cs="Arial"/>
          <w:b/>
          <w:bCs/>
          <w:sz w:val="22"/>
          <w:szCs w:val="22"/>
        </w:rPr>
        <w:lastRenderedPageBreak/>
        <w:t>Figure S</w:t>
      </w:r>
      <w:r w:rsidR="006F78E2">
        <w:rPr>
          <w:rFonts w:ascii="Arial" w:hAnsi="Arial" w:cs="Arial"/>
          <w:b/>
          <w:bCs/>
          <w:sz w:val="22"/>
          <w:szCs w:val="22"/>
        </w:rPr>
        <w:t>6</w:t>
      </w:r>
      <w:r w:rsidRPr="00533F6E">
        <w:rPr>
          <w:rFonts w:ascii="Arial" w:hAnsi="Arial" w:cs="Arial"/>
          <w:b/>
          <w:bCs/>
          <w:sz w:val="22"/>
          <w:szCs w:val="22"/>
        </w:rPr>
        <w:t>. Aberrant methylation of the HLA region is a feature of progressive CIS and cancer.</w:t>
      </w:r>
      <w:r w:rsidRPr="00533F6E">
        <w:rPr>
          <w:rFonts w:ascii="Arial" w:hAnsi="Arial" w:cs="Arial"/>
          <w:sz w:val="22"/>
          <w:szCs w:val="22"/>
        </w:rPr>
        <w:t xml:space="preserve"> (a)</w:t>
      </w:r>
      <w:r w:rsidRPr="00533F6E">
        <w:rPr>
          <w:rFonts w:ascii="Arial" w:hAnsi="Arial" w:cs="Arial"/>
          <w:sz w:val="22"/>
          <w:szCs w:val="22"/>
          <w:lang w:val="en-US"/>
        </w:rPr>
        <w:t xml:space="preserve"> Differentially methylated regions across the genome, calculated for progressive vs regressive CIS (outer circle) and for cancer vs control (inner circle). Hypermethylated DMRs are plotted in yellow, hypomethylated in blue. Genes involved in the MHC class I mechanism are highlighted. In both comparisons a cluster is observed on chromosome 6</w:t>
      </w:r>
      <w:r>
        <w:rPr>
          <w:rFonts w:ascii="Arial" w:hAnsi="Arial" w:cs="Arial"/>
          <w:sz w:val="22"/>
          <w:szCs w:val="22"/>
          <w:lang w:val="en-US"/>
        </w:rPr>
        <w:t>,</w:t>
      </w:r>
      <w:r w:rsidRPr="00533F6E">
        <w:rPr>
          <w:rFonts w:ascii="Arial" w:hAnsi="Arial" w:cs="Arial"/>
          <w:sz w:val="22"/>
          <w:szCs w:val="22"/>
          <w:lang w:val="en-US"/>
        </w:rPr>
        <w:t xml:space="preserve"> which includes all main HLA regions. (b) Selection of three probes covering the </w:t>
      </w:r>
      <w:r w:rsidRPr="00533F6E">
        <w:rPr>
          <w:rFonts w:ascii="Arial" w:hAnsi="Arial" w:cs="Arial"/>
          <w:i/>
          <w:iCs/>
          <w:sz w:val="22"/>
          <w:szCs w:val="22"/>
          <w:lang w:val="en-US"/>
        </w:rPr>
        <w:t>HLA-A</w:t>
      </w:r>
      <w:r w:rsidRPr="00533F6E">
        <w:rPr>
          <w:rFonts w:ascii="Arial" w:hAnsi="Arial" w:cs="Arial"/>
          <w:sz w:val="22"/>
          <w:szCs w:val="22"/>
          <w:lang w:val="en-US"/>
        </w:rPr>
        <w:t xml:space="preserve"> gene, all showing marked hypermethylation in a subset of progressive samples and hence suggesting an epigenetic mechanism for reduced </w:t>
      </w:r>
      <w:r w:rsidRPr="00533F6E">
        <w:rPr>
          <w:rFonts w:ascii="Arial" w:hAnsi="Arial" w:cs="Arial"/>
          <w:i/>
          <w:iCs/>
          <w:sz w:val="22"/>
          <w:szCs w:val="22"/>
          <w:lang w:val="en-US"/>
        </w:rPr>
        <w:t>HLA-A</w:t>
      </w:r>
      <w:r w:rsidRPr="00533F6E">
        <w:rPr>
          <w:rFonts w:ascii="Arial" w:hAnsi="Arial" w:cs="Arial"/>
          <w:sz w:val="22"/>
          <w:szCs w:val="22"/>
          <w:lang w:val="en-US"/>
        </w:rPr>
        <w:t xml:space="preserve"> in these samples. </w:t>
      </w:r>
    </w:p>
    <w:p w14:paraId="21748597" w14:textId="77777777" w:rsidR="00492B42" w:rsidRPr="00533F6E" w:rsidRDefault="00492B42" w:rsidP="00492B42">
      <w:pPr>
        <w:spacing w:line="480" w:lineRule="auto"/>
        <w:rPr>
          <w:rFonts w:ascii="Arial" w:hAnsi="Arial" w:cs="Arial"/>
          <w:sz w:val="22"/>
          <w:szCs w:val="22"/>
          <w:lang w:val="en-US"/>
        </w:rPr>
      </w:pPr>
      <w:r w:rsidRPr="00533F6E">
        <w:rPr>
          <w:rFonts w:ascii="Arial" w:hAnsi="Arial" w:cs="Arial"/>
          <w:sz w:val="22"/>
          <w:szCs w:val="22"/>
          <w:lang w:val="en-US"/>
        </w:rPr>
        <w:br w:type="page"/>
      </w:r>
    </w:p>
    <w:p w14:paraId="0E35C182" w14:textId="34476FA8" w:rsidR="00492B42" w:rsidRPr="00AE44EF" w:rsidRDefault="00D15B9F" w:rsidP="00492B42">
      <w:pPr>
        <w:spacing w:line="480" w:lineRule="auto"/>
        <w:jc w:val="both"/>
        <w:rPr>
          <w:rFonts w:ascii="Arial" w:hAnsi="Arial" w:cs="Arial"/>
          <w:sz w:val="22"/>
          <w:szCs w:val="22"/>
          <w:lang w:val="en-US"/>
        </w:rPr>
      </w:pPr>
      <w:r>
        <w:rPr>
          <w:rFonts w:ascii="Arial" w:hAnsi="Arial" w:cs="Arial"/>
          <w:noProof/>
          <w:sz w:val="22"/>
          <w:szCs w:val="22"/>
          <w:lang w:val="en-US"/>
        </w:rPr>
        <w:lastRenderedPageBreak/>
        <w:drawing>
          <wp:inline distT="0" distB="0" distL="0" distR="0" wp14:anchorId="33935A79" wp14:editId="1773B695">
            <wp:extent cx="572770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7.pdf"/>
                    <pic:cNvPicPr/>
                  </pic:nvPicPr>
                  <pic:blipFill>
                    <a:blip r:embed="rId11">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3F4D4EED" w14:textId="0F5365C6" w:rsidR="00492B42" w:rsidRPr="00533F6E" w:rsidRDefault="00492B42" w:rsidP="00492B42">
      <w:pPr>
        <w:spacing w:line="480" w:lineRule="auto"/>
        <w:jc w:val="both"/>
        <w:rPr>
          <w:rFonts w:ascii="Arial" w:hAnsi="Arial" w:cs="Arial"/>
          <w:sz w:val="22"/>
          <w:szCs w:val="22"/>
        </w:rPr>
      </w:pPr>
      <w:r>
        <w:rPr>
          <w:rFonts w:ascii="Arial" w:hAnsi="Arial" w:cs="Arial"/>
          <w:b/>
          <w:bCs/>
          <w:sz w:val="22"/>
          <w:szCs w:val="22"/>
        </w:rPr>
        <w:t>Figure S</w:t>
      </w:r>
      <w:r w:rsidR="006F78E2">
        <w:rPr>
          <w:rFonts w:ascii="Arial" w:hAnsi="Arial" w:cs="Arial"/>
          <w:b/>
          <w:bCs/>
          <w:sz w:val="22"/>
          <w:szCs w:val="22"/>
        </w:rPr>
        <w:t>7</w:t>
      </w:r>
      <w:r w:rsidRPr="00AE44EF">
        <w:rPr>
          <w:rFonts w:ascii="Arial" w:hAnsi="Arial" w:cs="Arial"/>
          <w:b/>
          <w:bCs/>
          <w:sz w:val="22"/>
          <w:szCs w:val="22"/>
        </w:rPr>
        <w:t>. Epigenetic silencing of antigen-presenting genes in squamous cell lung cancers.</w:t>
      </w:r>
      <w:r w:rsidRPr="00AE44EF">
        <w:rPr>
          <w:rFonts w:ascii="Arial" w:hAnsi="Arial" w:cs="Arial"/>
          <w:sz w:val="22"/>
          <w:szCs w:val="22"/>
        </w:rPr>
        <w:t xml:space="preserve"> Correlations of expression and methylation data from TCGA</w:t>
      </w:r>
      <w:r w:rsidR="00143345">
        <w:rPr>
          <w:rFonts w:ascii="Arial" w:hAnsi="Arial" w:cs="Arial"/>
          <w:sz w:val="22"/>
          <w:szCs w:val="22"/>
        </w:rPr>
        <w:t xml:space="preserve"> (a) and CIS (b)</w:t>
      </w:r>
      <w:r w:rsidRPr="00AE44EF">
        <w:rPr>
          <w:rFonts w:ascii="Arial" w:hAnsi="Arial" w:cs="Arial"/>
          <w:sz w:val="22"/>
          <w:szCs w:val="22"/>
        </w:rPr>
        <w:t xml:space="preserve"> for key antigen-presentation genes demonstrates clear evidence of epigenetic silencing. Silencing is also seen for other cancer-associated</w:t>
      </w:r>
      <w:r>
        <w:rPr>
          <w:rFonts w:ascii="Arial" w:hAnsi="Arial" w:cs="Arial"/>
          <w:sz w:val="22"/>
          <w:szCs w:val="22"/>
        </w:rPr>
        <w:t>,</w:t>
      </w:r>
      <w:r w:rsidRPr="00533F6E">
        <w:rPr>
          <w:rFonts w:ascii="Arial" w:hAnsi="Arial" w:cs="Arial"/>
          <w:sz w:val="22"/>
          <w:szCs w:val="22"/>
        </w:rPr>
        <w:t xml:space="preserve"> suggesting that demethylating agents may have wider benefits than improving antigen presentation. However, some key immune genes including immunomodulatory molecule </w:t>
      </w:r>
      <w:r w:rsidRPr="00533F6E">
        <w:rPr>
          <w:rFonts w:ascii="Arial" w:hAnsi="Arial" w:cs="Arial"/>
          <w:i/>
          <w:iCs/>
          <w:sz w:val="22"/>
          <w:szCs w:val="22"/>
        </w:rPr>
        <w:t>TNFSF9</w:t>
      </w:r>
      <w:r w:rsidRPr="00533F6E">
        <w:rPr>
          <w:rFonts w:ascii="Arial" w:hAnsi="Arial" w:cs="Arial"/>
          <w:sz w:val="22"/>
          <w:szCs w:val="22"/>
        </w:rPr>
        <w:t xml:space="preserve"> and MHC II regulator </w:t>
      </w:r>
      <w:r w:rsidRPr="00533F6E">
        <w:rPr>
          <w:rFonts w:ascii="Arial" w:hAnsi="Arial" w:cs="Arial"/>
          <w:i/>
          <w:iCs/>
          <w:sz w:val="22"/>
          <w:szCs w:val="22"/>
        </w:rPr>
        <w:t>CIITA</w:t>
      </w:r>
      <w:r w:rsidRPr="00533F6E">
        <w:rPr>
          <w:rFonts w:ascii="Arial" w:hAnsi="Arial" w:cs="Arial"/>
          <w:sz w:val="22"/>
          <w:szCs w:val="22"/>
        </w:rPr>
        <w:t xml:space="preserve"> show a positive correlation with methylation, suggesting that demethylating agents may not be universally beneficial on the immune response. Correlation coefficients shown are calculated using Pearson’s product </w:t>
      </w:r>
      <w:r w:rsidRPr="00533F6E">
        <w:rPr>
          <w:rFonts w:ascii="Arial" w:hAnsi="Arial" w:cs="Arial"/>
          <w:sz w:val="22"/>
          <w:szCs w:val="22"/>
        </w:rPr>
        <w:lastRenderedPageBreak/>
        <w:t>moment.</w:t>
      </w:r>
      <w:r w:rsidR="006F78E2">
        <w:rPr>
          <w:rFonts w:ascii="Arial" w:hAnsi="Arial" w:cs="Arial"/>
          <w:sz w:val="22"/>
          <w:szCs w:val="22"/>
        </w:rPr>
        <w:t xml:space="preserve"> TNFSF9 is excluded from CIS analysis as it is not profiled by Illumina microarrays; insufficient samples were profiled with both Affymetrix microarrays and methylation arrays.</w:t>
      </w:r>
    </w:p>
    <w:p w14:paraId="13D9A481" w14:textId="77777777" w:rsidR="00492B42" w:rsidRPr="00533F6E" w:rsidRDefault="00492B42" w:rsidP="00492B42">
      <w:pPr>
        <w:spacing w:line="480" w:lineRule="auto"/>
        <w:rPr>
          <w:rFonts w:ascii="Arial" w:hAnsi="Arial" w:cs="Arial"/>
          <w:sz w:val="22"/>
          <w:szCs w:val="22"/>
        </w:rPr>
      </w:pPr>
      <w:r w:rsidRPr="00533F6E">
        <w:rPr>
          <w:rFonts w:ascii="Arial" w:hAnsi="Arial" w:cs="Arial"/>
          <w:sz w:val="22"/>
          <w:szCs w:val="22"/>
        </w:rPr>
        <w:br w:type="page"/>
      </w:r>
    </w:p>
    <w:p w14:paraId="1F88AA81" w14:textId="77777777" w:rsidR="00492B42" w:rsidRPr="00AE44EF" w:rsidRDefault="00492B42" w:rsidP="00492B42">
      <w:pPr>
        <w:spacing w:line="480" w:lineRule="auto"/>
        <w:jc w:val="both"/>
        <w:rPr>
          <w:rFonts w:ascii="Arial" w:hAnsi="Arial" w:cs="Arial"/>
          <w:sz w:val="22"/>
          <w:szCs w:val="22"/>
        </w:rPr>
      </w:pPr>
      <w:r>
        <w:rPr>
          <w:rFonts w:ascii="Arial" w:hAnsi="Arial" w:cs="Arial"/>
          <w:noProof/>
          <w:sz w:val="22"/>
          <w:szCs w:val="22"/>
        </w:rPr>
        <w:lastRenderedPageBreak/>
        <w:drawing>
          <wp:inline distT="0" distB="0" distL="0" distR="0" wp14:anchorId="27C4584B" wp14:editId="327C07E5">
            <wp:extent cx="4933950" cy="82296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8.pdf"/>
                    <pic:cNvPicPr/>
                  </pic:nvPicPr>
                  <pic:blipFill>
                    <a:blip r:embed="rId12">
                      <a:extLst>
                        <a:ext uri="{28A0092B-C50C-407E-A947-70E740481C1C}">
                          <a14:useLocalDpi xmlns:a14="http://schemas.microsoft.com/office/drawing/2010/main" val="0"/>
                        </a:ext>
                      </a:extLst>
                    </a:blip>
                    <a:stretch>
                      <a:fillRect/>
                    </a:stretch>
                  </pic:blipFill>
                  <pic:spPr>
                    <a:xfrm>
                      <a:off x="0" y="0"/>
                      <a:ext cx="4933950" cy="8229600"/>
                    </a:xfrm>
                    <a:prstGeom prst="rect">
                      <a:avLst/>
                    </a:prstGeom>
                  </pic:spPr>
                </pic:pic>
              </a:graphicData>
            </a:graphic>
          </wp:inline>
        </w:drawing>
      </w:r>
    </w:p>
    <w:p w14:paraId="5901CED5" w14:textId="4280A4A6" w:rsidR="00492B42" w:rsidRPr="00533F6E" w:rsidRDefault="00492B42" w:rsidP="00492B42">
      <w:pPr>
        <w:spacing w:line="480" w:lineRule="auto"/>
        <w:jc w:val="both"/>
        <w:rPr>
          <w:rFonts w:ascii="Arial" w:hAnsi="Arial" w:cs="Arial"/>
          <w:sz w:val="22"/>
          <w:szCs w:val="22"/>
        </w:rPr>
      </w:pPr>
      <w:r>
        <w:rPr>
          <w:rFonts w:ascii="Arial" w:hAnsi="Arial" w:cs="Arial"/>
          <w:b/>
          <w:bCs/>
          <w:sz w:val="22"/>
          <w:szCs w:val="22"/>
        </w:rPr>
        <w:lastRenderedPageBreak/>
        <w:t>Figure S</w:t>
      </w:r>
      <w:r w:rsidR="006F78E2">
        <w:rPr>
          <w:rFonts w:ascii="Arial" w:hAnsi="Arial" w:cs="Arial"/>
          <w:b/>
          <w:bCs/>
          <w:sz w:val="22"/>
          <w:szCs w:val="22"/>
        </w:rPr>
        <w:t>8</w:t>
      </w:r>
      <w:r w:rsidRPr="00533F6E">
        <w:rPr>
          <w:rFonts w:ascii="Arial" w:hAnsi="Arial" w:cs="Arial"/>
          <w:b/>
          <w:bCs/>
          <w:sz w:val="22"/>
          <w:szCs w:val="22"/>
        </w:rPr>
        <w:t>. Methylation patterns over antigen</w:t>
      </w:r>
      <w:r>
        <w:rPr>
          <w:rFonts w:ascii="Arial" w:hAnsi="Arial" w:cs="Arial"/>
          <w:b/>
          <w:bCs/>
          <w:sz w:val="22"/>
          <w:szCs w:val="22"/>
        </w:rPr>
        <w:t>-</w:t>
      </w:r>
      <w:r w:rsidRPr="00533F6E">
        <w:rPr>
          <w:rFonts w:ascii="Arial" w:hAnsi="Arial" w:cs="Arial"/>
          <w:b/>
          <w:bCs/>
          <w:sz w:val="22"/>
          <w:szCs w:val="22"/>
        </w:rPr>
        <w:t>presenting genes.</w:t>
      </w:r>
      <w:r w:rsidRPr="00533F6E">
        <w:rPr>
          <w:rFonts w:ascii="Arial" w:hAnsi="Arial" w:cs="Arial"/>
          <w:sz w:val="22"/>
          <w:szCs w:val="22"/>
        </w:rPr>
        <w:t xml:space="preserve"> Methylation patterns are shown for antigen presentation genes </w:t>
      </w:r>
      <w:r w:rsidRPr="00533F6E">
        <w:rPr>
          <w:rFonts w:ascii="Arial" w:hAnsi="Arial" w:cs="Arial"/>
          <w:i/>
          <w:iCs/>
          <w:sz w:val="22"/>
          <w:szCs w:val="22"/>
        </w:rPr>
        <w:t xml:space="preserve">HLA-A, HLA-B, HLA-C, TAP1 </w:t>
      </w:r>
      <w:r w:rsidRPr="00533F6E">
        <w:rPr>
          <w:rFonts w:ascii="Arial" w:hAnsi="Arial" w:cs="Arial"/>
          <w:sz w:val="22"/>
          <w:szCs w:val="22"/>
        </w:rPr>
        <w:t>and</w:t>
      </w:r>
      <w:r w:rsidRPr="00533F6E">
        <w:rPr>
          <w:rFonts w:ascii="Arial" w:hAnsi="Arial" w:cs="Arial"/>
          <w:i/>
          <w:iCs/>
          <w:sz w:val="22"/>
          <w:szCs w:val="22"/>
        </w:rPr>
        <w:t xml:space="preserve"> B2M</w:t>
      </w:r>
      <w:r w:rsidRPr="00533F6E">
        <w:rPr>
          <w:rFonts w:ascii="Arial" w:hAnsi="Arial" w:cs="Arial"/>
          <w:sz w:val="22"/>
          <w:szCs w:val="22"/>
        </w:rPr>
        <w:t xml:space="preserve">, as well as the immunomodulator </w:t>
      </w:r>
      <w:r w:rsidRPr="00533F6E">
        <w:rPr>
          <w:rFonts w:ascii="Arial" w:hAnsi="Arial" w:cs="Arial"/>
          <w:i/>
          <w:iCs/>
          <w:sz w:val="22"/>
          <w:szCs w:val="22"/>
        </w:rPr>
        <w:t>TNFSF9</w:t>
      </w:r>
      <w:r w:rsidRPr="00533F6E">
        <w:rPr>
          <w:rFonts w:ascii="Arial" w:hAnsi="Arial" w:cs="Arial"/>
          <w:sz w:val="22"/>
          <w:szCs w:val="22"/>
        </w:rPr>
        <w:t>. Methylation data is generated from Illumina 450k microarrays, which measure methylation at 450,000 probes across the genome. In each plot, the x-axis shows the genomic location of each probe related to the gene of interest</w:t>
      </w:r>
      <w:r w:rsidR="00366405">
        <w:rPr>
          <w:rFonts w:ascii="Arial" w:hAnsi="Arial" w:cs="Arial"/>
          <w:sz w:val="22"/>
          <w:szCs w:val="22"/>
        </w:rPr>
        <w:t>; TSS 200 and TSS1500 represent Transcription Start Site regions</w:t>
      </w:r>
      <w:r w:rsidRPr="00533F6E">
        <w:rPr>
          <w:rFonts w:ascii="Arial" w:hAnsi="Arial" w:cs="Arial"/>
          <w:sz w:val="22"/>
          <w:szCs w:val="22"/>
        </w:rPr>
        <w:t xml:space="preserve">. On the y-axis, probe values are shown for each sample, coloured as progressive (red; n=36), regressive (green; n=18) or control (blue; n=33). Loess lines for each sample group are shown, with error bars in grey. We see a pattern of promoter hypermethylation in progressive samples for the majority of these genes, consistent with epigenetic silencing. An exception is </w:t>
      </w:r>
      <w:r w:rsidRPr="00533F6E">
        <w:rPr>
          <w:rFonts w:ascii="Arial" w:hAnsi="Arial" w:cs="Arial"/>
          <w:i/>
          <w:iCs/>
          <w:sz w:val="22"/>
          <w:szCs w:val="22"/>
        </w:rPr>
        <w:t>TNFSF9</w:t>
      </w:r>
      <w:r w:rsidRPr="00533F6E">
        <w:rPr>
          <w:rFonts w:ascii="Arial" w:hAnsi="Arial" w:cs="Arial"/>
          <w:sz w:val="22"/>
          <w:szCs w:val="22"/>
        </w:rPr>
        <w:t xml:space="preserve"> which shows predominantly body hypermethylation; this is consistent with the observation that hypermethylation of </w:t>
      </w:r>
      <w:r w:rsidRPr="00533F6E">
        <w:rPr>
          <w:rFonts w:ascii="Arial" w:hAnsi="Arial" w:cs="Arial"/>
          <w:i/>
          <w:iCs/>
          <w:sz w:val="22"/>
          <w:szCs w:val="22"/>
        </w:rPr>
        <w:t>TNFSF9</w:t>
      </w:r>
      <w:r w:rsidRPr="00533F6E">
        <w:rPr>
          <w:rFonts w:ascii="Arial" w:hAnsi="Arial" w:cs="Arial"/>
          <w:sz w:val="22"/>
          <w:szCs w:val="22"/>
        </w:rPr>
        <w:t xml:space="preserve"> increases expression.</w:t>
      </w:r>
    </w:p>
    <w:p w14:paraId="3568B585" w14:textId="77777777" w:rsidR="00492B42" w:rsidRPr="00533F6E" w:rsidRDefault="00492B42" w:rsidP="00492B42">
      <w:pPr>
        <w:spacing w:line="480" w:lineRule="auto"/>
        <w:rPr>
          <w:rFonts w:ascii="Arial" w:hAnsi="Arial" w:cs="Arial"/>
          <w:sz w:val="22"/>
          <w:szCs w:val="22"/>
        </w:rPr>
      </w:pPr>
      <w:r w:rsidRPr="00533F6E">
        <w:rPr>
          <w:rFonts w:ascii="Arial" w:hAnsi="Arial" w:cs="Arial"/>
          <w:sz w:val="22"/>
          <w:szCs w:val="22"/>
        </w:rPr>
        <w:br w:type="page"/>
      </w:r>
    </w:p>
    <w:p w14:paraId="2F45FADE" w14:textId="7533D588" w:rsidR="00492B42" w:rsidRPr="00533F6E" w:rsidRDefault="00492B42" w:rsidP="00492B42">
      <w:pPr>
        <w:spacing w:line="480" w:lineRule="auto"/>
        <w:jc w:val="both"/>
        <w:rPr>
          <w:rFonts w:ascii="Arial" w:hAnsi="Arial" w:cs="Arial"/>
          <w:sz w:val="22"/>
          <w:szCs w:val="22"/>
        </w:rPr>
      </w:pPr>
    </w:p>
    <w:p w14:paraId="2AB5D9F0" w14:textId="77777777" w:rsidR="00492B42" w:rsidRPr="00AE44EF" w:rsidRDefault="00492B42" w:rsidP="00492B42">
      <w:pPr>
        <w:spacing w:line="480" w:lineRule="auto"/>
        <w:jc w:val="both"/>
        <w:rPr>
          <w:rFonts w:ascii="Arial" w:hAnsi="Arial" w:cs="Arial"/>
          <w:sz w:val="22"/>
          <w:szCs w:val="22"/>
        </w:rPr>
      </w:pPr>
      <w:r>
        <w:rPr>
          <w:rFonts w:ascii="Arial" w:hAnsi="Arial" w:cs="Arial"/>
          <w:noProof/>
          <w:sz w:val="22"/>
          <w:szCs w:val="22"/>
        </w:rPr>
        <w:drawing>
          <wp:inline distT="0" distB="0" distL="0" distR="0" wp14:anchorId="78E6A390" wp14:editId="431DB63C">
            <wp:extent cx="5943600" cy="5048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0.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5048885"/>
                    </a:xfrm>
                    <a:prstGeom prst="rect">
                      <a:avLst/>
                    </a:prstGeom>
                  </pic:spPr>
                </pic:pic>
              </a:graphicData>
            </a:graphic>
          </wp:inline>
        </w:drawing>
      </w:r>
    </w:p>
    <w:p w14:paraId="1D768403" w14:textId="6093C6BA" w:rsidR="00492B42" w:rsidRDefault="00492B42" w:rsidP="00492B42">
      <w:pPr>
        <w:spacing w:line="480" w:lineRule="auto"/>
        <w:jc w:val="both"/>
        <w:rPr>
          <w:rFonts w:ascii="Arial" w:hAnsi="Arial" w:cs="Arial"/>
          <w:sz w:val="22"/>
          <w:szCs w:val="22"/>
        </w:rPr>
      </w:pPr>
      <w:r>
        <w:rPr>
          <w:rFonts w:ascii="Arial" w:hAnsi="Arial" w:cs="Arial"/>
          <w:b/>
          <w:bCs/>
          <w:sz w:val="22"/>
          <w:szCs w:val="22"/>
        </w:rPr>
        <w:t>Figure S</w:t>
      </w:r>
      <w:r w:rsidR="006A2BE0">
        <w:rPr>
          <w:rFonts w:ascii="Arial" w:hAnsi="Arial" w:cs="Arial"/>
          <w:b/>
          <w:bCs/>
          <w:sz w:val="22"/>
          <w:szCs w:val="22"/>
        </w:rPr>
        <w:t>9</w:t>
      </w:r>
      <w:r w:rsidRPr="00AE44EF">
        <w:rPr>
          <w:rFonts w:ascii="Arial" w:hAnsi="Arial" w:cs="Arial"/>
          <w:b/>
          <w:bCs/>
          <w:sz w:val="22"/>
          <w:szCs w:val="22"/>
        </w:rPr>
        <w:t>. Comparisons of immune checkpoint molecules between progressive and regressive CIS samples</w:t>
      </w:r>
      <w:r w:rsidRPr="00AE44EF">
        <w:rPr>
          <w:rFonts w:ascii="Arial" w:hAnsi="Arial" w:cs="Arial"/>
          <w:sz w:val="22"/>
          <w:szCs w:val="22"/>
        </w:rPr>
        <w:t xml:space="preserve">. Here we show gene expression values of immune checkpoint molecules for each individual CIS lesion, showing both progressive (red; n=10) and regressive (blue; n=8). Although only </w:t>
      </w:r>
      <w:r w:rsidRPr="00533F6E">
        <w:rPr>
          <w:rFonts w:ascii="Arial" w:hAnsi="Arial" w:cs="Arial"/>
          <w:i/>
          <w:iCs/>
          <w:sz w:val="22"/>
          <w:szCs w:val="22"/>
        </w:rPr>
        <w:t>TNFSF9</w:t>
      </w:r>
      <w:r w:rsidRPr="00533F6E">
        <w:rPr>
          <w:rFonts w:ascii="Arial" w:hAnsi="Arial" w:cs="Arial"/>
          <w:sz w:val="22"/>
          <w:szCs w:val="22"/>
        </w:rPr>
        <w:t xml:space="preserve"> reaches a significance threshold of FDR &lt; 0.05 on differential expression analysis, other genes show outlier samples in the progressive group. Defects in these genes may be a critical immune escape mechanism in these outlier samples.</w:t>
      </w:r>
    </w:p>
    <w:p w14:paraId="797C3A7F" w14:textId="2DDD23C8" w:rsidR="006A2BE0" w:rsidRDefault="006A2BE0" w:rsidP="00492B42">
      <w:pPr>
        <w:spacing w:line="480" w:lineRule="auto"/>
        <w:jc w:val="both"/>
        <w:rPr>
          <w:rFonts w:ascii="Arial" w:hAnsi="Arial" w:cs="Arial"/>
          <w:sz w:val="22"/>
          <w:szCs w:val="22"/>
        </w:rPr>
      </w:pPr>
    </w:p>
    <w:p w14:paraId="35747447" w14:textId="77777777" w:rsidR="006A2BE0" w:rsidRPr="00AE44EF" w:rsidRDefault="006A2BE0" w:rsidP="006A2BE0">
      <w:pPr>
        <w:spacing w:line="480" w:lineRule="auto"/>
        <w:jc w:val="both"/>
        <w:rPr>
          <w:rFonts w:ascii="Arial" w:hAnsi="Arial" w:cs="Arial"/>
          <w:sz w:val="22"/>
          <w:szCs w:val="22"/>
        </w:rPr>
      </w:pPr>
      <w:r>
        <w:rPr>
          <w:rFonts w:ascii="Arial" w:hAnsi="Arial" w:cs="Arial"/>
          <w:noProof/>
          <w:sz w:val="22"/>
          <w:szCs w:val="22"/>
          <w:lang w:eastAsia="en-GB"/>
        </w:rPr>
        <w:lastRenderedPageBreak/>
        <w:drawing>
          <wp:inline distT="0" distB="0" distL="0" distR="0" wp14:anchorId="597D0120" wp14:editId="2BA12130">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9.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F9D9ABD" w14:textId="7B9BB531" w:rsidR="006A2BE0" w:rsidRPr="00533F6E" w:rsidRDefault="006A2BE0" w:rsidP="006A2BE0">
      <w:pPr>
        <w:spacing w:line="480" w:lineRule="auto"/>
        <w:jc w:val="both"/>
        <w:rPr>
          <w:rFonts w:ascii="Arial" w:hAnsi="Arial" w:cs="Arial"/>
          <w:sz w:val="22"/>
          <w:szCs w:val="22"/>
        </w:rPr>
      </w:pPr>
      <w:r>
        <w:rPr>
          <w:rFonts w:ascii="Arial" w:hAnsi="Arial" w:cs="Arial"/>
          <w:b/>
          <w:bCs/>
          <w:sz w:val="22"/>
          <w:szCs w:val="22"/>
        </w:rPr>
        <w:t>Figure S10</w:t>
      </w:r>
      <w:r w:rsidRPr="00533F6E">
        <w:rPr>
          <w:rFonts w:ascii="Arial" w:hAnsi="Arial" w:cs="Arial"/>
          <w:b/>
          <w:bCs/>
          <w:sz w:val="22"/>
          <w:szCs w:val="22"/>
        </w:rPr>
        <w:t xml:space="preserve">. The </w:t>
      </w:r>
      <w:r w:rsidRPr="00533F6E">
        <w:rPr>
          <w:rFonts w:ascii="Arial" w:hAnsi="Arial" w:cs="Arial"/>
          <w:b/>
          <w:bCs/>
          <w:i/>
          <w:iCs/>
          <w:sz w:val="22"/>
          <w:szCs w:val="22"/>
        </w:rPr>
        <w:t>CCL27:CCR10</w:t>
      </w:r>
      <w:r w:rsidRPr="00533F6E">
        <w:rPr>
          <w:rFonts w:ascii="Arial" w:hAnsi="Arial" w:cs="Arial"/>
          <w:b/>
          <w:bCs/>
          <w:sz w:val="22"/>
          <w:szCs w:val="22"/>
        </w:rPr>
        <w:t xml:space="preserve"> axis is upregulated in progressive samples and correlates with </w:t>
      </w:r>
      <w:r w:rsidRPr="00AE44EF">
        <w:rPr>
          <w:rFonts w:ascii="Arial" w:hAnsi="Arial" w:cs="Arial"/>
          <w:b/>
          <w:bCs/>
          <w:i/>
          <w:iCs/>
          <w:sz w:val="22"/>
          <w:szCs w:val="22"/>
        </w:rPr>
        <w:t>PIK3CA</w:t>
      </w:r>
      <w:r w:rsidRPr="00533F6E">
        <w:rPr>
          <w:rFonts w:ascii="Arial" w:hAnsi="Arial" w:cs="Arial"/>
          <w:b/>
          <w:bCs/>
          <w:sz w:val="22"/>
          <w:szCs w:val="22"/>
        </w:rPr>
        <w:t>/</w:t>
      </w:r>
      <w:r w:rsidRPr="00AE44EF">
        <w:rPr>
          <w:rFonts w:ascii="Arial" w:hAnsi="Arial" w:cs="Arial"/>
          <w:b/>
          <w:bCs/>
          <w:i/>
          <w:iCs/>
          <w:sz w:val="22"/>
          <w:szCs w:val="22"/>
        </w:rPr>
        <w:t>AKT1</w:t>
      </w:r>
      <w:r>
        <w:rPr>
          <w:rFonts w:ascii="Arial" w:hAnsi="Arial" w:cs="Arial"/>
          <w:b/>
          <w:bCs/>
          <w:sz w:val="22"/>
          <w:szCs w:val="22"/>
        </w:rPr>
        <w:t xml:space="preserve"> expression</w:t>
      </w:r>
      <w:r w:rsidRPr="00533F6E">
        <w:rPr>
          <w:rFonts w:ascii="Arial" w:hAnsi="Arial" w:cs="Arial"/>
          <w:b/>
          <w:bCs/>
          <w:sz w:val="22"/>
          <w:szCs w:val="22"/>
        </w:rPr>
        <w:t>.</w:t>
      </w:r>
      <w:r w:rsidRPr="00533F6E">
        <w:rPr>
          <w:rFonts w:ascii="Arial" w:hAnsi="Arial" w:cs="Arial"/>
          <w:sz w:val="22"/>
          <w:szCs w:val="22"/>
        </w:rPr>
        <w:t xml:space="preserve"> </w:t>
      </w:r>
    </w:p>
    <w:p w14:paraId="17B27D0F" w14:textId="6C46216B" w:rsidR="006A2BE0" w:rsidRPr="00533F6E" w:rsidRDefault="006A2BE0" w:rsidP="006A2BE0">
      <w:pPr>
        <w:spacing w:line="480" w:lineRule="auto"/>
        <w:jc w:val="both"/>
        <w:rPr>
          <w:rFonts w:ascii="Arial" w:hAnsi="Arial" w:cs="Arial"/>
          <w:sz w:val="22"/>
          <w:szCs w:val="22"/>
        </w:rPr>
      </w:pPr>
      <w:r w:rsidRPr="00533F6E">
        <w:rPr>
          <w:rFonts w:ascii="Arial" w:hAnsi="Arial" w:cs="Arial"/>
          <w:sz w:val="22"/>
          <w:szCs w:val="22"/>
        </w:rPr>
        <w:t xml:space="preserve">We compared </w:t>
      </w:r>
      <w:proofErr w:type="spellStart"/>
      <w:proofErr w:type="gramStart"/>
      <w:r w:rsidRPr="00533F6E">
        <w:rPr>
          <w:rFonts w:ascii="Arial" w:hAnsi="Arial" w:cs="Arial"/>
          <w:sz w:val="22"/>
          <w:szCs w:val="22"/>
        </w:rPr>
        <w:t>ligand:receptor</w:t>
      </w:r>
      <w:proofErr w:type="spellEnd"/>
      <w:proofErr w:type="gramEnd"/>
      <w:r w:rsidRPr="00533F6E">
        <w:rPr>
          <w:rFonts w:ascii="Arial" w:hAnsi="Arial" w:cs="Arial"/>
          <w:sz w:val="22"/>
          <w:szCs w:val="22"/>
        </w:rPr>
        <w:t xml:space="preserve"> expression for each of 52 known </w:t>
      </w:r>
      <w:proofErr w:type="spellStart"/>
      <w:r w:rsidRPr="00533F6E">
        <w:rPr>
          <w:rFonts w:ascii="Arial" w:hAnsi="Arial" w:cs="Arial"/>
          <w:sz w:val="22"/>
          <w:szCs w:val="22"/>
        </w:rPr>
        <w:t>cytokine:receptor</w:t>
      </w:r>
      <w:proofErr w:type="spellEnd"/>
      <w:r w:rsidRPr="00533F6E">
        <w:rPr>
          <w:rFonts w:ascii="Arial" w:hAnsi="Arial" w:cs="Arial"/>
          <w:sz w:val="22"/>
          <w:szCs w:val="22"/>
        </w:rPr>
        <w:t xml:space="preserve"> pairs in 18 CIS lesions (n=10 progressive, 8 regressive). Only </w:t>
      </w:r>
      <w:r w:rsidRPr="00533F6E">
        <w:rPr>
          <w:rFonts w:ascii="Arial" w:hAnsi="Arial" w:cs="Arial"/>
          <w:i/>
          <w:iCs/>
          <w:sz w:val="22"/>
          <w:szCs w:val="22"/>
        </w:rPr>
        <w:t>CCL27:CCR10</w:t>
      </w:r>
      <w:r w:rsidRPr="00533F6E">
        <w:rPr>
          <w:rFonts w:ascii="Arial" w:hAnsi="Arial" w:cs="Arial"/>
          <w:sz w:val="22"/>
          <w:szCs w:val="22"/>
        </w:rPr>
        <w:t xml:space="preserve"> was significantly different between progressive and regressive lesions (FDR 0.003; </w:t>
      </w:r>
      <w:r>
        <w:rPr>
          <w:rFonts w:ascii="Arial" w:hAnsi="Arial" w:cs="Arial"/>
          <w:sz w:val="22"/>
          <w:szCs w:val="22"/>
        </w:rPr>
        <w:t>Figure 4</w:t>
      </w:r>
      <w:r w:rsidRPr="00533F6E">
        <w:rPr>
          <w:rFonts w:ascii="Arial" w:hAnsi="Arial" w:cs="Arial"/>
          <w:sz w:val="22"/>
          <w:szCs w:val="22"/>
        </w:rPr>
        <w:t xml:space="preserve">). Progressive samples showed upregulated </w:t>
      </w:r>
      <w:r w:rsidRPr="00533F6E">
        <w:rPr>
          <w:rFonts w:ascii="Arial" w:hAnsi="Arial" w:cs="Arial"/>
          <w:i/>
          <w:iCs/>
          <w:sz w:val="22"/>
          <w:szCs w:val="22"/>
        </w:rPr>
        <w:t>CCL27</w:t>
      </w:r>
      <w:r w:rsidRPr="00533F6E">
        <w:rPr>
          <w:rFonts w:ascii="Arial" w:hAnsi="Arial" w:cs="Arial"/>
          <w:sz w:val="22"/>
          <w:szCs w:val="22"/>
        </w:rPr>
        <w:t xml:space="preserve"> and downregulated </w:t>
      </w:r>
      <w:r w:rsidRPr="00533F6E">
        <w:rPr>
          <w:rFonts w:ascii="Arial" w:hAnsi="Arial" w:cs="Arial"/>
          <w:i/>
          <w:iCs/>
          <w:sz w:val="22"/>
          <w:szCs w:val="22"/>
        </w:rPr>
        <w:t>CCR10</w:t>
      </w:r>
      <w:r w:rsidRPr="00533F6E">
        <w:rPr>
          <w:rFonts w:ascii="Arial" w:hAnsi="Arial" w:cs="Arial"/>
          <w:sz w:val="22"/>
          <w:szCs w:val="22"/>
        </w:rPr>
        <w:t xml:space="preserve">. </w:t>
      </w:r>
      <w:r w:rsidRPr="00533F6E">
        <w:rPr>
          <w:rFonts w:ascii="Arial" w:hAnsi="Arial" w:cs="Arial"/>
          <w:i/>
          <w:iCs/>
          <w:sz w:val="22"/>
          <w:szCs w:val="22"/>
        </w:rPr>
        <w:t>CCL27</w:t>
      </w:r>
      <w:r w:rsidRPr="00533F6E">
        <w:rPr>
          <w:rFonts w:ascii="Arial" w:hAnsi="Arial" w:cs="Arial"/>
          <w:sz w:val="22"/>
          <w:szCs w:val="22"/>
        </w:rPr>
        <w:t xml:space="preserve"> activation of </w:t>
      </w:r>
      <w:r w:rsidRPr="00533F6E">
        <w:rPr>
          <w:rFonts w:ascii="Arial" w:hAnsi="Arial" w:cs="Arial"/>
          <w:i/>
          <w:iCs/>
          <w:sz w:val="22"/>
          <w:szCs w:val="22"/>
        </w:rPr>
        <w:t>CCR10</w:t>
      </w:r>
      <w:r w:rsidRPr="00533F6E">
        <w:rPr>
          <w:rFonts w:ascii="Arial" w:hAnsi="Arial" w:cs="Arial"/>
          <w:sz w:val="22"/>
          <w:szCs w:val="22"/>
        </w:rPr>
        <w:t xml:space="preserve"> has been shown to promote immune escape in mouse models, with the PIK/</w:t>
      </w:r>
      <w:proofErr w:type="spellStart"/>
      <w:r w:rsidRPr="00533F6E">
        <w:rPr>
          <w:rFonts w:ascii="Arial" w:hAnsi="Arial" w:cs="Arial"/>
          <w:sz w:val="22"/>
          <w:szCs w:val="22"/>
        </w:rPr>
        <w:t>A</w:t>
      </w:r>
      <w:r>
        <w:rPr>
          <w:rFonts w:ascii="Arial" w:hAnsi="Arial" w:cs="Arial"/>
          <w:sz w:val="22"/>
          <w:szCs w:val="22"/>
        </w:rPr>
        <w:t>kt</w:t>
      </w:r>
      <w:proofErr w:type="spellEnd"/>
      <w:r w:rsidRPr="00533F6E">
        <w:rPr>
          <w:rFonts w:ascii="Arial" w:hAnsi="Arial" w:cs="Arial"/>
          <w:sz w:val="22"/>
          <w:szCs w:val="22"/>
        </w:rPr>
        <w:t xml:space="preserve"> pathway implicated as a potential mechanism. In CIS data, </w:t>
      </w:r>
      <w:r w:rsidRPr="00533F6E">
        <w:rPr>
          <w:rFonts w:ascii="Arial" w:hAnsi="Arial" w:cs="Arial"/>
          <w:i/>
          <w:iCs/>
          <w:sz w:val="22"/>
          <w:szCs w:val="22"/>
        </w:rPr>
        <w:t>CCL27</w:t>
      </w:r>
      <w:r w:rsidRPr="00533F6E">
        <w:rPr>
          <w:rFonts w:ascii="Arial" w:hAnsi="Arial" w:cs="Arial"/>
          <w:sz w:val="22"/>
          <w:szCs w:val="22"/>
        </w:rPr>
        <w:t xml:space="preserve"> expression correlates with expression of both </w:t>
      </w:r>
      <w:r w:rsidRPr="00533F6E">
        <w:rPr>
          <w:rFonts w:ascii="Arial" w:hAnsi="Arial" w:cs="Arial"/>
          <w:i/>
          <w:iCs/>
          <w:sz w:val="22"/>
          <w:szCs w:val="22"/>
        </w:rPr>
        <w:t>PIK3CA</w:t>
      </w:r>
      <w:r w:rsidRPr="00533F6E">
        <w:rPr>
          <w:rFonts w:ascii="Arial" w:hAnsi="Arial" w:cs="Arial"/>
          <w:sz w:val="22"/>
          <w:szCs w:val="22"/>
        </w:rPr>
        <w:t xml:space="preserve"> (</w:t>
      </w:r>
      <w:r>
        <w:rPr>
          <w:rFonts w:ascii="Arial" w:hAnsi="Arial" w:cs="Arial"/>
          <w:sz w:val="22"/>
          <w:szCs w:val="22"/>
        </w:rPr>
        <w:t>a</w:t>
      </w:r>
      <w:r w:rsidRPr="00533F6E">
        <w:rPr>
          <w:rFonts w:ascii="Arial" w:hAnsi="Arial" w:cs="Arial"/>
          <w:sz w:val="22"/>
          <w:szCs w:val="22"/>
        </w:rPr>
        <w:t xml:space="preserve">) and </w:t>
      </w:r>
      <w:r w:rsidRPr="00533F6E">
        <w:rPr>
          <w:rFonts w:ascii="Arial" w:hAnsi="Arial" w:cs="Arial"/>
          <w:i/>
          <w:iCs/>
          <w:sz w:val="22"/>
          <w:szCs w:val="22"/>
        </w:rPr>
        <w:t>AKT1</w:t>
      </w:r>
      <w:r w:rsidRPr="00533F6E">
        <w:rPr>
          <w:rFonts w:ascii="Arial" w:hAnsi="Arial" w:cs="Arial"/>
          <w:sz w:val="22"/>
          <w:szCs w:val="22"/>
        </w:rPr>
        <w:t xml:space="preserve"> (</w:t>
      </w:r>
      <w:r>
        <w:rPr>
          <w:rFonts w:ascii="Arial" w:hAnsi="Arial" w:cs="Arial"/>
          <w:sz w:val="22"/>
          <w:szCs w:val="22"/>
        </w:rPr>
        <w:t>b</w:t>
      </w:r>
      <w:r w:rsidRPr="00533F6E">
        <w:rPr>
          <w:rFonts w:ascii="Arial" w:hAnsi="Arial" w:cs="Arial"/>
          <w:sz w:val="22"/>
          <w:szCs w:val="22"/>
        </w:rPr>
        <w:t xml:space="preserve">). </w:t>
      </w:r>
      <w:r>
        <w:rPr>
          <w:rFonts w:ascii="Arial" w:hAnsi="Arial" w:cs="Arial"/>
          <w:sz w:val="22"/>
          <w:szCs w:val="22"/>
        </w:rPr>
        <w:t>C</w:t>
      </w:r>
      <w:r w:rsidRPr="00533F6E">
        <w:rPr>
          <w:rFonts w:ascii="Arial" w:hAnsi="Arial" w:cs="Arial"/>
          <w:sz w:val="22"/>
          <w:szCs w:val="22"/>
        </w:rPr>
        <w:t>orrelation coefficients are calculated using Pearson’s product moment.</w:t>
      </w:r>
    </w:p>
    <w:p w14:paraId="66B326ED" w14:textId="77777777" w:rsidR="00492B42" w:rsidRPr="00533F6E" w:rsidRDefault="00492B42" w:rsidP="00492B42">
      <w:pPr>
        <w:spacing w:line="480" w:lineRule="auto"/>
        <w:jc w:val="both"/>
        <w:rPr>
          <w:rFonts w:ascii="Arial" w:hAnsi="Arial" w:cs="Arial"/>
          <w:sz w:val="22"/>
          <w:szCs w:val="22"/>
        </w:rPr>
      </w:pPr>
    </w:p>
    <w:p w14:paraId="01E94903" w14:textId="77777777" w:rsidR="00492B42" w:rsidRPr="00533F6E" w:rsidRDefault="00492B42" w:rsidP="00492B42">
      <w:pPr>
        <w:spacing w:line="480" w:lineRule="auto"/>
        <w:rPr>
          <w:rFonts w:ascii="Arial" w:hAnsi="Arial" w:cs="Arial"/>
          <w:sz w:val="22"/>
          <w:szCs w:val="22"/>
        </w:rPr>
      </w:pPr>
      <w:r w:rsidRPr="00533F6E">
        <w:rPr>
          <w:rFonts w:ascii="Arial" w:hAnsi="Arial" w:cs="Arial"/>
          <w:sz w:val="22"/>
          <w:szCs w:val="22"/>
        </w:rPr>
        <w:br w:type="page"/>
      </w:r>
    </w:p>
    <w:p w14:paraId="6DA2B5AE" w14:textId="471F8A2C" w:rsidR="00492B42" w:rsidRPr="00AE44EF" w:rsidRDefault="00492B42" w:rsidP="00492B42">
      <w:pPr>
        <w:spacing w:line="480" w:lineRule="auto"/>
        <w:jc w:val="both"/>
        <w:rPr>
          <w:rFonts w:ascii="Arial" w:hAnsi="Arial" w:cs="Arial"/>
          <w:sz w:val="22"/>
          <w:szCs w:val="22"/>
        </w:rPr>
      </w:pPr>
    </w:p>
    <w:p w14:paraId="1620B9E5" w14:textId="19F51CC0" w:rsidR="00492B42" w:rsidRPr="00AE44EF" w:rsidRDefault="007263C2" w:rsidP="00492B42">
      <w:pPr>
        <w:spacing w:line="480" w:lineRule="auto"/>
        <w:jc w:val="both"/>
        <w:rPr>
          <w:rFonts w:ascii="Arial" w:hAnsi="Arial" w:cs="Arial"/>
          <w:sz w:val="22"/>
          <w:szCs w:val="22"/>
        </w:rPr>
      </w:pPr>
      <w:r>
        <w:rPr>
          <w:rFonts w:ascii="Arial" w:hAnsi="Arial" w:cs="Arial"/>
          <w:noProof/>
          <w:sz w:val="22"/>
          <w:szCs w:val="22"/>
        </w:rPr>
        <w:drawing>
          <wp:inline distT="0" distB="0" distL="0" distR="0" wp14:anchorId="6B5CBD93" wp14:editId="66C47780">
            <wp:extent cx="5727700" cy="2952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S11.pdf"/>
                    <pic:cNvPicPr/>
                  </pic:nvPicPr>
                  <pic:blipFill>
                    <a:blip r:embed="rId15">
                      <a:extLst>
                        <a:ext uri="{28A0092B-C50C-407E-A947-70E740481C1C}">
                          <a14:useLocalDpi xmlns:a14="http://schemas.microsoft.com/office/drawing/2010/main" val="0"/>
                        </a:ext>
                      </a:extLst>
                    </a:blip>
                    <a:stretch>
                      <a:fillRect/>
                    </a:stretch>
                  </pic:blipFill>
                  <pic:spPr>
                    <a:xfrm>
                      <a:off x="0" y="0"/>
                      <a:ext cx="5727700" cy="2952115"/>
                    </a:xfrm>
                    <a:prstGeom prst="rect">
                      <a:avLst/>
                    </a:prstGeom>
                  </pic:spPr>
                </pic:pic>
              </a:graphicData>
            </a:graphic>
          </wp:inline>
        </w:drawing>
      </w:r>
    </w:p>
    <w:p w14:paraId="00883CF8" w14:textId="15AD97CA" w:rsidR="00492B42" w:rsidRPr="00AE44EF" w:rsidRDefault="00492B42" w:rsidP="00492B42">
      <w:pPr>
        <w:spacing w:line="480" w:lineRule="auto"/>
        <w:jc w:val="both"/>
        <w:rPr>
          <w:rFonts w:ascii="Arial" w:hAnsi="Arial" w:cs="Arial"/>
          <w:b/>
          <w:bCs/>
          <w:sz w:val="22"/>
          <w:szCs w:val="22"/>
        </w:rPr>
      </w:pPr>
      <w:r>
        <w:rPr>
          <w:rFonts w:ascii="Arial" w:hAnsi="Arial" w:cs="Arial"/>
          <w:b/>
          <w:bCs/>
          <w:sz w:val="22"/>
          <w:szCs w:val="22"/>
        </w:rPr>
        <w:t>Figure S1</w:t>
      </w:r>
      <w:r w:rsidR="006F78E2">
        <w:rPr>
          <w:rFonts w:ascii="Arial" w:hAnsi="Arial" w:cs="Arial"/>
          <w:b/>
          <w:bCs/>
          <w:sz w:val="22"/>
          <w:szCs w:val="22"/>
        </w:rPr>
        <w:t>1</w:t>
      </w:r>
      <w:r w:rsidRPr="00AE44EF">
        <w:rPr>
          <w:rFonts w:ascii="Arial" w:hAnsi="Arial" w:cs="Arial"/>
          <w:b/>
          <w:bCs/>
          <w:sz w:val="22"/>
          <w:szCs w:val="22"/>
        </w:rPr>
        <w:t>. Late-progressive lesions are immunologically similar to regressive.</w:t>
      </w:r>
    </w:p>
    <w:p w14:paraId="0597A11B" w14:textId="32454F83" w:rsidR="00492B42" w:rsidRPr="00AE44EF" w:rsidRDefault="00492B42" w:rsidP="00492B42">
      <w:pPr>
        <w:spacing w:line="480" w:lineRule="auto"/>
        <w:jc w:val="both"/>
        <w:rPr>
          <w:rFonts w:ascii="Arial" w:hAnsi="Arial" w:cs="Arial"/>
          <w:sz w:val="22"/>
          <w:szCs w:val="22"/>
        </w:rPr>
      </w:pPr>
      <w:r w:rsidRPr="00AE44EF">
        <w:rPr>
          <w:rFonts w:ascii="Arial" w:hAnsi="Arial" w:cs="Arial"/>
          <w:sz w:val="22"/>
          <w:szCs w:val="22"/>
        </w:rPr>
        <w:t xml:space="preserve">Of 53 lesions </w:t>
      </w:r>
      <w:r>
        <w:rPr>
          <w:rFonts w:ascii="Arial" w:hAnsi="Arial" w:cs="Arial"/>
          <w:sz w:val="22"/>
          <w:szCs w:val="22"/>
        </w:rPr>
        <w:t>that</w:t>
      </w:r>
      <w:r w:rsidRPr="00AE44EF">
        <w:rPr>
          <w:rFonts w:ascii="Arial" w:hAnsi="Arial" w:cs="Arial"/>
          <w:sz w:val="22"/>
          <w:szCs w:val="22"/>
        </w:rPr>
        <w:t xml:space="preserve"> met the clinical endpoint for regression – defined as a subsequent biopsy showing normal epithelium or low-grade dysplasia – 11 developed cancer later at the same site. These are termed </w:t>
      </w:r>
      <w:r>
        <w:rPr>
          <w:rFonts w:ascii="Arial" w:hAnsi="Arial" w:cs="Arial"/>
          <w:sz w:val="22"/>
          <w:szCs w:val="22"/>
        </w:rPr>
        <w:t>‘</w:t>
      </w:r>
      <w:r w:rsidRPr="00AE44EF">
        <w:rPr>
          <w:rFonts w:ascii="Arial" w:hAnsi="Arial" w:cs="Arial"/>
          <w:sz w:val="22"/>
          <w:szCs w:val="22"/>
        </w:rPr>
        <w:t>late progressive</w:t>
      </w:r>
      <w:r>
        <w:rPr>
          <w:rFonts w:ascii="Arial" w:hAnsi="Arial" w:cs="Arial"/>
          <w:sz w:val="22"/>
          <w:szCs w:val="22"/>
        </w:rPr>
        <w:t>’</w:t>
      </w:r>
      <w:r w:rsidRPr="00AE44EF">
        <w:rPr>
          <w:rFonts w:ascii="Arial" w:hAnsi="Arial" w:cs="Arial"/>
          <w:sz w:val="22"/>
          <w:szCs w:val="22"/>
        </w:rPr>
        <w:t xml:space="preserve"> lesions. Combined quantitative immunohistochemistry data (n=44; 28 progressive, 16 regressive) with lymphocyte quantification from H&amp;E images (n=11</w:t>
      </w:r>
      <w:r w:rsidR="006F78E2">
        <w:rPr>
          <w:rFonts w:ascii="Arial" w:hAnsi="Arial" w:cs="Arial"/>
          <w:sz w:val="22"/>
          <w:szCs w:val="22"/>
        </w:rPr>
        <w:t>2</w:t>
      </w:r>
      <w:r w:rsidRPr="00AE44EF">
        <w:rPr>
          <w:rFonts w:ascii="Arial" w:hAnsi="Arial" w:cs="Arial"/>
          <w:sz w:val="22"/>
          <w:szCs w:val="22"/>
        </w:rPr>
        <w:t>; 6</w:t>
      </w:r>
      <w:r w:rsidR="006F78E2">
        <w:rPr>
          <w:rFonts w:ascii="Arial" w:hAnsi="Arial" w:cs="Arial"/>
          <w:sz w:val="22"/>
          <w:szCs w:val="22"/>
        </w:rPr>
        <w:t>8</w:t>
      </w:r>
      <w:r w:rsidRPr="00AE44EF">
        <w:rPr>
          <w:rFonts w:ascii="Arial" w:hAnsi="Arial" w:cs="Arial"/>
          <w:sz w:val="22"/>
          <w:szCs w:val="22"/>
        </w:rPr>
        <w:t xml:space="preserve"> progressive, 4</w:t>
      </w:r>
      <w:r w:rsidR="006F78E2">
        <w:rPr>
          <w:rFonts w:ascii="Arial" w:hAnsi="Arial" w:cs="Arial"/>
          <w:sz w:val="22"/>
          <w:szCs w:val="22"/>
        </w:rPr>
        <w:t>4</w:t>
      </w:r>
      <w:r w:rsidRPr="00AE44EF">
        <w:rPr>
          <w:rFonts w:ascii="Arial" w:hAnsi="Arial" w:cs="Arial"/>
          <w:sz w:val="22"/>
          <w:szCs w:val="22"/>
        </w:rPr>
        <w:t xml:space="preserve"> regressive) are shown. We observe a similar trend of increased lymphocytes and CD8</w:t>
      </w:r>
      <w:r>
        <w:rPr>
          <w:rFonts w:ascii="Arial" w:hAnsi="Arial" w:cs="Arial"/>
          <w:sz w:val="22"/>
          <w:szCs w:val="22"/>
        </w:rPr>
        <w:t>+</w:t>
      </w:r>
      <w:r w:rsidRPr="00AE44EF">
        <w:rPr>
          <w:rFonts w:ascii="Arial" w:hAnsi="Arial" w:cs="Arial"/>
          <w:sz w:val="22"/>
          <w:szCs w:val="22"/>
        </w:rPr>
        <w:t xml:space="preserve"> cells in regressive and late progressive samples compared to progressive. We also observe increased stromal lymphocytes in the late progressive group (p=0.0</w:t>
      </w:r>
      <w:r w:rsidR="00F14801">
        <w:rPr>
          <w:rFonts w:ascii="Arial" w:hAnsi="Arial" w:cs="Arial"/>
          <w:sz w:val="22"/>
          <w:szCs w:val="22"/>
        </w:rPr>
        <w:t>37</w:t>
      </w:r>
      <w:r w:rsidRPr="00AE44EF">
        <w:rPr>
          <w:rFonts w:ascii="Arial" w:hAnsi="Arial" w:cs="Arial"/>
          <w:sz w:val="22"/>
          <w:szCs w:val="22"/>
        </w:rPr>
        <w:t xml:space="preserve">). Quoted p-values are calculated using ANOVA to reject the null hypothesis that all groups are equal, based on a linear mixed model to correct for multiple samples per patient; </w:t>
      </w:r>
      <w:r>
        <w:rPr>
          <w:rFonts w:ascii="Arial" w:hAnsi="Arial" w:cs="Arial"/>
          <w:sz w:val="22"/>
          <w:szCs w:val="22"/>
        </w:rPr>
        <w:t xml:space="preserve">*p&lt;0.05, </w:t>
      </w:r>
      <w:r w:rsidRPr="00AE44EF">
        <w:rPr>
          <w:rFonts w:ascii="Arial" w:hAnsi="Arial" w:cs="Arial"/>
          <w:sz w:val="22"/>
          <w:szCs w:val="22"/>
          <w:vertAlign w:val="superscript"/>
        </w:rPr>
        <w:t>#</w:t>
      </w:r>
      <w:r>
        <w:rPr>
          <w:rFonts w:ascii="Arial" w:hAnsi="Arial" w:cs="Arial"/>
          <w:sz w:val="22"/>
          <w:szCs w:val="22"/>
        </w:rPr>
        <w:t>p&lt;0.1. P</w:t>
      </w:r>
      <w:r w:rsidRPr="00AE44EF">
        <w:rPr>
          <w:rFonts w:ascii="Arial" w:hAnsi="Arial" w:cs="Arial"/>
          <w:sz w:val="22"/>
          <w:szCs w:val="22"/>
        </w:rPr>
        <w:t>ost-hoc pairwise comparisons using a Tukey HSD test were performed but sample size was insufficient to show significant results.</w:t>
      </w:r>
    </w:p>
    <w:p w14:paraId="3494EAFA" w14:textId="7564DAF3" w:rsidR="00F67021" w:rsidRPr="00F67021" w:rsidRDefault="00F67021" w:rsidP="00F67021">
      <w:pPr>
        <w:spacing w:line="480" w:lineRule="auto"/>
      </w:pPr>
    </w:p>
    <w:sectPr w:rsidR="00F67021" w:rsidRPr="00F67021" w:rsidSect="003B51DA">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1213C"/>
    <w:multiLevelType w:val="hybridMultilevel"/>
    <w:tmpl w:val="7C02F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717394"/>
    <w:multiLevelType w:val="hybridMultilevel"/>
    <w:tmpl w:val="7B9A5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021"/>
    <w:rsid w:val="00035999"/>
    <w:rsid w:val="00143345"/>
    <w:rsid w:val="0015094F"/>
    <w:rsid w:val="00291049"/>
    <w:rsid w:val="00340F37"/>
    <w:rsid w:val="00366405"/>
    <w:rsid w:val="003B51DA"/>
    <w:rsid w:val="00404244"/>
    <w:rsid w:val="00472F2D"/>
    <w:rsid w:val="00492B42"/>
    <w:rsid w:val="00515D22"/>
    <w:rsid w:val="00542675"/>
    <w:rsid w:val="005A78A9"/>
    <w:rsid w:val="005E1439"/>
    <w:rsid w:val="005E2EC6"/>
    <w:rsid w:val="00606474"/>
    <w:rsid w:val="0069173F"/>
    <w:rsid w:val="00693416"/>
    <w:rsid w:val="006A0338"/>
    <w:rsid w:val="006A2BE0"/>
    <w:rsid w:val="006B0C27"/>
    <w:rsid w:val="006F78E2"/>
    <w:rsid w:val="007263C2"/>
    <w:rsid w:val="00727234"/>
    <w:rsid w:val="00794355"/>
    <w:rsid w:val="008E27AE"/>
    <w:rsid w:val="008E4C60"/>
    <w:rsid w:val="0091434A"/>
    <w:rsid w:val="00934815"/>
    <w:rsid w:val="00996F9A"/>
    <w:rsid w:val="009B4EE2"/>
    <w:rsid w:val="009D24D0"/>
    <w:rsid w:val="00A53383"/>
    <w:rsid w:val="00AF6BA6"/>
    <w:rsid w:val="00B933F8"/>
    <w:rsid w:val="00BD4EC1"/>
    <w:rsid w:val="00BF33F8"/>
    <w:rsid w:val="00BF4911"/>
    <w:rsid w:val="00BF670B"/>
    <w:rsid w:val="00C574D2"/>
    <w:rsid w:val="00CC66E3"/>
    <w:rsid w:val="00CF0106"/>
    <w:rsid w:val="00CF06CA"/>
    <w:rsid w:val="00D00162"/>
    <w:rsid w:val="00D15B9F"/>
    <w:rsid w:val="00D5130A"/>
    <w:rsid w:val="00D5312D"/>
    <w:rsid w:val="00D66757"/>
    <w:rsid w:val="00D822D7"/>
    <w:rsid w:val="00DA3CF4"/>
    <w:rsid w:val="00DC67C8"/>
    <w:rsid w:val="00E16A67"/>
    <w:rsid w:val="00EB77B0"/>
    <w:rsid w:val="00F14801"/>
    <w:rsid w:val="00F35F96"/>
    <w:rsid w:val="00F52B0E"/>
    <w:rsid w:val="00F67021"/>
    <w:rsid w:val="00FA0E34"/>
    <w:rsid w:val="00FC68D4"/>
    <w:rsid w:val="00FD5AD7"/>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894BC"/>
  <w15:chartTrackingRefBased/>
  <w15:docId w15:val="{ECE97D58-EC3A-354D-BE0E-E3613E8EA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021"/>
    <w:pPr>
      <w:ind w:left="720"/>
      <w:contextualSpacing/>
    </w:pPr>
  </w:style>
  <w:style w:type="character" w:styleId="Hyperlink">
    <w:name w:val="Hyperlink"/>
    <w:basedOn w:val="DefaultParagraphFont"/>
    <w:uiPriority w:val="99"/>
    <w:unhideWhenUsed/>
    <w:rsid w:val="00F67021"/>
    <w:rPr>
      <w:color w:val="0563C1" w:themeColor="hyperlink"/>
      <w:u w:val="single"/>
    </w:rPr>
  </w:style>
  <w:style w:type="paragraph" w:styleId="Bibliography">
    <w:name w:val="Bibliography"/>
    <w:basedOn w:val="Normal"/>
    <w:next w:val="Normal"/>
    <w:uiPriority w:val="37"/>
    <w:unhideWhenUsed/>
    <w:rsid w:val="0069173F"/>
    <w:pPr>
      <w:tabs>
        <w:tab w:val="left" w:pos="500"/>
      </w:tabs>
      <w:spacing w:after="240"/>
      <w:ind w:left="504" w:hanging="504"/>
    </w:pPr>
  </w:style>
  <w:style w:type="paragraph" w:styleId="BalloonText">
    <w:name w:val="Balloon Text"/>
    <w:basedOn w:val="Normal"/>
    <w:link w:val="BalloonTextChar"/>
    <w:uiPriority w:val="99"/>
    <w:semiHidden/>
    <w:unhideWhenUsed/>
    <w:rsid w:val="006A033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0338"/>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FD5AD7"/>
    <w:rPr>
      <w:sz w:val="18"/>
      <w:szCs w:val="18"/>
    </w:rPr>
  </w:style>
  <w:style w:type="paragraph" w:styleId="CommentText">
    <w:name w:val="annotation text"/>
    <w:basedOn w:val="Normal"/>
    <w:link w:val="CommentTextChar"/>
    <w:uiPriority w:val="99"/>
    <w:unhideWhenUsed/>
    <w:rsid w:val="00FD5AD7"/>
  </w:style>
  <w:style w:type="character" w:customStyle="1" w:styleId="CommentTextChar">
    <w:name w:val="Comment Text Char"/>
    <w:basedOn w:val="DefaultParagraphFont"/>
    <w:link w:val="CommentText"/>
    <w:uiPriority w:val="99"/>
    <w:rsid w:val="00FD5AD7"/>
  </w:style>
  <w:style w:type="paragraph" w:styleId="CommentSubject">
    <w:name w:val="annotation subject"/>
    <w:basedOn w:val="CommentText"/>
    <w:next w:val="CommentText"/>
    <w:link w:val="CommentSubjectChar"/>
    <w:uiPriority w:val="99"/>
    <w:semiHidden/>
    <w:unhideWhenUsed/>
    <w:rsid w:val="009D24D0"/>
    <w:rPr>
      <w:b/>
      <w:bCs/>
      <w:sz w:val="20"/>
      <w:szCs w:val="20"/>
    </w:rPr>
  </w:style>
  <w:style w:type="character" w:customStyle="1" w:styleId="CommentSubjectChar">
    <w:name w:val="Comment Subject Char"/>
    <w:basedOn w:val="CommentTextChar"/>
    <w:link w:val="CommentSubject"/>
    <w:uiPriority w:val="99"/>
    <w:semiHidden/>
    <w:rsid w:val="009D24D0"/>
    <w:rPr>
      <w:b/>
      <w:bCs/>
      <w:sz w:val="20"/>
      <w:szCs w:val="20"/>
    </w:rPr>
  </w:style>
  <w:style w:type="paragraph" w:styleId="NormalWeb">
    <w:name w:val="Normal (Web)"/>
    <w:basedOn w:val="Normal"/>
    <w:uiPriority w:val="99"/>
    <w:semiHidden/>
    <w:unhideWhenUsed/>
    <w:rsid w:val="00CC66E3"/>
    <w:rPr>
      <w:rFonts w:ascii="Times New Roman" w:hAnsi="Times New Roman" w:cs="Times New Roman"/>
    </w:rPr>
  </w:style>
  <w:style w:type="table" w:styleId="TableGrid">
    <w:name w:val="Table Grid"/>
    <w:basedOn w:val="TableNormal"/>
    <w:uiPriority w:val="59"/>
    <w:rsid w:val="00CC66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42705">
      <w:bodyDiv w:val="1"/>
      <w:marLeft w:val="0"/>
      <w:marRight w:val="0"/>
      <w:marTop w:val="0"/>
      <w:marBottom w:val="0"/>
      <w:divBdr>
        <w:top w:val="none" w:sz="0" w:space="0" w:color="auto"/>
        <w:left w:val="none" w:sz="0" w:space="0" w:color="auto"/>
        <w:bottom w:val="none" w:sz="0" w:space="0" w:color="auto"/>
        <w:right w:val="none" w:sz="0" w:space="0" w:color="auto"/>
      </w:divBdr>
    </w:div>
    <w:div w:id="1886257452">
      <w:bodyDiv w:val="1"/>
      <w:marLeft w:val="0"/>
      <w:marRight w:val="0"/>
      <w:marTop w:val="0"/>
      <w:marBottom w:val="0"/>
      <w:divBdr>
        <w:top w:val="none" w:sz="0" w:space="0" w:color="auto"/>
        <w:left w:val="none" w:sz="0" w:space="0" w:color="auto"/>
        <w:bottom w:val="none" w:sz="0" w:space="0" w:color="auto"/>
        <w:right w:val="none" w:sz="0" w:space="0" w:color="auto"/>
      </w:divBdr>
    </w:div>
    <w:div w:id="196465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30</Pages>
  <Words>11378</Words>
  <Characters>64858</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Pennycuick, Adam</dc:creator>
  <cp:keywords/>
  <dc:description/>
  <cp:lastModifiedBy>Adam Pennycuick</cp:lastModifiedBy>
  <cp:revision>15</cp:revision>
  <dcterms:created xsi:type="dcterms:W3CDTF">2020-05-15T19:03:00Z</dcterms:created>
  <dcterms:modified xsi:type="dcterms:W3CDTF">2020-06-26T14:00:00Z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id="j3o4UFjc"/&gt;&lt;style id="http://www.zotero.org/styles/cancer-discovery" hasBibliography="1" bibliographyStyleHasBeenSet="1"/&gt;&lt;prefs&gt;&lt;pref name="fieldType" value="Field"/&gt;&lt;/prefs&gt;&lt;/data&gt;</vt:lpwstr>
  </property>
</Properties>
</file>