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DCFC1" w14:textId="38F6F18F" w:rsidR="004E066E" w:rsidRDefault="00B018EB" w:rsidP="004E066E">
      <w:pPr>
        <w:widowControl w:val="0"/>
        <w:autoSpaceDE w:val="0"/>
        <w:autoSpaceDN w:val="0"/>
        <w:adjustRightInd w:val="0"/>
        <w:spacing w:line="288" w:lineRule="auto"/>
        <w:ind w:left="640" w:hanging="64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Supplementary </w:t>
      </w:r>
      <w:r w:rsidR="004E066E">
        <w:rPr>
          <w:rFonts w:ascii="Calibri" w:hAnsi="Calibri" w:cs="Calibri"/>
          <w:b/>
          <w:bCs/>
        </w:rPr>
        <w:t>Table 1: Subject characteristics</w:t>
      </w:r>
    </w:p>
    <w:tbl>
      <w:tblPr>
        <w:tblW w:w="10440" w:type="dxa"/>
        <w:tblInd w:w="-72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1336"/>
        <w:gridCol w:w="1297"/>
        <w:gridCol w:w="1336"/>
        <w:gridCol w:w="1219"/>
        <w:gridCol w:w="360"/>
        <w:gridCol w:w="1832"/>
      </w:tblGrid>
      <w:tr w:rsidR="004E066E" w:rsidRPr="00681702" w14:paraId="58405A47" w14:textId="77777777" w:rsidTr="006455B9">
        <w:trPr>
          <w:tblHeader/>
        </w:trPr>
        <w:tc>
          <w:tcPr>
            <w:tcW w:w="3060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2487CE2C" w14:textId="77777777" w:rsidR="004E066E" w:rsidRPr="00681702" w:rsidRDefault="004E066E" w:rsidP="006455B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6" w:type="dxa"/>
            <w:vMerge w:val="restart"/>
            <w:tcBorders>
              <w:top w:val="single" w:sz="18" w:space="0" w:color="000000"/>
              <w:left w:val="nil"/>
              <w:right w:val="nil"/>
            </w:tcBorders>
            <w:shd w:val="clear" w:color="auto" w:fill="FFFFFF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08FD2429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(N=30)</w:t>
            </w:r>
          </w:p>
        </w:tc>
        <w:tc>
          <w:tcPr>
            <w:tcW w:w="1297" w:type="dxa"/>
            <w:vMerge w:val="restart"/>
            <w:tcBorders>
              <w:top w:val="single" w:sz="18" w:space="0" w:color="000000"/>
              <w:left w:val="nil"/>
              <w:right w:val="nil"/>
            </w:tcBorders>
            <w:shd w:val="clear" w:color="auto" w:fill="FFFFFF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7260F8E1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Phase A</w:t>
            </w: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(N=10)</w:t>
            </w:r>
          </w:p>
        </w:tc>
        <w:tc>
          <w:tcPr>
            <w:tcW w:w="4747" w:type="dxa"/>
            <w:gridSpan w:val="4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0D38D497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Phase B</w:t>
            </w:r>
          </w:p>
        </w:tc>
      </w:tr>
      <w:tr w:rsidR="004E066E" w:rsidRPr="00681702" w14:paraId="47D7A145" w14:textId="77777777" w:rsidTr="006455B9">
        <w:trPr>
          <w:tblHeader/>
        </w:trPr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37D44330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52269C4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4408288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9DC7EAF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Overall</w:t>
            </w: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(N=20)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AF4F357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CART-</w:t>
            </w:r>
            <w:r w:rsidRPr="00C90ED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</w:t>
            </w: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CMA</w:t>
            </w: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(N=10)</w:t>
            </w:r>
          </w:p>
        </w:tc>
        <w:tc>
          <w:tcPr>
            <w:tcW w:w="219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32281C6F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CART-BCMA + huCART19</w:t>
            </w: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(N=10)</w:t>
            </w:r>
          </w:p>
        </w:tc>
      </w:tr>
      <w:tr w:rsidR="004E066E" w:rsidRPr="00681702" w14:paraId="20E3C9EE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3652B0D4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D5689E9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BF581C5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3480190A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314D707F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2E18624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066E" w:rsidRPr="00681702" w14:paraId="604EAA9C" w14:textId="77777777" w:rsidTr="006455B9">
        <w:trPr>
          <w:trHeight w:val="17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5DC66170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emale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E94FC74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(36.7%)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4A59DCB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(40.0%)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0A362AA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(35.0%)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70CFF81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(50.0%)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8B2D97E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(20.0%)</w:t>
            </w:r>
          </w:p>
        </w:tc>
      </w:tr>
      <w:tr w:rsidR="004E066E" w:rsidRPr="00681702" w14:paraId="30C4C17A" w14:textId="77777777" w:rsidTr="006455B9">
        <w:trPr>
          <w:trHeight w:val="84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44F41BD5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ale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3DC8934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 (63.3%)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E886D07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(60.0%)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2CB76EA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 (65.0%)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29DD2E4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(50.0%)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BB02D3F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 (80.0%)</w:t>
            </w:r>
          </w:p>
        </w:tc>
      </w:tr>
      <w:tr w:rsidR="004E066E" w:rsidRPr="00681702" w14:paraId="2BDE5BB6" w14:textId="77777777" w:rsidTr="006455B9">
        <w:trPr>
          <w:trHeight w:val="17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073F2BFB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D86FAAD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E4B850E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23C4B7F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2E28FFB6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5E6A1E9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066E" w:rsidRPr="00681702" w14:paraId="1CAB2E7D" w14:textId="77777777" w:rsidTr="006455B9">
        <w:trPr>
          <w:trHeight w:val="102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0C711688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Median [Min, Max]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97A28D5" w14:textId="77777777" w:rsidR="004E066E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59 </w:t>
            </w:r>
          </w:p>
          <w:p w14:paraId="0E7D73E2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[28, 76]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DD36C48" w14:textId="77777777" w:rsidR="004E066E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55 </w:t>
            </w:r>
          </w:p>
          <w:p w14:paraId="32EDF56D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[33, 76]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DED2665" w14:textId="77777777" w:rsidR="004E066E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</w:t>
            </w:r>
          </w:p>
          <w:p w14:paraId="3DE6DBB1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[28, 72]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C86D776" w14:textId="77777777" w:rsidR="004E066E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56 </w:t>
            </w:r>
          </w:p>
          <w:p w14:paraId="3C04B29E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[36, 72]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B452EB1" w14:textId="77777777" w:rsidR="004E066E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  <w:p w14:paraId="481D073B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[28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67]</w:t>
            </w:r>
          </w:p>
        </w:tc>
      </w:tr>
      <w:tr w:rsidR="004E066E" w:rsidRPr="00681702" w14:paraId="77F246AA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6E2332E5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Race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76471F4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37473BC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588C1D2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A807CEA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3E44FEDD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066E" w:rsidRPr="00681702" w14:paraId="158EC7AC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248DD48E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Black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0201B88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(20%)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ACD2958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(10%)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BB7CF0A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(25%)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58E83B4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(20%)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275F7EC3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(30%)</w:t>
            </w:r>
          </w:p>
        </w:tc>
      </w:tr>
      <w:tr w:rsidR="004E066E" w:rsidRPr="00681702" w14:paraId="0E6EBB4C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218EDA3E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Asian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0573E51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2DFE48F9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(20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F423DFF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B5110B6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FFB1558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 (0%)</w:t>
            </w:r>
          </w:p>
        </w:tc>
      </w:tr>
      <w:tr w:rsidR="004E066E" w:rsidRPr="00681702" w14:paraId="3AC76CA0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4913FC7E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Caucasian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ECA5C38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 (73%)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440A024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(70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E4C7013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 (75%)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574716D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 (80%)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3F304B59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(70%)</w:t>
            </w:r>
          </w:p>
        </w:tc>
      </w:tr>
      <w:tr w:rsidR="004E066E" w:rsidRPr="00681702" w14:paraId="6185E8A1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0F9F010E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Revised ISS stage at diagnosis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1F84223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C0E2092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5042B14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BF54DEB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CBB1E4A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066E" w:rsidRPr="00681702" w14:paraId="31C622CB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693A4A1E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C3A54BC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(3%)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4D1A974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(1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A5EBC67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F6E9F85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1EAA4EE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 (0%)</w:t>
            </w:r>
          </w:p>
        </w:tc>
      </w:tr>
      <w:tr w:rsidR="004E066E" w:rsidRPr="00681702" w14:paraId="1C37D820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1931818B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B436307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(33%)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33AB97F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(40%)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EEAE838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(30%)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4DB9732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(30%)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7442478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(30%)</w:t>
            </w:r>
          </w:p>
        </w:tc>
      </w:tr>
      <w:tr w:rsidR="004E066E" w:rsidRPr="00681702" w14:paraId="2EED6B25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256B16DF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8593B49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(40%)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324423EE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(20 %)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B233514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(50%)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0B83562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(50%)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5E4A07C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(50%)</w:t>
            </w:r>
          </w:p>
        </w:tc>
      </w:tr>
      <w:tr w:rsidR="004E066E" w:rsidRPr="00681702" w14:paraId="72CFBEB4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653449D3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Missing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22010643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(23%)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C59ED51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(30 %)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0F20003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(20%)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EF746C9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(20%)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F6362BE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(20%)</w:t>
            </w:r>
          </w:p>
        </w:tc>
      </w:tr>
      <w:tr w:rsidR="004E066E" w:rsidRPr="00681702" w14:paraId="35AB3BB8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26D3FBA0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High-risk cytogenetics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2D68E2E5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2BD546C1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3008329B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58A2BA4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0B9096B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066E" w:rsidRPr="00681702" w14:paraId="5C94F3CD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051EC043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7C28995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 (2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D24D84B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(10%)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98A93CF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(35%)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4552883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(30%)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2003243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(40%)</w:t>
            </w:r>
          </w:p>
        </w:tc>
      </w:tr>
      <w:tr w:rsidR="004E066E" w:rsidRPr="00681702" w14:paraId="06F11079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5959F9E8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BD5227A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 (73%)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A98A36B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 (90%)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CC23EDF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 (65%)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2F2ECA5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(70%)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C6D44B0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(60%)</w:t>
            </w:r>
          </w:p>
        </w:tc>
      </w:tr>
      <w:tr w:rsidR="004E066E" w:rsidRPr="00681702" w14:paraId="3F176E70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6911A13C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Prior lines of therapy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4636C3D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53C3A26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28FA36B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B7CEAA7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242FE02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066E" w:rsidRPr="00681702" w14:paraId="7E47104A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00F4A51E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Median [Min, Max]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46F2EFD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[1, 9]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86A7780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 [2, 9]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27775BC4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[1, 2]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29084832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[1, 2]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3DC65F69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[1, 2]</w:t>
            </w:r>
          </w:p>
        </w:tc>
      </w:tr>
      <w:tr w:rsidR="004E066E" w:rsidRPr="00681702" w14:paraId="0E2D28D0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0748DC39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 since diagnosis (years)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1353B92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23B00BE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C985568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2B117590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7D7D5AD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066E" w:rsidRPr="00681702" w14:paraId="1FAAF8D0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75837AAB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Median [Min, Max]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005DA6C" w14:textId="77777777" w:rsidR="004E066E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B993515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[0.40, 9.7]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F9623EC" w14:textId="77777777" w:rsidR="004E066E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DECDE8B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[1.3, 9.7]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3222AC0" w14:textId="77777777" w:rsidR="004E066E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0.68 </w:t>
            </w:r>
          </w:p>
          <w:p w14:paraId="60CEE0B0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[0.40, 1.4]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B8EB113" w14:textId="77777777" w:rsidR="004E066E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0.60 </w:t>
            </w:r>
          </w:p>
          <w:p w14:paraId="2C2C30BF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[0.40, 1.4]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3656D931" w14:textId="77777777" w:rsidR="004E066E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0.69 </w:t>
            </w:r>
          </w:p>
          <w:p w14:paraId="3CD7036B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[0.4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1.0]</w:t>
            </w:r>
          </w:p>
        </w:tc>
      </w:tr>
      <w:tr w:rsidR="004E066E" w:rsidRPr="00681702" w14:paraId="38EA8FA1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7D180E56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Bone marrow plasma cell burden at infusion (%)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EEB0416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390889CC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79B2DBB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37361183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304A995F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066E" w:rsidRPr="00681702" w14:paraId="7F4AFE67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1994DD38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Median [Min, Max]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EF77CFD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[0, 91]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782F955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[0, 91]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6A422CB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[0, 90]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1D7BBC3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[1, 90]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C4ADE9D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7.5 [0, 90]</w:t>
            </w:r>
          </w:p>
        </w:tc>
      </w:tr>
      <w:tr w:rsidR="004E066E" w:rsidRPr="00681702" w14:paraId="729EF3F2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7B0EBFA8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Follow-up (days)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FDB952D" w14:textId="77777777" w:rsidR="004E066E" w:rsidRPr="00681702" w:rsidRDefault="004E066E" w:rsidP="006455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25F6D703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9A344B7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78FE3EA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6277421" w14:textId="77777777" w:rsidR="004E066E" w:rsidRPr="00681702" w:rsidRDefault="004E066E" w:rsidP="006455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066E" w:rsidRPr="00681702" w14:paraId="13C0AF7A" w14:textId="77777777" w:rsidTr="006455B9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57018293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Median [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95% CI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]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FFB1E63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805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[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644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11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]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FC9A5C4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1061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[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987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]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5E915F6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755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[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497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1092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]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9FC5C54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755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[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474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]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16ED3D1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805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[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497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NA </w:t>
            </w:r>
            <w:r w:rsidRPr="006817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]</w:t>
            </w:r>
            <w:proofErr w:type="gramEnd"/>
          </w:p>
        </w:tc>
      </w:tr>
      <w:tr w:rsidR="004E066E" w:rsidRPr="00681702" w14:paraId="0BF57F29" w14:textId="77777777" w:rsidTr="006455B9">
        <w:tc>
          <w:tcPr>
            <w:tcW w:w="3060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</w:tcPr>
          <w:p w14:paraId="621897C9" w14:textId="77777777" w:rsidR="004E066E" w:rsidRPr="00681702" w:rsidRDefault="004E066E" w:rsidP="006455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</w:tcPr>
          <w:p w14:paraId="6483F5C3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</w:tcPr>
          <w:p w14:paraId="3578260A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</w:tcPr>
          <w:p w14:paraId="5D580C32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</w:tcPr>
          <w:p w14:paraId="15D8CDB5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</w:tcPr>
          <w:p w14:paraId="39584FAD" w14:textId="77777777" w:rsidR="004E066E" w:rsidRPr="00681702" w:rsidRDefault="004E066E" w:rsidP="006455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14:paraId="641BFD2B" w14:textId="77777777" w:rsidR="004E066E" w:rsidRDefault="004E066E" w:rsidP="004E066E">
      <w:r>
        <w:t xml:space="preserve">*Includes the following cytogenetic abnormalities: +1q, </w:t>
      </w:r>
      <w:proofErr w:type="gramStart"/>
      <w:r>
        <w:t>t(</w:t>
      </w:r>
      <w:proofErr w:type="gramEnd"/>
      <w:r>
        <w:t>4;14), t(14;16), t(14;20), del17p, or ≥3 abnormalities on metaphase karyotype</w:t>
      </w:r>
    </w:p>
    <w:p w14:paraId="257C9996" w14:textId="77777777" w:rsidR="004E066E" w:rsidRDefault="004E066E">
      <w:pPr>
        <w:rPr>
          <w:b/>
          <w:bCs/>
        </w:rPr>
      </w:pPr>
    </w:p>
    <w:p w14:paraId="5F51E0F0" w14:textId="77777777" w:rsidR="0038055D" w:rsidRDefault="0038055D" w:rsidP="00A461B0">
      <w:pPr>
        <w:rPr>
          <w:b/>
          <w:bCs/>
        </w:rPr>
      </w:pPr>
    </w:p>
    <w:p w14:paraId="791FA4BA" w14:textId="62614470" w:rsidR="00A461B0" w:rsidRPr="00B95908" w:rsidRDefault="00514557" w:rsidP="00A461B0">
      <w:pPr>
        <w:rPr>
          <w:b/>
          <w:bCs/>
        </w:rPr>
      </w:pPr>
      <w:r>
        <w:rPr>
          <w:b/>
          <w:bCs/>
        </w:rPr>
        <w:t>Supplementary Table S</w:t>
      </w:r>
      <w:r w:rsidR="00B018EB">
        <w:rPr>
          <w:b/>
          <w:bCs/>
        </w:rPr>
        <w:t>2</w:t>
      </w:r>
      <w:r w:rsidR="00A461B0" w:rsidRPr="00B95908">
        <w:rPr>
          <w:b/>
          <w:bCs/>
        </w:rPr>
        <w:t>: Cytogenetic profiles and high-risk features.</w:t>
      </w:r>
    </w:p>
    <w:p w14:paraId="4DFF5E0B" w14:textId="77777777" w:rsidR="00A461B0" w:rsidRPr="00B95908" w:rsidRDefault="00A461B0" w:rsidP="00A461B0">
      <w:pPr>
        <w:rPr>
          <w:b/>
          <w:bCs/>
        </w:rPr>
      </w:pPr>
      <w:r w:rsidRPr="00AD6985">
        <w:rPr>
          <w:b/>
          <w:bCs/>
          <w:noProof/>
        </w:rPr>
        <w:drawing>
          <wp:inline distT="0" distB="0" distL="0" distR="0" wp14:anchorId="735E7720" wp14:editId="0A0D0602">
            <wp:extent cx="5943600" cy="6471920"/>
            <wp:effectExtent l="0" t="0" r="0" b="5080"/>
            <wp:docPr id="479" name="Picture 47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7AA2E" w14:textId="77777777" w:rsidR="00A461B0" w:rsidRDefault="00A461B0" w:rsidP="00A461B0">
      <w:pPr>
        <w:rPr>
          <w:b/>
          <w:bCs/>
        </w:rPr>
      </w:pPr>
      <w:r>
        <w:rPr>
          <w:b/>
          <w:bCs/>
        </w:rPr>
        <w:br w:type="page"/>
      </w:r>
    </w:p>
    <w:p w14:paraId="7ED88CE9" w14:textId="269FB267" w:rsidR="00A461B0" w:rsidRPr="00B95908" w:rsidRDefault="00514557" w:rsidP="00A461B0">
      <w:pPr>
        <w:rPr>
          <w:b/>
          <w:bCs/>
        </w:rPr>
      </w:pPr>
      <w:r>
        <w:rPr>
          <w:b/>
          <w:bCs/>
        </w:rPr>
        <w:lastRenderedPageBreak/>
        <w:t>Supplementary Table S</w:t>
      </w:r>
      <w:r w:rsidR="00B018EB">
        <w:rPr>
          <w:b/>
          <w:bCs/>
        </w:rPr>
        <w:t>3</w:t>
      </w:r>
      <w:r w:rsidR="00A461B0" w:rsidRPr="00B95908">
        <w:rPr>
          <w:b/>
          <w:bCs/>
        </w:rPr>
        <w:t>: Prior treatment exposures and refractoriness.</w:t>
      </w:r>
    </w:p>
    <w:p w14:paraId="54A2BD8E" w14:textId="77777777" w:rsidR="00A461B0" w:rsidRPr="00B95908" w:rsidRDefault="00A461B0" w:rsidP="00A461B0">
      <w:pPr>
        <w:rPr>
          <w:b/>
          <w:bCs/>
        </w:rPr>
      </w:pPr>
      <w:r w:rsidRPr="000D57F2">
        <w:rPr>
          <w:b/>
          <w:bCs/>
          <w:noProof/>
        </w:rPr>
        <w:drawing>
          <wp:inline distT="0" distB="0" distL="0" distR="0" wp14:anchorId="30AC261C" wp14:editId="573EE087">
            <wp:extent cx="5943600" cy="6438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D49F" w14:textId="77777777" w:rsidR="00A461B0" w:rsidRDefault="00A461B0" w:rsidP="00A461B0">
      <w:pPr>
        <w:rPr>
          <w:b/>
          <w:bCs/>
        </w:rPr>
      </w:pPr>
      <w:r>
        <w:rPr>
          <w:b/>
          <w:bCs/>
        </w:rPr>
        <w:br w:type="page"/>
      </w:r>
    </w:p>
    <w:p w14:paraId="253F77AF" w14:textId="2DCF4A5C" w:rsidR="00A461B0" w:rsidRPr="00B95908" w:rsidRDefault="00514557" w:rsidP="00A461B0">
      <w:pPr>
        <w:rPr>
          <w:b/>
          <w:bCs/>
        </w:rPr>
      </w:pPr>
      <w:r>
        <w:rPr>
          <w:b/>
          <w:bCs/>
        </w:rPr>
        <w:lastRenderedPageBreak/>
        <w:t>Supplementary Table S</w:t>
      </w:r>
      <w:r w:rsidR="00B018EB">
        <w:rPr>
          <w:b/>
          <w:bCs/>
        </w:rPr>
        <w:t>4</w:t>
      </w:r>
      <w:r w:rsidR="00A461B0" w:rsidRPr="00B95908">
        <w:rPr>
          <w:b/>
          <w:bCs/>
        </w:rPr>
        <w:t>: CAR T cell product characteristics.</w:t>
      </w:r>
    </w:p>
    <w:p w14:paraId="0EDF3697" w14:textId="77777777" w:rsidR="00A461B0" w:rsidRDefault="00A461B0" w:rsidP="00A461B0">
      <w:pPr>
        <w:rPr>
          <w:b/>
          <w:bCs/>
        </w:rPr>
      </w:pPr>
      <w:r w:rsidRPr="000D57F2">
        <w:rPr>
          <w:b/>
          <w:bCs/>
          <w:noProof/>
        </w:rPr>
        <w:drawing>
          <wp:inline distT="0" distB="0" distL="0" distR="0" wp14:anchorId="22388B83" wp14:editId="6E4CECB7">
            <wp:extent cx="5943600" cy="6070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0A4F" w14:textId="77777777" w:rsidR="00A461B0" w:rsidRDefault="00A461B0" w:rsidP="00A461B0">
      <w:pPr>
        <w:rPr>
          <w:b/>
          <w:bCs/>
        </w:rPr>
      </w:pPr>
      <w:r>
        <w:rPr>
          <w:b/>
          <w:bCs/>
        </w:rPr>
        <w:br w:type="page"/>
      </w:r>
    </w:p>
    <w:p w14:paraId="7B1E4F2A" w14:textId="1BC15666" w:rsidR="00A461B0" w:rsidRPr="00B95908" w:rsidRDefault="00514557" w:rsidP="00A461B0">
      <w:pPr>
        <w:rPr>
          <w:b/>
          <w:bCs/>
        </w:rPr>
      </w:pPr>
      <w:r>
        <w:rPr>
          <w:b/>
          <w:bCs/>
        </w:rPr>
        <w:t>Supplementary Table S</w:t>
      </w:r>
      <w:r w:rsidR="00B018EB">
        <w:rPr>
          <w:b/>
          <w:bCs/>
        </w:rPr>
        <w:t>5</w:t>
      </w:r>
      <w:r w:rsidR="00A461B0" w:rsidRPr="00B95908">
        <w:rPr>
          <w:b/>
          <w:bCs/>
        </w:rPr>
        <w:t>: Products that did not meet target dose.</w:t>
      </w:r>
    </w:p>
    <w:tbl>
      <w:tblPr>
        <w:tblStyle w:val="TableGrid"/>
        <w:tblW w:w="0" w:type="auto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1558"/>
        <w:gridCol w:w="1558"/>
        <w:gridCol w:w="1919"/>
        <w:gridCol w:w="1980"/>
      </w:tblGrid>
      <w:tr w:rsidR="00A461B0" w:rsidRPr="00817269" w14:paraId="0A2A442E" w14:textId="77777777" w:rsidTr="007515A4">
        <w:tc>
          <w:tcPr>
            <w:tcW w:w="1558" w:type="dxa"/>
            <w:vMerge w:val="restart"/>
            <w:vAlign w:val="bottom"/>
          </w:tcPr>
          <w:p w14:paraId="54CFEFA0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63B6">
              <w:rPr>
                <w:rFonts w:ascii="Arial" w:hAnsi="Arial" w:cs="Arial"/>
                <w:b/>
                <w:bCs/>
                <w:sz w:val="20"/>
                <w:szCs w:val="20"/>
              </w:rPr>
              <w:t>Subject</w:t>
            </w:r>
          </w:p>
        </w:tc>
        <w:tc>
          <w:tcPr>
            <w:tcW w:w="1558" w:type="dxa"/>
            <w:vMerge w:val="restart"/>
            <w:vAlign w:val="bottom"/>
          </w:tcPr>
          <w:p w14:paraId="4828A038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63B6">
              <w:rPr>
                <w:rFonts w:ascii="Arial" w:hAnsi="Arial" w:cs="Arial"/>
                <w:b/>
                <w:bCs/>
                <w:sz w:val="20"/>
                <w:szCs w:val="20"/>
              </w:rPr>
              <w:t>Phase</w:t>
            </w:r>
          </w:p>
        </w:tc>
        <w:tc>
          <w:tcPr>
            <w:tcW w:w="3899" w:type="dxa"/>
            <w:gridSpan w:val="2"/>
          </w:tcPr>
          <w:p w14:paraId="59976F0A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63B6">
              <w:rPr>
                <w:rFonts w:ascii="Arial" w:hAnsi="Arial" w:cs="Arial"/>
                <w:b/>
                <w:bCs/>
                <w:sz w:val="20"/>
                <w:szCs w:val="20"/>
              </w:rPr>
              <w:t>Dose manufactured</w:t>
            </w:r>
          </w:p>
          <w:p w14:paraId="218BC5A6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63B6">
              <w:rPr>
                <w:rFonts w:ascii="Arial" w:hAnsi="Arial" w:cs="Arial"/>
                <w:b/>
                <w:bCs/>
                <w:sz w:val="20"/>
                <w:szCs w:val="20"/>
              </w:rPr>
              <w:t>(% of target)</w:t>
            </w:r>
          </w:p>
        </w:tc>
      </w:tr>
      <w:tr w:rsidR="00A461B0" w:rsidRPr="00817269" w14:paraId="00B263F7" w14:textId="77777777" w:rsidTr="007515A4">
        <w:tc>
          <w:tcPr>
            <w:tcW w:w="1558" w:type="dxa"/>
            <w:vMerge/>
          </w:tcPr>
          <w:p w14:paraId="12864825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8" w:type="dxa"/>
            <w:vMerge/>
          </w:tcPr>
          <w:p w14:paraId="448A6618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9" w:type="dxa"/>
          </w:tcPr>
          <w:p w14:paraId="0C7B7878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63B6">
              <w:rPr>
                <w:rFonts w:ascii="Arial" w:hAnsi="Arial" w:cs="Arial"/>
                <w:b/>
                <w:bCs/>
                <w:sz w:val="20"/>
                <w:szCs w:val="20"/>
              </w:rPr>
              <w:t>CART-BCMA</w:t>
            </w:r>
          </w:p>
        </w:tc>
        <w:tc>
          <w:tcPr>
            <w:tcW w:w="1980" w:type="dxa"/>
          </w:tcPr>
          <w:p w14:paraId="77C94D96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63B6">
              <w:rPr>
                <w:rFonts w:ascii="Arial" w:hAnsi="Arial" w:cs="Arial"/>
                <w:b/>
                <w:bCs/>
                <w:sz w:val="20"/>
                <w:szCs w:val="20"/>
              </w:rPr>
              <w:t>huCART19</w:t>
            </w:r>
          </w:p>
        </w:tc>
      </w:tr>
      <w:tr w:rsidR="00A461B0" w:rsidRPr="00817269" w14:paraId="6F570714" w14:textId="77777777" w:rsidTr="007515A4">
        <w:tc>
          <w:tcPr>
            <w:tcW w:w="1558" w:type="dxa"/>
          </w:tcPr>
          <w:p w14:paraId="56B1A091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63B6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1558" w:type="dxa"/>
          </w:tcPr>
          <w:p w14:paraId="7769D076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63B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19" w:type="dxa"/>
          </w:tcPr>
          <w:p w14:paraId="316F38DA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63B6">
              <w:rPr>
                <w:rFonts w:ascii="Arial" w:hAnsi="Arial" w:cs="Arial"/>
                <w:sz w:val="20"/>
                <w:szCs w:val="20"/>
              </w:rPr>
              <w:t>0.5x10</w:t>
            </w:r>
            <w:r w:rsidRPr="001563B6">
              <w:rPr>
                <w:rFonts w:ascii="Arial" w:hAnsi="Arial" w:cs="Arial"/>
                <w:sz w:val="20"/>
                <w:szCs w:val="20"/>
                <w:vertAlign w:val="superscript"/>
              </w:rPr>
              <w:t>8</w:t>
            </w:r>
            <w:r w:rsidRPr="001563B6">
              <w:rPr>
                <w:rFonts w:ascii="Arial" w:hAnsi="Arial" w:cs="Arial"/>
                <w:sz w:val="20"/>
                <w:szCs w:val="20"/>
              </w:rPr>
              <w:t xml:space="preserve"> (10%)</w:t>
            </w:r>
          </w:p>
        </w:tc>
        <w:tc>
          <w:tcPr>
            <w:tcW w:w="1980" w:type="dxa"/>
          </w:tcPr>
          <w:p w14:paraId="12E4D1F3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63B6">
              <w:rPr>
                <w:rFonts w:ascii="Arial" w:hAnsi="Arial" w:cs="Arial"/>
                <w:sz w:val="20"/>
                <w:szCs w:val="20"/>
              </w:rPr>
              <w:t>1.54x10</w:t>
            </w:r>
            <w:r w:rsidRPr="001563B6">
              <w:rPr>
                <w:rFonts w:ascii="Arial" w:hAnsi="Arial" w:cs="Arial"/>
                <w:sz w:val="20"/>
                <w:szCs w:val="20"/>
                <w:vertAlign w:val="superscript"/>
              </w:rPr>
              <w:t>8</w:t>
            </w:r>
            <w:r w:rsidRPr="001563B6">
              <w:rPr>
                <w:rFonts w:ascii="Arial" w:hAnsi="Arial" w:cs="Arial"/>
                <w:sz w:val="20"/>
                <w:szCs w:val="20"/>
              </w:rPr>
              <w:t xml:space="preserve"> (30%)</w:t>
            </w:r>
          </w:p>
        </w:tc>
      </w:tr>
      <w:tr w:rsidR="00A461B0" w:rsidRPr="00817269" w14:paraId="4304915C" w14:textId="77777777" w:rsidTr="007515A4">
        <w:tc>
          <w:tcPr>
            <w:tcW w:w="1558" w:type="dxa"/>
          </w:tcPr>
          <w:p w14:paraId="78B7861E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63B6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1558" w:type="dxa"/>
          </w:tcPr>
          <w:p w14:paraId="33A136D8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63B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19" w:type="dxa"/>
          </w:tcPr>
          <w:p w14:paraId="4AC1BF61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63B6">
              <w:rPr>
                <w:rFonts w:ascii="Arial" w:hAnsi="Arial" w:cs="Arial"/>
                <w:sz w:val="20"/>
                <w:szCs w:val="20"/>
              </w:rPr>
              <w:t>3.27x10</w:t>
            </w:r>
            <w:r w:rsidRPr="001563B6">
              <w:rPr>
                <w:rFonts w:ascii="Arial" w:hAnsi="Arial" w:cs="Arial"/>
                <w:sz w:val="20"/>
                <w:szCs w:val="20"/>
                <w:vertAlign w:val="superscript"/>
              </w:rPr>
              <w:t>8</w:t>
            </w:r>
            <w:r w:rsidRPr="001563B6">
              <w:rPr>
                <w:rFonts w:ascii="Arial" w:hAnsi="Arial" w:cs="Arial"/>
                <w:sz w:val="20"/>
                <w:szCs w:val="20"/>
              </w:rPr>
              <w:t xml:space="preserve"> (65%)</w:t>
            </w:r>
          </w:p>
        </w:tc>
        <w:tc>
          <w:tcPr>
            <w:tcW w:w="1980" w:type="dxa"/>
          </w:tcPr>
          <w:p w14:paraId="05D7CDF3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63B6">
              <w:rPr>
                <w:rFonts w:ascii="Arial" w:hAnsi="Arial" w:cs="Arial"/>
                <w:sz w:val="20"/>
                <w:szCs w:val="20"/>
              </w:rPr>
              <w:t>Full</w:t>
            </w:r>
          </w:p>
        </w:tc>
      </w:tr>
      <w:tr w:rsidR="00A461B0" w:rsidRPr="00817269" w14:paraId="62BC706A" w14:textId="77777777" w:rsidTr="007515A4">
        <w:tc>
          <w:tcPr>
            <w:tcW w:w="1558" w:type="dxa"/>
          </w:tcPr>
          <w:p w14:paraId="21494519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63B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58" w:type="dxa"/>
          </w:tcPr>
          <w:p w14:paraId="12EC9F49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63B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19" w:type="dxa"/>
          </w:tcPr>
          <w:p w14:paraId="1AA766C6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63B6">
              <w:rPr>
                <w:rFonts w:ascii="Arial" w:hAnsi="Arial" w:cs="Arial"/>
                <w:sz w:val="20"/>
                <w:szCs w:val="20"/>
              </w:rPr>
              <w:t>Full</w:t>
            </w:r>
          </w:p>
        </w:tc>
        <w:tc>
          <w:tcPr>
            <w:tcW w:w="1980" w:type="dxa"/>
          </w:tcPr>
          <w:p w14:paraId="231E76B3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63B6">
              <w:rPr>
                <w:rFonts w:ascii="Arial" w:hAnsi="Arial" w:cs="Arial"/>
                <w:sz w:val="20"/>
                <w:szCs w:val="20"/>
              </w:rPr>
              <w:t>2.0x10</w:t>
            </w:r>
            <w:r w:rsidRPr="001563B6">
              <w:rPr>
                <w:rFonts w:ascii="Arial" w:hAnsi="Arial" w:cs="Arial"/>
                <w:sz w:val="20"/>
                <w:szCs w:val="20"/>
                <w:vertAlign w:val="superscript"/>
              </w:rPr>
              <w:t>8</w:t>
            </w:r>
            <w:r w:rsidRPr="001563B6">
              <w:rPr>
                <w:rFonts w:ascii="Arial" w:hAnsi="Arial" w:cs="Arial"/>
                <w:sz w:val="20"/>
                <w:szCs w:val="20"/>
              </w:rPr>
              <w:t xml:space="preserve"> (40%)</w:t>
            </w:r>
          </w:p>
        </w:tc>
      </w:tr>
      <w:tr w:rsidR="00A461B0" w:rsidRPr="00817269" w14:paraId="27C82A6D" w14:textId="77777777" w:rsidTr="007515A4">
        <w:tc>
          <w:tcPr>
            <w:tcW w:w="1558" w:type="dxa"/>
          </w:tcPr>
          <w:p w14:paraId="723185F8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63B6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558" w:type="dxa"/>
          </w:tcPr>
          <w:p w14:paraId="70ED77C6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63B6">
              <w:rPr>
                <w:rFonts w:ascii="Arial" w:hAnsi="Arial" w:cs="Arial"/>
                <w:sz w:val="20"/>
                <w:szCs w:val="20"/>
              </w:rPr>
              <w:t>B/Mono</w:t>
            </w:r>
          </w:p>
        </w:tc>
        <w:tc>
          <w:tcPr>
            <w:tcW w:w="1919" w:type="dxa"/>
          </w:tcPr>
          <w:p w14:paraId="6118CA5C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63B6">
              <w:rPr>
                <w:rFonts w:ascii="Arial" w:hAnsi="Arial" w:cs="Arial"/>
                <w:sz w:val="20"/>
                <w:szCs w:val="20"/>
              </w:rPr>
              <w:t>4.8x10</w:t>
            </w:r>
            <w:r w:rsidRPr="001563B6">
              <w:rPr>
                <w:rFonts w:ascii="Arial" w:hAnsi="Arial" w:cs="Arial"/>
                <w:sz w:val="20"/>
                <w:szCs w:val="20"/>
                <w:vertAlign w:val="superscript"/>
              </w:rPr>
              <w:t>8</w:t>
            </w:r>
            <w:r w:rsidRPr="001563B6">
              <w:rPr>
                <w:rFonts w:ascii="Arial" w:hAnsi="Arial" w:cs="Arial"/>
                <w:sz w:val="20"/>
                <w:szCs w:val="20"/>
              </w:rPr>
              <w:t xml:space="preserve"> (96%)</w:t>
            </w:r>
          </w:p>
        </w:tc>
        <w:tc>
          <w:tcPr>
            <w:tcW w:w="1980" w:type="dxa"/>
          </w:tcPr>
          <w:p w14:paraId="0F1806C3" w14:textId="77777777" w:rsidR="00A461B0" w:rsidRPr="001563B6" w:rsidRDefault="00A461B0" w:rsidP="00751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63B6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</w:tbl>
    <w:p w14:paraId="45106B4B" w14:textId="77777777" w:rsidR="00A461B0" w:rsidRPr="00B95908" w:rsidRDefault="00A461B0" w:rsidP="00A461B0">
      <w:pPr>
        <w:rPr>
          <w:b/>
          <w:bCs/>
        </w:rPr>
      </w:pPr>
    </w:p>
    <w:p w14:paraId="21F0F1F7" w14:textId="77777777" w:rsidR="00A461B0" w:rsidRDefault="00A461B0" w:rsidP="00A461B0">
      <w:pPr>
        <w:rPr>
          <w:b/>
          <w:bCs/>
        </w:rPr>
      </w:pPr>
    </w:p>
    <w:p w14:paraId="337F62C7" w14:textId="77777777" w:rsidR="00A461B0" w:rsidRDefault="00A461B0" w:rsidP="00A461B0">
      <w:pPr>
        <w:rPr>
          <w:b/>
          <w:bCs/>
        </w:rPr>
      </w:pPr>
      <w:r>
        <w:rPr>
          <w:b/>
          <w:bCs/>
        </w:rPr>
        <w:br w:type="page"/>
      </w:r>
    </w:p>
    <w:p w14:paraId="38FD4229" w14:textId="4F14ED06" w:rsidR="00A461B0" w:rsidRDefault="00514557" w:rsidP="00A461B0">
      <w:pPr>
        <w:rPr>
          <w:b/>
          <w:bCs/>
        </w:rPr>
      </w:pPr>
      <w:r>
        <w:rPr>
          <w:b/>
          <w:bCs/>
        </w:rPr>
        <w:t>Supplementary Table S</w:t>
      </w:r>
      <w:r w:rsidR="00B018EB">
        <w:rPr>
          <w:b/>
          <w:bCs/>
        </w:rPr>
        <w:t>6</w:t>
      </w:r>
      <w:r w:rsidR="00A461B0" w:rsidRPr="00B95908">
        <w:rPr>
          <w:b/>
          <w:bCs/>
        </w:rPr>
        <w:t>: Adverse events of grade 3-4</w:t>
      </w:r>
    </w:p>
    <w:p w14:paraId="66DFFEE0" w14:textId="77777777" w:rsidR="00A461B0" w:rsidRPr="00B95908" w:rsidRDefault="00A461B0" w:rsidP="00A461B0">
      <w:pPr>
        <w:rPr>
          <w:b/>
          <w:bCs/>
        </w:rPr>
      </w:pPr>
      <w:r w:rsidRPr="00400C82">
        <w:rPr>
          <w:noProof/>
        </w:rPr>
        <w:t xml:space="preserve"> </w:t>
      </w:r>
      <w:r w:rsidRPr="00400C82">
        <w:rPr>
          <w:b/>
          <w:bCs/>
          <w:noProof/>
        </w:rPr>
        <w:drawing>
          <wp:inline distT="0" distB="0" distL="0" distR="0" wp14:anchorId="1822174D" wp14:editId="6EE4B152">
            <wp:extent cx="5943600" cy="6560185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CB5D" w14:textId="56FEE5F8" w:rsidR="00A461B0" w:rsidRPr="00B95908" w:rsidRDefault="00A461B0" w:rsidP="00A461B0">
      <w:pPr>
        <w:rPr>
          <w:b/>
          <w:bCs/>
        </w:rPr>
      </w:pPr>
      <w:r>
        <w:rPr>
          <w:b/>
          <w:bCs/>
        </w:rPr>
        <w:br w:type="page"/>
      </w:r>
      <w:r w:rsidR="00514557">
        <w:rPr>
          <w:b/>
          <w:bCs/>
        </w:rPr>
        <w:t>Supplementary Table S</w:t>
      </w:r>
      <w:r w:rsidR="00B018EB">
        <w:rPr>
          <w:b/>
          <w:bCs/>
        </w:rPr>
        <w:t>7</w:t>
      </w:r>
      <w:r w:rsidRPr="00B95908">
        <w:rPr>
          <w:b/>
          <w:bCs/>
        </w:rPr>
        <w:t>: Cytokine release syndrome and ICANS</w:t>
      </w:r>
    </w:p>
    <w:p w14:paraId="09238F85" w14:textId="77777777" w:rsidR="00A461B0" w:rsidRPr="00B95908" w:rsidRDefault="00A461B0" w:rsidP="00A461B0">
      <w:pPr>
        <w:rPr>
          <w:b/>
          <w:bCs/>
        </w:rPr>
      </w:pPr>
      <w:r w:rsidRPr="00B814C1">
        <w:rPr>
          <w:b/>
          <w:bCs/>
          <w:noProof/>
        </w:rPr>
        <w:drawing>
          <wp:inline distT="0" distB="0" distL="0" distR="0" wp14:anchorId="56739A83" wp14:editId="2BFB7A05">
            <wp:extent cx="5943600" cy="38239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A7E6" w14:textId="443C6140" w:rsidR="00A461B0" w:rsidRPr="00B95908" w:rsidRDefault="00514557" w:rsidP="00A461B0">
      <w:pPr>
        <w:rPr>
          <w:b/>
          <w:bCs/>
        </w:rPr>
      </w:pPr>
      <w:r>
        <w:rPr>
          <w:b/>
          <w:bCs/>
        </w:rPr>
        <w:t>Supplementary Table S</w:t>
      </w:r>
      <w:r w:rsidR="00B018EB">
        <w:rPr>
          <w:b/>
          <w:bCs/>
        </w:rPr>
        <w:t>8</w:t>
      </w:r>
      <w:r w:rsidR="00A461B0" w:rsidRPr="00B95908">
        <w:rPr>
          <w:b/>
          <w:bCs/>
        </w:rPr>
        <w:t>: Maintenance therapy</w:t>
      </w:r>
    </w:p>
    <w:p w14:paraId="6F470070" w14:textId="77777777" w:rsidR="00A461B0" w:rsidRPr="00B95908" w:rsidRDefault="00A461B0" w:rsidP="00A461B0">
      <w:pPr>
        <w:rPr>
          <w:b/>
          <w:bCs/>
        </w:rPr>
      </w:pPr>
      <w:r w:rsidRPr="00691138">
        <w:rPr>
          <w:b/>
          <w:bCs/>
          <w:noProof/>
        </w:rPr>
        <w:drawing>
          <wp:inline distT="0" distB="0" distL="0" distR="0" wp14:anchorId="6984D0E7" wp14:editId="274F2BE0">
            <wp:extent cx="5943600" cy="265430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B962" w14:textId="77777777" w:rsidR="00A461B0" w:rsidRDefault="00A461B0" w:rsidP="00A461B0">
      <w:pPr>
        <w:rPr>
          <w:b/>
          <w:bCs/>
        </w:rPr>
      </w:pPr>
      <w:r>
        <w:rPr>
          <w:b/>
          <w:bCs/>
        </w:rPr>
        <w:br w:type="page"/>
      </w:r>
    </w:p>
    <w:p w14:paraId="6DDDC847" w14:textId="2EFA4323" w:rsidR="00A0151E" w:rsidRDefault="008544B6">
      <w:pPr>
        <w:rPr>
          <w:b/>
          <w:bCs/>
        </w:rPr>
      </w:pPr>
      <w:r>
        <w:rPr>
          <w:b/>
          <w:bCs/>
        </w:rPr>
        <w:t>Supplementary Figure S</w:t>
      </w:r>
      <w:r w:rsidR="00A0151E">
        <w:rPr>
          <w:b/>
          <w:bCs/>
        </w:rPr>
        <w:t>1</w:t>
      </w:r>
    </w:p>
    <w:p w14:paraId="0950F291" w14:textId="77777777" w:rsidR="00DC5898" w:rsidRDefault="00A0151E">
      <w:pPr>
        <w:rPr>
          <w:b/>
          <w:bCs/>
        </w:rPr>
      </w:pPr>
      <w:r w:rsidRPr="00A0151E">
        <w:rPr>
          <w:b/>
          <w:bCs/>
          <w:noProof/>
        </w:rPr>
        <w:drawing>
          <wp:inline distT="0" distB="0" distL="0" distR="0" wp14:anchorId="45FD77FD" wp14:editId="79DEDE4F">
            <wp:extent cx="5943600" cy="5514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E1947" w14:textId="77777777" w:rsidR="00DC5898" w:rsidRDefault="00DC5898">
      <w:pPr>
        <w:rPr>
          <w:b/>
          <w:bCs/>
        </w:rPr>
      </w:pPr>
    </w:p>
    <w:p w14:paraId="3D76B614" w14:textId="411E0492" w:rsidR="00DC5898" w:rsidRDefault="008544B6" w:rsidP="00DC5898">
      <w:r>
        <w:rPr>
          <w:b/>
          <w:bCs/>
        </w:rPr>
        <w:t>Supplementary Figure S</w:t>
      </w:r>
      <w:r w:rsidR="00DC5898" w:rsidRPr="00B95908">
        <w:rPr>
          <w:b/>
          <w:bCs/>
        </w:rPr>
        <w:t xml:space="preserve">1: Study schematic and subject disposition. </w:t>
      </w:r>
      <w:r w:rsidR="00DC5898" w:rsidRPr="00B95908">
        <w:t xml:space="preserve">(A) Diagram of study interventions and patient populations. (B) Disposition of all subjects who signed consent to participate and initiated screening procedures. </w:t>
      </w:r>
    </w:p>
    <w:p w14:paraId="4646F354" w14:textId="01766A71" w:rsidR="00A0151E" w:rsidRDefault="00A0151E">
      <w:pPr>
        <w:rPr>
          <w:b/>
          <w:bCs/>
        </w:rPr>
      </w:pPr>
      <w:r>
        <w:rPr>
          <w:b/>
          <w:bCs/>
        </w:rPr>
        <w:br w:type="page"/>
      </w:r>
    </w:p>
    <w:p w14:paraId="3B815847" w14:textId="64FB7340" w:rsidR="00FB6FBE" w:rsidRDefault="008544B6" w:rsidP="00FB6FBE">
      <w:pPr>
        <w:rPr>
          <w:b/>
          <w:bCs/>
        </w:rPr>
      </w:pPr>
      <w:r>
        <w:rPr>
          <w:b/>
          <w:bCs/>
        </w:rPr>
        <w:t>Supplementary Figure S</w:t>
      </w:r>
      <w:r w:rsidR="00DC5898">
        <w:rPr>
          <w:b/>
          <w:bCs/>
        </w:rPr>
        <w:t>2</w:t>
      </w:r>
    </w:p>
    <w:p w14:paraId="6C247DF2" w14:textId="07290AFD" w:rsidR="00FB6FBE" w:rsidRDefault="009B38B9" w:rsidP="00FB6FBE">
      <w:pPr>
        <w:rPr>
          <w:b/>
          <w:bCs/>
        </w:rPr>
      </w:pPr>
      <w:r w:rsidRPr="009B38B9">
        <w:rPr>
          <w:b/>
          <w:bCs/>
          <w:noProof/>
        </w:rPr>
        <w:drawing>
          <wp:inline distT="0" distB="0" distL="0" distR="0" wp14:anchorId="3F166D23" wp14:editId="5A659C46">
            <wp:extent cx="4330700" cy="2044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526B" w14:textId="26F7640A" w:rsidR="009B38B9" w:rsidRDefault="009B38B9" w:rsidP="00FB6FBE">
      <w:pPr>
        <w:rPr>
          <w:b/>
          <w:bCs/>
        </w:rPr>
      </w:pPr>
    </w:p>
    <w:p w14:paraId="7BC5933E" w14:textId="0670610F" w:rsidR="009B38B9" w:rsidRDefault="008544B6" w:rsidP="00FB6FBE">
      <w:r>
        <w:rPr>
          <w:b/>
          <w:bCs/>
        </w:rPr>
        <w:t>Supplementary Figure S</w:t>
      </w:r>
      <w:r w:rsidR="009B38B9">
        <w:rPr>
          <w:b/>
          <w:bCs/>
        </w:rPr>
        <w:t>2</w:t>
      </w:r>
      <w:r w:rsidR="009B38B9" w:rsidRPr="00B95908">
        <w:rPr>
          <w:b/>
          <w:bCs/>
        </w:rPr>
        <w:t xml:space="preserve">: Correlates of manufacturing success. </w:t>
      </w:r>
      <w:r w:rsidR="009B38B9" w:rsidRPr="00B95908">
        <w:t xml:space="preserve">Comparison of CD4/CD8 ratio in the leukapheresis product used for CAR T cell manufacturing and AUCs through day 28 post-infusion between subjects in whom the full CAR T cell dose was and was not manufactured. Groups were compared using the Wilcoxon rank-sum test. </w:t>
      </w:r>
    </w:p>
    <w:p w14:paraId="4DD8FCF1" w14:textId="186C7A67" w:rsidR="009B38B9" w:rsidRDefault="009B38B9" w:rsidP="00FB6FBE"/>
    <w:p w14:paraId="373F0D62" w14:textId="0C692884" w:rsidR="009B38B9" w:rsidRDefault="008544B6" w:rsidP="009B38B9">
      <w:pPr>
        <w:rPr>
          <w:b/>
          <w:bCs/>
        </w:rPr>
      </w:pPr>
      <w:r>
        <w:rPr>
          <w:b/>
          <w:bCs/>
        </w:rPr>
        <w:t>Supplementary Figure S</w:t>
      </w:r>
      <w:r w:rsidR="009B38B9">
        <w:rPr>
          <w:b/>
          <w:bCs/>
        </w:rPr>
        <w:t>3</w:t>
      </w:r>
    </w:p>
    <w:p w14:paraId="08F13B53" w14:textId="77777777" w:rsidR="009B38B9" w:rsidRDefault="009B38B9" w:rsidP="009B38B9">
      <w:pPr>
        <w:rPr>
          <w:b/>
          <w:bCs/>
        </w:rPr>
      </w:pPr>
      <w:r w:rsidRPr="000D57F2">
        <w:rPr>
          <w:b/>
          <w:bCs/>
          <w:noProof/>
        </w:rPr>
        <w:drawing>
          <wp:inline distT="0" distB="0" distL="0" distR="0" wp14:anchorId="549D0C8B" wp14:editId="27F717E6">
            <wp:extent cx="5943600" cy="2731770"/>
            <wp:effectExtent l="0" t="0" r="0" b="0"/>
            <wp:docPr id="15" name="Picture 1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scatter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DA703" w14:textId="7FF6F3A2" w:rsidR="009B38B9" w:rsidRPr="00B95908" w:rsidRDefault="008544B6" w:rsidP="009B38B9">
      <w:r>
        <w:rPr>
          <w:b/>
          <w:bCs/>
        </w:rPr>
        <w:t>Supplementary Figure S</w:t>
      </w:r>
      <w:r w:rsidR="009B38B9">
        <w:rPr>
          <w:b/>
          <w:bCs/>
        </w:rPr>
        <w:t>3</w:t>
      </w:r>
      <w:r w:rsidR="009B38B9" w:rsidRPr="00B95908">
        <w:rPr>
          <w:b/>
          <w:bCs/>
        </w:rPr>
        <w:t xml:space="preserve">: Hematopoietic recovery. </w:t>
      </w:r>
      <w:r w:rsidR="009B38B9" w:rsidRPr="00B95908">
        <w:t xml:space="preserve">Trend in absolute neutrophil and platelet counts pre- and post-infusion. Red line indicates median. </w:t>
      </w:r>
    </w:p>
    <w:p w14:paraId="547CD8FC" w14:textId="77777777" w:rsidR="009B38B9" w:rsidRPr="00B95908" w:rsidRDefault="009B38B9" w:rsidP="009B38B9"/>
    <w:p w14:paraId="14A07486" w14:textId="0C57BD29" w:rsidR="009B38B9" w:rsidRDefault="009B38B9" w:rsidP="00FB6FBE">
      <w:pPr>
        <w:rPr>
          <w:b/>
          <w:bCs/>
        </w:rPr>
      </w:pPr>
    </w:p>
    <w:p w14:paraId="4F00AB2B" w14:textId="2B3A2E19" w:rsidR="00FB6FBE" w:rsidRPr="00B95908" w:rsidRDefault="00FB6FBE" w:rsidP="00FB6FBE">
      <w:r w:rsidRPr="00B95908">
        <w:t xml:space="preserve"> </w:t>
      </w:r>
    </w:p>
    <w:p w14:paraId="491EBE8F" w14:textId="77777777" w:rsidR="00FB6FBE" w:rsidRDefault="00FB6FBE">
      <w:pPr>
        <w:rPr>
          <w:b/>
          <w:bCs/>
        </w:rPr>
      </w:pPr>
      <w:r>
        <w:rPr>
          <w:b/>
          <w:bCs/>
        </w:rPr>
        <w:br w:type="page"/>
      </w:r>
    </w:p>
    <w:p w14:paraId="05BAF06F" w14:textId="1444E54E" w:rsidR="00A461B0" w:rsidRDefault="008544B6" w:rsidP="00A461B0">
      <w:pPr>
        <w:rPr>
          <w:b/>
          <w:bCs/>
        </w:rPr>
      </w:pPr>
      <w:r>
        <w:rPr>
          <w:b/>
          <w:bCs/>
        </w:rPr>
        <w:t>Supplementary Figure S</w:t>
      </w:r>
      <w:r w:rsidR="009B38B9">
        <w:rPr>
          <w:b/>
          <w:bCs/>
        </w:rPr>
        <w:t>4</w:t>
      </w:r>
    </w:p>
    <w:p w14:paraId="6FA6813A" w14:textId="77777777" w:rsidR="00A461B0" w:rsidRDefault="00A461B0" w:rsidP="00A461B0">
      <w:pPr>
        <w:rPr>
          <w:b/>
          <w:bCs/>
        </w:rPr>
      </w:pPr>
      <w:r w:rsidRPr="0079477B">
        <w:rPr>
          <w:noProof/>
        </w:rPr>
        <w:t xml:space="preserve"> </w:t>
      </w:r>
      <w:r w:rsidRPr="0079477B">
        <w:rPr>
          <w:b/>
          <w:bCs/>
          <w:noProof/>
        </w:rPr>
        <w:drawing>
          <wp:inline distT="0" distB="0" distL="0" distR="0" wp14:anchorId="0B5CF420" wp14:editId="080E31F1">
            <wp:extent cx="5943600" cy="6186805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88308" w14:textId="368C0296" w:rsidR="00A461B0" w:rsidRPr="00B95908" w:rsidRDefault="008544B6" w:rsidP="00A461B0">
      <w:pPr>
        <w:rPr>
          <w:b/>
          <w:bCs/>
        </w:rPr>
      </w:pPr>
      <w:r>
        <w:rPr>
          <w:b/>
          <w:bCs/>
        </w:rPr>
        <w:t>Supplementary Figure S</w:t>
      </w:r>
      <w:r w:rsidR="009B38B9">
        <w:rPr>
          <w:b/>
          <w:bCs/>
        </w:rPr>
        <w:t>4</w:t>
      </w:r>
      <w:r w:rsidR="00A461B0" w:rsidRPr="00B95908">
        <w:rPr>
          <w:b/>
          <w:bCs/>
        </w:rPr>
        <w:t xml:space="preserve">: Post-infusion T cell phenotypes. </w:t>
      </w:r>
      <w:r w:rsidR="00A461B0" w:rsidRPr="00B95908">
        <w:t xml:space="preserve">(A) Percentage of T cells that were either CD4+ CART-BCMA+ or CD8+ CART-BCMA+ in each subject and (B) percentage of T cells that were CART-BCMA+ (solid line) and CART-BCMA+ HLA-DR+ (dashed line) in each subject by flow cytometry on peripheral blood mononuclear cells. </w:t>
      </w:r>
    </w:p>
    <w:p w14:paraId="7E87B892" w14:textId="77777777" w:rsidR="00A461B0" w:rsidRPr="00B95908" w:rsidRDefault="00A461B0" w:rsidP="00A461B0">
      <w:pPr>
        <w:rPr>
          <w:b/>
          <w:bCs/>
        </w:rPr>
      </w:pPr>
    </w:p>
    <w:p w14:paraId="7207506B" w14:textId="77777777" w:rsidR="009B38B9" w:rsidRDefault="009B38B9" w:rsidP="009B38B9">
      <w:pPr>
        <w:rPr>
          <w:b/>
          <w:bCs/>
        </w:rPr>
      </w:pPr>
    </w:p>
    <w:p w14:paraId="1DA502D2" w14:textId="77777777" w:rsidR="009B38B9" w:rsidRDefault="009B38B9" w:rsidP="009B38B9">
      <w:pPr>
        <w:rPr>
          <w:b/>
          <w:bCs/>
        </w:rPr>
      </w:pPr>
    </w:p>
    <w:p w14:paraId="583083E6" w14:textId="77777777" w:rsidR="009B38B9" w:rsidRDefault="009B38B9" w:rsidP="009B38B9">
      <w:pPr>
        <w:rPr>
          <w:b/>
          <w:bCs/>
        </w:rPr>
      </w:pPr>
    </w:p>
    <w:p w14:paraId="42035ABB" w14:textId="6219E3B7" w:rsidR="009B38B9" w:rsidRDefault="008544B6" w:rsidP="009B38B9">
      <w:pPr>
        <w:rPr>
          <w:b/>
          <w:bCs/>
        </w:rPr>
      </w:pPr>
      <w:r>
        <w:rPr>
          <w:b/>
          <w:bCs/>
        </w:rPr>
        <w:t>Supplementary Figure S</w:t>
      </w:r>
      <w:r w:rsidR="009B38B9">
        <w:rPr>
          <w:b/>
          <w:bCs/>
        </w:rPr>
        <w:t>5</w:t>
      </w:r>
    </w:p>
    <w:p w14:paraId="65BBFB0E" w14:textId="70171EBE" w:rsidR="009B38B9" w:rsidRDefault="009B38B9" w:rsidP="009B38B9">
      <w:pPr>
        <w:rPr>
          <w:b/>
          <w:bCs/>
        </w:rPr>
      </w:pPr>
      <w:r w:rsidRPr="009B38B9">
        <w:rPr>
          <w:b/>
          <w:bCs/>
          <w:noProof/>
        </w:rPr>
        <w:drawing>
          <wp:inline distT="0" distB="0" distL="0" distR="0" wp14:anchorId="0D7FDA3A" wp14:editId="7CE39CE9">
            <wp:extent cx="3962400" cy="4737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C41B" w14:textId="78136A64" w:rsidR="00A461B0" w:rsidRDefault="008544B6" w:rsidP="009B38B9">
      <w:pPr>
        <w:rPr>
          <w:b/>
          <w:bCs/>
        </w:rPr>
      </w:pPr>
      <w:r>
        <w:rPr>
          <w:b/>
          <w:bCs/>
        </w:rPr>
        <w:t>Supplementary Figure S</w:t>
      </w:r>
      <w:r w:rsidR="009B38B9">
        <w:rPr>
          <w:b/>
          <w:bCs/>
        </w:rPr>
        <w:t xml:space="preserve">5: </w:t>
      </w:r>
      <w:r w:rsidR="009B38B9" w:rsidRPr="00B95908">
        <w:rPr>
          <w:b/>
          <w:bCs/>
        </w:rPr>
        <w:t xml:space="preserve">Correlates of in vivo expansion and manufacturing success. </w:t>
      </w:r>
      <w:r w:rsidR="009B38B9" w:rsidRPr="00B95908">
        <w:t>(</w:t>
      </w:r>
      <w:r w:rsidR="009B38B9">
        <w:t>A</w:t>
      </w:r>
      <w:r w:rsidR="009B38B9" w:rsidRPr="00B95908">
        <w:t>) Scatter plot of CART-BCMA AUC through day 28 and bone marrow plasma cell burden pre-infusion on bone marrow core biopsy. (</w:t>
      </w:r>
      <w:r w:rsidR="009B38B9">
        <w:t>B</w:t>
      </w:r>
      <w:r w:rsidR="009B38B9" w:rsidRPr="00B95908">
        <w:t xml:space="preserve">) Comparison of CART-BCMA and huCART19 AUC through day 28 between subjects who received all available CAR T cell doses (“No”) and those in whom the third CAR T cell infusion (60% dose) was not given due to early cytokine release syndrome (“Yes”). Groups were compared using the Wilcoxon rank-sum test. </w:t>
      </w:r>
      <w:r w:rsidR="00A461B0">
        <w:rPr>
          <w:b/>
          <w:bCs/>
        </w:rPr>
        <w:br w:type="page"/>
      </w:r>
    </w:p>
    <w:p w14:paraId="16BCB5D9" w14:textId="4CCCA965" w:rsidR="00A461B0" w:rsidRDefault="008544B6" w:rsidP="00A461B0">
      <w:pPr>
        <w:rPr>
          <w:b/>
          <w:bCs/>
        </w:rPr>
      </w:pPr>
      <w:r>
        <w:rPr>
          <w:b/>
          <w:bCs/>
        </w:rPr>
        <w:t>Supplementary Figure S</w:t>
      </w:r>
      <w:r w:rsidR="009B38B9">
        <w:rPr>
          <w:b/>
          <w:bCs/>
        </w:rPr>
        <w:t>6</w:t>
      </w:r>
    </w:p>
    <w:p w14:paraId="6098F5DC" w14:textId="77777777" w:rsidR="00A461B0" w:rsidRDefault="00A461B0" w:rsidP="00A461B0">
      <w:pPr>
        <w:rPr>
          <w:b/>
          <w:bCs/>
        </w:rPr>
      </w:pPr>
      <w:r w:rsidRPr="00176501">
        <w:rPr>
          <w:b/>
          <w:bCs/>
          <w:noProof/>
        </w:rPr>
        <w:drawing>
          <wp:inline distT="0" distB="0" distL="0" distR="0" wp14:anchorId="3D544342" wp14:editId="64A4FFFC">
            <wp:extent cx="5943600" cy="77069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E351" w14:textId="16E49EB2" w:rsidR="00A461B0" w:rsidRPr="00B95908" w:rsidRDefault="008544B6" w:rsidP="00A461B0">
      <w:r>
        <w:rPr>
          <w:b/>
          <w:bCs/>
        </w:rPr>
        <w:t>Supplementary Figure S</w:t>
      </w:r>
      <w:r w:rsidR="009B38B9">
        <w:rPr>
          <w:b/>
          <w:bCs/>
        </w:rPr>
        <w:t>6</w:t>
      </w:r>
      <w:r w:rsidR="00A461B0" w:rsidRPr="00B95908">
        <w:rPr>
          <w:b/>
          <w:bCs/>
        </w:rPr>
        <w:t xml:space="preserve">: Late post-infusion CAR T cell re-expansion. </w:t>
      </w:r>
      <w:r w:rsidR="00A461B0" w:rsidRPr="00B95908">
        <w:t xml:space="preserve">(A) Flow cytometry detection of CART-BCMA and huCART19 in subject 34 (who only received CART-BCMA) at 2- and 3-months post-infusion showing increase in CART-BCMA frequency at the 3-month timepoint. Analysis is pre-gated on T cells. (B) CART-BCMA AUC through day 28 (left) and peak CART-BCMA levels (right) based on qPCR for vector sequences in subjects who did and did not exhibit increases in CART-BCMA levels between 2- and 3-months post-infusion. Groups are compared using the Wilcoxon rank-sum test. </w:t>
      </w:r>
    </w:p>
    <w:p w14:paraId="5A4997EE" w14:textId="77777777" w:rsidR="00A461B0" w:rsidRPr="00B95908" w:rsidRDefault="00A461B0" w:rsidP="00A461B0"/>
    <w:p w14:paraId="545668D1" w14:textId="77777777" w:rsidR="00A461B0" w:rsidRDefault="00A461B0" w:rsidP="00A461B0">
      <w:pPr>
        <w:rPr>
          <w:b/>
          <w:bCs/>
        </w:rPr>
      </w:pPr>
      <w:r>
        <w:rPr>
          <w:b/>
          <w:bCs/>
        </w:rPr>
        <w:br w:type="page"/>
      </w:r>
    </w:p>
    <w:p w14:paraId="11FFEE39" w14:textId="7580FC57" w:rsidR="00A461B0" w:rsidRDefault="008544B6" w:rsidP="00A461B0">
      <w:pPr>
        <w:rPr>
          <w:b/>
          <w:bCs/>
        </w:rPr>
      </w:pPr>
      <w:r>
        <w:rPr>
          <w:b/>
          <w:bCs/>
        </w:rPr>
        <w:t>Supplementary Figure S</w:t>
      </w:r>
      <w:r w:rsidR="00FE563B">
        <w:rPr>
          <w:b/>
          <w:bCs/>
        </w:rPr>
        <w:t>7</w:t>
      </w:r>
    </w:p>
    <w:p w14:paraId="2262C172" w14:textId="77777777" w:rsidR="00A461B0" w:rsidRDefault="00A461B0" w:rsidP="00A461B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FD4B8D" wp14:editId="1848345F">
            <wp:extent cx="5943600" cy="5943600"/>
            <wp:effectExtent l="0" t="0" r="0" b="0"/>
            <wp:docPr id="20" name="Picture 2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, engineering draw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409DB" w14:textId="515197A2" w:rsidR="00A461B0" w:rsidRPr="00B95908" w:rsidRDefault="008544B6" w:rsidP="00A461B0">
      <w:r>
        <w:rPr>
          <w:b/>
          <w:bCs/>
        </w:rPr>
        <w:t>Supplementary Figure S</w:t>
      </w:r>
      <w:r w:rsidR="00FE563B">
        <w:rPr>
          <w:b/>
          <w:bCs/>
        </w:rPr>
        <w:t>7</w:t>
      </w:r>
      <w:r w:rsidR="00A461B0" w:rsidRPr="00B95908">
        <w:rPr>
          <w:b/>
          <w:bCs/>
        </w:rPr>
        <w:t xml:space="preserve">: Soluble BCMA. </w:t>
      </w:r>
      <w:r w:rsidR="00A461B0" w:rsidRPr="00B95908">
        <w:t xml:space="preserve">Soluble BCMA levels as measured by ELISA in each subject at pre- and post-infusion timepoints. Shaded box indicates normal range for soluble BCMA in this assay based on mean +/- 2*SEM from a sample of 19 normal donors. Dashed vertical line indicates day of disease progression for subjects who have progressed. </w:t>
      </w:r>
    </w:p>
    <w:p w14:paraId="4D1AEF6C" w14:textId="77777777" w:rsidR="00A461B0" w:rsidRPr="00B95908" w:rsidRDefault="00A461B0" w:rsidP="00A461B0"/>
    <w:p w14:paraId="1D5FEC69" w14:textId="77777777" w:rsidR="00A461B0" w:rsidRDefault="00A461B0" w:rsidP="00A461B0">
      <w:pPr>
        <w:rPr>
          <w:b/>
          <w:bCs/>
        </w:rPr>
      </w:pPr>
      <w:r>
        <w:rPr>
          <w:b/>
          <w:bCs/>
        </w:rPr>
        <w:br w:type="page"/>
      </w:r>
    </w:p>
    <w:p w14:paraId="03FD3A63" w14:textId="391C84E7" w:rsidR="00A461B0" w:rsidRDefault="008544B6" w:rsidP="00A461B0">
      <w:pPr>
        <w:rPr>
          <w:b/>
          <w:bCs/>
        </w:rPr>
      </w:pPr>
      <w:r>
        <w:rPr>
          <w:b/>
          <w:bCs/>
        </w:rPr>
        <w:t>Supplementary Figure S</w:t>
      </w:r>
      <w:r w:rsidR="006D039D">
        <w:rPr>
          <w:b/>
          <w:bCs/>
        </w:rPr>
        <w:t>8</w:t>
      </w:r>
    </w:p>
    <w:p w14:paraId="24B58AF5" w14:textId="77777777" w:rsidR="00A461B0" w:rsidRDefault="00A461B0" w:rsidP="00A461B0">
      <w:pPr>
        <w:rPr>
          <w:b/>
          <w:bCs/>
        </w:rPr>
      </w:pPr>
      <w:r w:rsidRPr="00176501">
        <w:rPr>
          <w:b/>
          <w:bCs/>
          <w:noProof/>
        </w:rPr>
        <w:drawing>
          <wp:inline distT="0" distB="0" distL="0" distR="0" wp14:anchorId="250DD351" wp14:editId="1E7083C0">
            <wp:extent cx="3477970" cy="705280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2263" cy="708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AC2C" w14:textId="77777777" w:rsidR="00A461B0" w:rsidRDefault="00A461B0" w:rsidP="00A461B0">
      <w:pPr>
        <w:rPr>
          <w:b/>
          <w:bCs/>
        </w:rPr>
      </w:pPr>
    </w:p>
    <w:p w14:paraId="25FA05A7" w14:textId="6976714D" w:rsidR="00A461B0" w:rsidRPr="00B95908" w:rsidRDefault="008544B6" w:rsidP="00A461B0">
      <w:r>
        <w:rPr>
          <w:b/>
          <w:bCs/>
        </w:rPr>
        <w:t>Supplementary Figure S</w:t>
      </w:r>
      <w:r w:rsidR="006D039D">
        <w:rPr>
          <w:b/>
          <w:bCs/>
        </w:rPr>
        <w:t>8</w:t>
      </w:r>
      <w:r w:rsidR="00A461B0" w:rsidRPr="00B95908">
        <w:rPr>
          <w:b/>
          <w:bCs/>
        </w:rPr>
        <w:t xml:space="preserve">: </w:t>
      </w:r>
      <w:r w:rsidR="00A461B0" w:rsidRPr="00B95908">
        <w:t>Pre-study and on-study disease markers (</w:t>
      </w:r>
      <w:r w:rsidR="00045A5B">
        <w:t>pink</w:t>
      </w:r>
      <w:r w:rsidR="00A461B0" w:rsidRPr="00B95908">
        <w:t xml:space="preserve">) in additional subjects who exhibited late-onset clinical response after initiating maintenance therapy. Blue lines indicate CART-BCMA levels by qPCR for vector sequences. </w:t>
      </w:r>
    </w:p>
    <w:p w14:paraId="03B7A034" w14:textId="77777777" w:rsidR="00A461B0" w:rsidRPr="00B95908" w:rsidRDefault="00A461B0" w:rsidP="00A461B0"/>
    <w:p w14:paraId="368997C6" w14:textId="21172260" w:rsidR="00A461B0" w:rsidRDefault="008544B6" w:rsidP="00A461B0">
      <w:pPr>
        <w:rPr>
          <w:b/>
          <w:bCs/>
        </w:rPr>
      </w:pPr>
      <w:r>
        <w:rPr>
          <w:b/>
          <w:bCs/>
        </w:rPr>
        <w:t>Supplementary Figure S</w:t>
      </w:r>
      <w:r w:rsidR="006D039D">
        <w:rPr>
          <w:b/>
          <w:bCs/>
        </w:rPr>
        <w:t>9</w:t>
      </w:r>
    </w:p>
    <w:p w14:paraId="57905933" w14:textId="77777777" w:rsidR="00A461B0" w:rsidRDefault="00A461B0" w:rsidP="00A461B0">
      <w:pPr>
        <w:rPr>
          <w:b/>
          <w:bCs/>
        </w:rPr>
      </w:pPr>
      <w:r w:rsidRPr="00F771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7B0E80" wp14:editId="54E835B7">
            <wp:extent cx="6133808" cy="7675123"/>
            <wp:effectExtent l="0" t="0" r="635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4877" cy="770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E44D" w14:textId="664B006F" w:rsidR="00A461B0" w:rsidRPr="00B95908" w:rsidRDefault="008544B6" w:rsidP="00A461B0">
      <w:r>
        <w:rPr>
          <w:b/>
          <w:bCs/>
        </w:rPr>
        <w:t>Supplementary Figure S</w:t>
      </w:r>
      <w:r w:rsidR="006D039D">
        <w:rPr>
          <w:b/>
          <w:bCs/>
        </w:rPr>
        <w:t>9</w:t>
      </w:r>
      <w:r w:rsidR="00A461B0" w:rsidRPr="00B95908">
        <w:rPr>
          <w:b/>
          <w:bCs/>
        </w:rPr>
        <w:t xml:space="preserve">: </w:t>
      </w:r>
      <w:r w:rsidR="00A461B0" w:rsidRPr="00B95908">
        <w:t xml:space="preserve">(A) BCMA MFI on T cells in both the BCMA FMO (left) and full panel (right) from pre-treatment bone marrow aspirates from the prior phase 1 study of CART-BCMA and the current study. </w:t>
      </w:r>
      <w:r w:rsidR="00A461B0">
        <w:t xml:space="preserve">(B) Per-subject correlation of BCMA MFI on myeloma cells from the original sequential analysis of freshly acquired aspirates with BCMA antibody-binding capacity (BCMA ABC) obtained from flow cytometry performed in parallel on cryopreserved aspirates from subjects with available cryopreserved specimens. (C) Comparison of BCMA ABC on pre-treatment multiple myeloma cells from the prior phase 1 study and current study, as assessed by parallel flow cytometry on cryopreserved bone marrow aspirates from subjects with available cryopreserved specimens. </w:t>
      </w:r>
      <w:r w:rsidR="00A461B0" w:rsidRPr="00B95908">
        <w:t>(</w:t>
      </w:r>
      <w:r w:rsidR="00A461B0">
        <w:t>D</w:t>
      </w:r>
      <w:r w:rsidR="00A461B0" w:rsidRPr="00B95908">
        <w:t xml:space="preserve">) Correlation of BCMA expression scores as assessed by in situ hybridization and immunohistochemistry on multiple myeloma cells visualized on pre-treatment bone marrow core biopsies. </w:t>
      </w:r>
    </w:p>
    <w:p w14:paraId="37D53198" w14:textId="77777777" w:rsidR="00A461B0" w:rsidRPr="00B95908" w:rsidRDefault="00A461B0" w:rsidP="00A461B0"/>
    <w:p w14:paraId="08DC62F9" w14:textId="77777777" w:rsidR="00A461B0" w:rsidRDefault="00A461B0" w:rsidP="00A461B0">
      <w:pPr>
        <w:rPr>
          <w:b/>
          <w:bCs/>
        </w:rPr>
      </w:pPr>
      <w:r>
        <w:rPr>
          <w:b/>
          <w:bCs/>
        </w:rPr>
        <w:br w:type="page"/>
      </w:r>
    </w:p>
    <w:p w14:paraId="09CD9A44" w14:textId="0924BA1E" w:rsidR="00A461B0" w:rsidRDefault="008544B6" w:rsidP="00A461B0">
      <w:pPr>
        <w:rPr>
          <w:b/>
          <w:bCs/>
        </w:rPr>
      </w:pPr>
      <w:r>
        <w:rPr>
          <w:b/>
          <w:bCs/>
        </w:rPr>
        <w:t>Supplementary Figure S</w:t>
      </w:r>
      <w:r w:rsidR="00A54E91">
        <w:rPr>
          <w:b/>
          <w:bCs/>
        </w:rPr>
        <w:t>10</w:t>
      </w:r>
    </w:p>
    <w:p w14:paraId="2FA3D1D6" w14:textId="77777777" w:rsidR="00A461B0" w:rsidRDefault="00A461B0" w:rsidP="00A461B0">
      <w:pPr>
        <w:rPr>
          <w:b/>
          <w:bCs/>
        </w:rPr>
      </w:pPr>
      <w:r w:rsidRPr="00224ACC">
        <w:rPr>
          <w:b/>
          <w:bCs/>
          <w:noProof/>
        </w:rPr>
        <w:drawing>
          <wp:inline distT="0" distB="0" distL="0" distR="0" wp14:anchorId="6B6198ED" wp14:editId="1A34A812">
            <wp:extent cx="5943600" cy="779462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BBE2" w14:textId="0F83E1D3" w:rsidR="00A461B0" w:rsidRPr="00B95908" w:rsidRDefault="008544B6" w:rsidP="00A461B0">
      <w:r>
        <w:rPr>
          <w:b/>
          <w:bCs/>
        </w:rPr>
        <w:t>Supplementary Figure S</w:t>
      </w:r>
      <w:r w:rsidR="00A54E91">
        <w:rPr>
          <w:b/>
          <w:bCs/>
        </w:rPr>
        <w:t>10</w:t>
      </w:r>
      <w:r w:rsidR="00A461B0" w:rsidRPr="00B95908">
        <w:rPr>
          <w:b/>
          <w:bCs/>
        </w:rPr>
        <w:t xml:space="preserve">: Pre- and post-treatment Sox2-specific T cell responses in CART-BCMA monotherapy patients. </w:t>
      </w:r>
      <w:r w:rsidR="00A461B0" w:rsidRPr="00B95908">
        <w:t xml:space="preserve">Results of interferon-gamma ELISpot assays from PBMCs stimulated with pooled Sox2 peptides vs media control. Horizontal bar depicts mean. The comparison of spot counts between the peptide-stimulated and media controls was made using a one-sided Wilcoxon rank-sum test; a response was considered present if counts in the peptide-stimulated well were higher with a p-value ≤0.05 and is indicated by a red asterisk. </w:t>
      </w:r>
    </w:p>
    <w:p w14:paraId="68F5AF55" w14:textId="77777777" w:rsidR="00A461B0" w:rsidRPr="00B95908" w:rsidRDefault="00A461B0" w:rsidP="00A461B0"/>
    <w:p w14:paraId="34542EBD" w14:textId="77777777" w:rsidR="00A461B0" w:rsidRDefault="00A461B0" w:rsidP="00A461B0">
      <w:pPr>
        <w:rPr>
          <w:b/>
          <w:bCs/>
        </w:rPr>
      </w:pPr>
      <w:r>
        <w:rPr>
          <w:b/>
          <w:bCs/>
        </w:rPr>
        <w:br w:type="page"/>
      </w:r>
    </w:p>
    <w:p w14:paraId="1C91E0DA" w14:textId="7B505C04" w:rsidR="00A461B0" w:rsidRDefault="008544B6" w:rsidP="00A461B0">
      <w:pPr>
        <w:rPr>
          <w:b/>
          <w:bCs/>
        </w:rPr>
      </w:pPr>
      <w:r>
        <w:rPr>
          <w:b/>
          <w:bCs/>
        </w:rPr>
        <w:t>Supplementary Figure S</w:t>
      </w:r>
      <w:r w:rsidR="00A54E91">
        <w:rPr>
          <w:b/>
          <w:bCs/>
        </w:rPr>
        <w:t>11</w:t>
      </w:r>
    </w:p>
    <w:p w14:paraId="236BDD05" w14:textId="77777777" w:rsidR="00A461B0" w:rsidRDefault="00A461B0" w:rsidP="00A461B0">
      <w:pPr>
        <w:rPr>
          <w:b/>
          <w:bCs/>
        </w:rPr>
      </w:pPr>
      <w:r w:rsidRPr="00224ACC">
        <w:rPr>
          <w:b/>
          <w:bCs/>
          <w:noProof/>
        </w:rPr>
        <w:drawing>
          <wp:inline distT="0" distB="0" distL="0" distR="0" wp14:anchorId="71208AA2" wp14:editId="08736FBA">
            <wp:extent cx="5943600" cy="77946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C9C7" w14:textId="3D01D917" w:rsidR="00A461B0" w:rsidRDefault="008544B6" w:rsidP="00A461B0">
      <w:r>
        <w:rPr>
          <w:b/>
          <w:bCs/>
        </w:rPr>
        <w:t>Supplementary Figure S</w:t>
      </w:r>
      <w:r w:rsidR="00A54E91">
        <w:rPr>
          <w:b/>
          <w:bCs/>
        </w:rPr>
        <w:t>11</w:t>
      </w:r>
      <w:r w:rsidR="00A461B0" w:rsidRPr="00B95908">
        <w:rPr>
          <w:b/>
          <w:bCs/>
        </w:rPr>
        <w:t xml:space="preserve">: Pre- and post-treatment Sox2-specific T cell responses in CART-BCMA </w:t>
      </w:r>
      <w:r w:rsidR="00A461B0">
        <w:rPr>
          <w:b/>
          <w:bCs/>
        </w:rPr>
        <w:t>+</w:t>
      </w:r>
      <w:r w:rsidR="00A461B0" w:rsidRPr="00B95908">
        <w:rPr>
          <w:b/>
          <w:bCs/>
        </w:rPr>
        <w:t xml:space="preserve"> huCART19 combination therapy patients. </w:t>
      </w:r>
      <w:r w:rsidR="00A461B0" w:rsidRPr="00B95908">
        <w:t>Results of interferon-gamma ELISpot assays from PBMCs stimulated with pooled Sox2 peptides vs media control. Horizontal bar depicts mean. The comparison of spot counts between the peptide-stimulated and media controls was made using a one-sided Wilcoxon rank-sum test; a response was considered present if counts in the peptide-stimulated well were higher with a p-value ≤0.05 and is indicated by a red asterisk.</w:t>
      </w:r>
    </w:p>
    <w:p w14:paraId="44EBC3A4" w14:textId="77777777" w:rsidR="00A461B0" w:rsidRDefault="00A461B0" w:rsidP="00A461B0">
      <w:pPr>
        <w:rPr>
          <w:b/>
          <w:bCs/>
        </w:rPr>
      </w:pPr>
    </w:p>
    <w:p w14:paraId="23BD373B" w14:textId="77777777" w:rsidR="00A461B0" w:rsidRPr="00B95908" w:rsidRDefault="00A461B0" w:rsidP="00A461B0">
      <w:pPr>
        <w:rPr>
          <w:b/>
          <w:bCs/>
        </w:rPr>
      </w:pPr>
    </w:p>
    <w:p w14:paraId="2CFCA54E" w14:textId="77777777" w:rsidR="00A461B0" w:rsidRPr="00F8604D" w:rsidRDefault="00A461B0" w:rsidP="00A461B0"/>
    <w:p w14:paraId="22DFA73D" w14:textId="31DB8C33" w:rsidR="00A54E91" w:rsidRDefault="00A54E91">
      <w:pPr>
        <w:rPr>
          <w:b/>
          <w:bCs/>
        </w:rPr>
      </w:pPr>
      <w:r>
        <w:rPr>
          <w:b/>
          <w:bCs/>
        </w:rPr>
        <w:br w:type="page"/>
      </w:r>
    </w:p>
    <w:p w14:paraId="288E0165" w14:textId="0563732D" w:rsidR="00A54E91" w:rsidRDefault="008544B6" w:rsidP="00A54E91">
      <w:pPr>
        <w:rPr>
          <w:b/>
          <w:bCs/>
        </w:rPr>
      </w:pPr>
      <w:r>
        <w:rPr>
          <w:b/>
          <w:bCs/>
        </w:rPr>
        <w:t>Supplementary Figure S</w:t>
      </w:r>
      <w:r w:rsidR="00A54E91">
        <w:rPr>
          <w:b/>
          <w:bCs/>
        </w:rPr>
        <w:t>12</w:t>
      </w:r>
    </w:p>
    <w:p w14:paraId="6AD85422" w14:textId="77777777" w:rsidR="00A54E91" w:rsidRDefault="00A54E91" w:rsidP="00A54E91">
      <w:pPr>
        <w:rPr>
          <w:b/>
          <w:bCs/>
        </w:rPr>
      </w:pPr>
      <w:r w:rsidRPr="00A54E91">
        <w:rPr>
          <w:b/>
          <w:bCs/>
          <w:noProof/>
        </w:rPr>
        <w:drawing>
          <wp:inline distT="0" distB="0" distL="0" distR="0" wp14:anchorId="647678AD" wp14:editId="30006C66">
            <wp:extent cx="5943600" cy="5713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9165" w14:textId="5346427D" w:rsidR="00A54E91" w:rsidRPr="00B95908" w:rsidRDefault="008544B6" w:rsidP="00A54E91">
      <w:r>
        <w:rPr>
          <w:b/>
          <w:bCs/>
        </w:rPr>
        <w:t>Supplementary Figure S</w:t>
      </w:r>
      <w:r w:rsidR="00A54E91">
        <w:rPr>
          <w:b/>
          <w:bCs/>
        </w:rPr>
        <w:t>12:</w:t>
      </w:r>
      <w:r w:rsidR="00A54E91" w:rsidRPr="00B95908">
        <w:rPr>
          <w:b/>
          <w:bCs/>
        </w:rPr>
        <w:t xml:space="preserve"> Sustained post-treatment </w:t>
      </w:r>
      <w:r w:rsidR="00A54E91" w:rsidRPr="00A80E67">
        <w:rPr>
          <w:b/>
          <w:bCs/>
        </w:rPr>
        <w:t>SOX2</w:t>
      </w:r>
      <w:r w:rsidR="00A54E91" w:rsidRPr="00B95908">
        <w:rPr>
          <w:b/>
          <w:bCs/>
        </w:rPr>
        <w:t>-specific T</w:t>
      </w:r>
      <w:r w:rsidR="00A54E91">
        <w:rPr>
          <w:b/>
          <w:bCs/>
        </w:rPr>
        <w:t>-</w:t>
      </w:r>
      <w:r w:rsidR="00A54E91" w:rsidRPr="00B95908">
        <w:rPr>
          <w:b/>
          <w:bCs/>
        </w:rPr>
        <w:t xml:space="preserve">cell responses. </w:t>
      </w:r>
      <w:r w:rsidR="00A54E91" w:rsidRPr="00B95908">
        <w:t xml:space="preserve">(A) Spot-counts from interferon-gamma ELISpot assays from PBMCs stimulated with pooled </w:t>
      </w:r>
      <w:r w:rsidR="00A54E91" w:rsidRPr="00A80E67">
        <w:t>SOX2</w:t>
      </w:r>
      <w:r w:rsidR="00A54E91" w:rsidRPr="00B95908">
        <w:t>peptides, after subtraction of background (indicated by the media-only control) at baseline (0m) or post-treatment timepoints in four subjects who lacked response at baseline but exhibited response at ≥2 post-treatment timepoints (indicated by red asterisks based on comparisons between peptide-stimulated and media controls as detailed in Figures S8 and S9); timepoints varied between subjects due to availability of adequate PBMCs and missed collections in some patients due to the COVID19 pandemic.</w:t>
      </w:r>
      <w:r w:rsidR="00A54E91">
        <w:t xml:space="preserve"> (B) Trend in multiple myeloma disease marker (serum M-spike or serum free light chain) normalized to baseline in subjects with (red) or without (blue) sustained post-treatment </w:t>
      </w:r>
      <w:r w:rsidR="00A54E91" w:rsidRPr="00A80E67">
        <w:t>SOX2</w:t>
      </w:r>
      <w:r w:rsidR="00A54E91">
        <w:t xml:space="preserve">-specific T-cell response among Phase B subjects with ongoing progression-free survival. </w:t>
      </w:r>
    </w:p>
    <w:p w14:paraId="4E9E4370" w14:textId="77777777" w:rsidR="00A461B0" w:rsidRPr="00A461B0" w:rsidRDefault="00A461B0">
      <w:pPr>
        <w:rPr>
          <w:b/>
          <w:bCs/>
        </w:rPr>
      </w:pPr>
    </w:p>
    <w:sectPr w:rsidR="00A461B0" w:rsidRPr="00A461B0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9D45D" w14:textId="77777777" w:rsidR="00A20D7C" w:rsidRDefault="00A20D7C" w:rsidP="00A461B0">
      <w:r>
        <w:separator/>
      </w:r>
    </w:p>
  </w:endnote>
  <w:endnote w:type="continuationSeparator" w:id="0">
    <w:p w14:paraId="36FE3644" w14:textId="77777777" w:rsidR="00A20D7C" w:rsidRDefault="00A20D7C" w:rsidP="00A46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4F034" w14:textId="77777777" w:rsidR="00A20D7C" w:rsidRDefault="00A20D7C" w:rsidP="00A461B0">
      <w:r>
        <w:separator/>
      </w:r>
    </w:p>
  </w:footnote>
  <w:footnote w:type="continuationSeparator" w:id="0">
    <w:p w14:paraId="75A2C8DE" w14:textId="77777777" w:rsidR="00A20D7C" w:rsidRDefault="00A20D7C" w:rsidP="00A46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49AE7" w14:textId="306679B4" w:rsidR="00A461B0" w:rsidRDefault="00A461B0" w:rsidP="00A461B0">
    <w:proofErr w:type="spellStart"/>
    <w:r>
      <w:t>Garfall</w:t>
    </w:r>
    <w:proofErr w:type="spellEnd"/>
    <w:r>
      <w:t xml:space="preserve"> et al., CART-BCMA + huCART19 for myeloma patients responding to therapy</w:t>
    </w:r>
  </w:p>
  <w:p w14:paraId="6657B246" w14:textId="67D1AFB3" w:rsidR="00A461B0" w:rsidRPr="00A461B0" w:rsidRDefault="00A461B0" w:rsidP="00A461B0">
    <w:r>
      <w:t>Supplemental 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B0"/>
    <w:rsid w:val="00045A5B"/>
    <w:rsid w:val="000E5DFB"/>
    <w:rsid w:val="001E0276"/>
    <w:rsid w:val="0021475F"/>
    <w:rsid w:val="00241F24"/>
    <w:rsid w:val="002B219F"/>
    <w:rsid w:val="003310D0"/>
    <w:rsid w:val="0038055D"/>
    <w:rsid w:val="00383FA5"/>
    <w:rsid w:val="00420BD1"/>
    <w:rsid w:val="004E066E"/>
    <w:rsid w:val="004E2C2B"/>
    <w:rsid w:val="0051313E"/>
    <w:rsid w:val="00514557"/>
    <w:rsid w:val="005C3951"/>
    <w:rsid w:val="005D3D76"/>
    <w:rsid w:val="006D039D"/>
    <w:rsid w:val="00747430"/>
    <w:rsid w:val="00811B9A"/>
    <w:rsid w:val="008544B6"/>
    <w:rsid w:val="008721FF"/>
    <w:rsid w:val="00950624"/>
    <w:rsid w:val="009920A4"/>
    <w:rsid w:val="009B38B9"/>
    <w:rsid w:val="00A0151E"/>
    <w:rsid w:val="00A20D7C"/>
    <w:rsid w:val="00A461B0"/>
    <w:rsid w:val="00A54E91"/>
    <w:rsid w:val="00AE01A1"/>
    <w:rsid w:val="00B018EB"/>
    <w:rsid w:val="00B82DB3"/>
    <w:rsid w:val="00BF211A"/>
    <w:rsid w:val="00BF5B08"/>
    <w:rsid w:val="00D54FD3"/>
    <w:rsid w:val="00D90A33"/>
    <w:rsid w:val="00DC5898"/>
    <w:rsid w:val="00E63753"/>
    <w:rsid w:val="00EA0E32"/>
    <w:rsid w:val="00F226E5"/>
    <w:rsid w:val="00F80715"/>
    <w:rsid w:val="00FB6FBE"/>
    <w:rsid w:val="00FE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31DD0"/>
  <w15:chartTrackingRefBased/>
  <w15:docId w15:val="{1D8C0D24-5396-C741-86FB-57BFB7262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61B0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61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61B0"/>
  </w:style>
  <w:style w:type="paragraph" w:styleId="Footer">
    <w:name w:val="footer"/>
    <w:basedOn w:val="Normal"/>
    <w:link w:val="FooterChar"/>
    <w:uiPriority w:val="99"/>
    <w:unhideWhenUsed/>
    <w:rsid w:val="00A461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6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22</Pages>
  <Words>1215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 Garfall</dc:creator>
  <cp:keywords/>
  <dc:description/>
  <cp:lastModifiedBy>Lin, Ingrid</cp:lastModifiedBy>
  <cp:revision>12</cp:revision>
  <cp:lastPrinted>2022-09-10T03:36:00Z</cp:lastPrinted>
  <dcterms:created xsi:type="dcterms:W3CDTF">2022-09-10T03:34:00Z</dcterms:created>
  <dcterms:modified xsi:type="dcterms:W3CDTF">2022-11-09T16:28:00Z</dcterms:modified>
</cp:coreProperties>
</file>