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269BD" w14:textId="01F1C197" w:rsidR="00FF75AF" w:rsidRPr="00FE5CD2" w:rsidRDefault="00FF75AF" w:rsidP="00FF75AF">
      <w:pPr>
        <w:spacing w:line="240" w:lineRule="auto"/>
        <w:jc w:val="center"/>
        <w:rPr>
          <w:b/>
          <w:bCs/>
          <w:sz w:val="32"/>
          <w:szCs w:val="32"/>
          <w:lang w:val="en-US"/>
        </w:rPr>
      </w:pPr>
      <w:r w:rsidRPr="00FE5CD2">
        <w:rPr>
          <w:b/>
          <w:bCs/>
          <w:sz w:val="32"/>
          <w:szCs w:val="32"/>
          <w:lang w:val="en-US"/>
        </w:rPr>
        <w:t>Adult low hypodiploid acute lymphoblastic leukemia</w:t>
      </w:r>
      <w:r w:rsidRPr="00FE5CD2">
        <w:rPr>
          <w:b/>
          <w:bCs/>
          <w:i/>
          <w:sz w:val="32"/>
          <w:szCs w:val="32"/>
          <w:lang w:val="en-US"/>
        </w:rPr>
        <w:t xml:space="preserve"> </w:t>
      </w:r>
      <w:r w:rsidRPr="00FE5CD2">
        <w:rPr>
          <w:b/>
          <w:bCs/>
          <w:iCs/>
          <w:sz w:val="32"/>
          <w:szCs w:val="32"/>
          <w:lang w:val="en-US"/>
        </w:rPr>
        <w:t xml:space="preserve">emerges from pre-leukemic </w:t>
      </w:r>
      <w:r w:rsidRPr="00FE5CD2">
        <w:rPr>
          <w:b/>
          <w:bCs/>
          <w:i/>
          <w:sz w:val="32"/>
          <w:szCs w:val="32"/>
          <w:lang w:val="en-US"/>
        </w:rPr>
        <w:t>TP53</w:t>
      </w:r>
      <w:r w:rsidRPr="00FE5CD2">
        <w:rPr>
          <w:b/>
          <w:bCs/>
          <w:sz w:val="32"/>
          <w:szCs w:val="32"/>
          <w:lang w:val="en-US"/>
        </w:rPr>
        <w:t>-mutant clonal hematopoiesis</w:t>
      </w:r>
    </w:p>
    <w:p w14:paraId="454D92FE" w14:textId="77777777" w:rsidR="00C80E14" w:rsidRPr="00FE5CD2" w:rsidRDefault="00C80E14">
      <w:pPr>
        <w:rPr>
          <w:lang w:val="en-US"/>
        </w:rPr>
      </w:pPr>
    </w:p>
    <w:p w14:paraId="4C0CE2F4" w14:textId="77777777" w:rsidR="00240740" w:rsidRPr="00FE5CD2" w:rsidRDefault="00252119">
      <w:pPr>
        <w:rPr>
          <w:lang w:val="en-US"/>
        </w:rPr>
      </w:pPr>
      <w:proofErr w:type="spellStart"/>
      <w:r w:rsidRPr="00FE5CD2">
        <w:rPr>
          <w:lang w:val="en-US"/>
        </w:rPr>
        <w:t>Rathana</w:t>
      </w:r>
      <w:proofErr w:type="spellEnd"/>
      <w:r w:rsidRPr="00FE5CD2">
        <w:rPr>
          <w:lang w:val="en-US"/>
        </w:rPr>
        <w:t xml:space="preserve"> Kim et al.</w:t>
      </w:r>
    </w:p>
    <w:p w14:paraId="256B8BD3" w14:textId="77777777" w:rsidR="00252119" w:rsidRPr="00FE5CD2" w:rsidRDefault="00252119">
      <w:pPr>
        <w:rPr>
          <w:lang w:val="en-US"/>
        </w:rPr>
      </w:pPr>
    </w:p>
    <w:p w14:paraId="29DFE7AF" w14:textId="77777777" w:rsidR="00252119" w:rsidRPr="00FE5CD2" w:rsidRDefault="00252119" w:rsidP="00252119">
      <w:pPr>
        <w:rPr>
          <w:b/>
          <w:sz w:val="32"/>
          <w:szCs w:val="32"/>
          <w:lang w:val="en-US"/>
        </w:rPr>
      </w:pPr>
      <w:r w:rsidRPr="00FE5CD2">
        <w:rPr>
          <w:b/>
          <w:sz w:val="32"/>
          <w:szCs w:val="32"/>
          <w:lang w:val="en-US"/>
        </w:rPr>
        <w:t>Supplementary data</w:t>
      </w:r>
    </w:p>
    <w:p w14:paraId="4DDB6647" w14:textId="77777777" w:rsidR="00C80E14" w:rsidRPr="00FE5CD2" w:rsidRDefault="00C80E14">
      <w:pPr>
        <w:spacing w:after="160" w:line="259" w:lineRule="auto"/>
        <w:rPr>
          <w:b/>
          <w:sz w:val="28"/>
          <w:lang w:val="en-US"/>
        </w:rPr>
      </w:pPr>
    </w:p>
    <w:p w14:paraId="74EF8BB4" w14:textId="77777777" w:rsidR="00687CD7" w:rsidRPr="00FE5CD2" w:rsidRDefault="004002AC">
      <w:pPr>
        <w:spacing w:after="160" w:line="259" w:lineRule="auto"/>
        <w:rPr>
          <w:b/>
          <w:sz w:val="28"/>
          <w:lang w:val="en-US"/>
        </w:rPr>
      </w:pPr>
      <w:r w:rsidRPr="00FE5CD2">
        <w:rPr>
          <w:b/>
          <w:sz w:val="28"/>
          <w:lang w:val="en-US"/>
        </w:rPr>
        <w:t>Supplementary Figures</w:t>
      </w:r>
    </w:p>
    <w:p w14:paraId="24CF7765" w14:textId="04C57F49" w:rsidR="004002AC" w:rsidRPr="00FE5CD2" w:rsidRDefault="004002AC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1. </w:t>
      </w:r>
      <w:r w:rsidR="00FF75AF" w:rsidRPr="00FE5CD2">
        <w:rPr>
          <w:b/>
          <w:lang w:val="en-US"/>
        </w:rPr>
        <w:t>Sequencing</w:t>
      </w:r>
      <w:r w:rsidR="00A46D60" w:rsidRPr="00FE5CD2">
        <w:rPr>
          <w:b/>
          <w:lang w:val="en-US"/>
        </w:rPr>
        <w:t>-based analysis of CNA and LOH in adult LH-ALL</w:t>
      </w:r>
      <w:r w:rsidR="00AE3532" w:rsidRPr="00FE5CD2">
        <w:rPr>
          <w:b/>
          <w:lang w:val="en-US"/>
        </w:rPr>
        <w:t>.</w:t>
      </w:r>
    </w:p>
    <w:p w14:paraId="46243309" w14:textId="77777777" w:rsidR="00E97F8A" w:rsidRPr="00FE5CD2" w:rsidRDefault="004B1494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figure 2.</w:t>
      </w:r>
      <w:r w:rsidR="00AE3532" w:rsidRPr="00FE5CD2">
        <w:rPr>
          <w:b/>
          <w:lang w:val="en-US"/>
        </w:rPr>
        <w:t xml:space="preserve"> </w:t>
      </w:r>
      <w:r w:rsidR="00E97F8A" w:rsidRPr="00FE5CD2">
        <w:rPr>
          <w:b/>
          <w:lang w:val="en-US"/>
        </w:rPr>
        <w:t xml:space="preserve">Representation of mutations in the frequent targeted genes in adult LH-ALL. </w:t>
      </w:r>
    </w:p>
    <w:p w14:paraId="75C6B5D6" w14:textId="77777777" w:rsidR="004B1494" w:rsidRPr="00FE5CD2" w:rsidRDefault="004B1494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figure 3.</w:t>
      </w:r>
      <w:r w:rsidR="00AE3532" w:rsidRPr="00FE5CD2">
        <w:rPr>
          <w:b/>
          <w:lang w:val="en-US"/>
        </w:rPr>
        <w:t xml:space="preserve"> </w:t>
      </w:r>
      <w:r w:rsidR="00E97F8A" w:rsidRPr="00FE5CD2">
        <w:rPr>
          <w:b/>
          <w:lang w:val="en-US" w:eastAsia="fr-FR"/>
        </w:rPr>
        <w:t xml:space="preserve">Longitudinal assessment of </w:t>
      </w:r>
      <w:r w:rsidR="00E97F8A" w:rsidRPr="00FE5CD2">
        <w:rPr>
          <w:b/>
          <w:i/>
          <w:lang w:val="en-US" w:eastAsia="fr-FR"/>
        </w:rPr>
        <w:t>TP53</w:t>
      </w:r>
      <w:r w:rsidR="00E97F8A" w:rsidRPr="00FE5CD2">
        <w:rPr>
          <w:b/>
          <w:lang w:val="en-US" w:eastAsia="fr-FR"/>
        </w:rPr>
        <w:t xml:space="preserve">-mutant cell fraction as determined by </w:t>
      </w:r>
      <w:proofErr w:type="spellStart"/>
      <w:r w:rsidR="00E97F8A" w:rsidRPr="00FE5CD2">
        <w:rPr>
          <w:b/>
          <w:lang w:val="en-US" w:eastAsia="fr-FR"/>
        </w:rPr>
        <w:t>ddPCR</w:t>
      </w:r>
      <w:proofErr w:type="spellEnd"/>
      <w:r w:rsidR="00E97F8A" w:rsidRPr="00FE5CD2">
        <w:rPr>
          <w:b/>
          <w:lang w:val="en-US" w:eastAsia="fr-FR"/>
        </w:rPr>
        <w:t xml:space="preserve"> along with clonal </w:t>
      </w:r>
      <w:r w:rsidR="00E97F8A" w:rsidRPr="00FE5CD2">
        <w:rPr>
          <w:b/>
          <w:i/>
          <w:lang w:val="en-US" w:eastAsia="fr-FR"/>
        </w:rPr>
        <w:t>IG/TR</w:t>
      </w:r>
      <w:r w:rsidR="00E97F8A" w:rsidRPr="00FE5CD2">
        <w:rPr>
          <w:b/>
          <w:iCs/>
          <w:lang w:val="en-US" w:eastAsia="fr-FR"/>
        </w:rPr>
        <w:t>-based</w:t>
      </w:r>
      <w:r w:rsidR="00E97F8A" w:rsidRPr="00FE5CD2">
        <w:rPr>
          <w:b/>
          <w:lang w:val="en-US" w:eastAsia="fr-FR"/>
        </w:rPr>
        <w:t xml:space="preserve"> MRD quantification in three patients with undetectable </w:t>
      </w:r>
      <w:r w:rsidR="00E97F8A" w:rsidRPr="00FE5CD2">
        <w:rPr>
          <w:b/>
          <w:i/>
          <w:lang w:val="en-US" w:eastAsia="fr-FR"/>
        </w:rPr>
        <w:t>TP53</w:t>
      </w:r>
      <w:r w:rsidR="00E97F8A" w:rsidRPr="00FE5CD2">
        <w:rPr>
          <w:b/>
          <w:lang w:val="en-US" w:eastAsia="fr-FR"/>
        </w:rPr>
        <w:t xml:space="preserve"> mutation at remission. </w:t>
      </w:r>
    </w:p>
    <w:p w14:paraId="08BD2000" w14:textId="1157D720" w:rsidR="001701E0" w:rsidRPr="00FE5CD2" w:rsidRDefault="001701E0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4. Merged single-cell analysis of cell-surface markers by ADT-sequencing of remission samples from three LH-ALL patients. </w:t>
      </w:r>
    </w:p>
    <w:p w14:paraId="7885B10F" w14:textId="4F1D0D11" w:rsidR="001701E0" w:rsidRPr="00FE5CD2" w:rsidRDefault="001701E0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5. Individual single-cell analyses of cell-surface markers by ADT-sequencing of remission samples from three LH-ALL patients. </w:t>
      </w:r>
    </w:p>
    <w:p w14:paraId="12C0C2B0" w14:textId="77777777" w:rsidR="001701E0" w:rsidRPr="00FE5CD2" w:rsidRDefault="001701E0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6. Individual analyses of single-cell immunophenotyping and genotyping of remission samples from three LH-ALL patients. </w:t>
      </w:r>
    </w:p>
    <w:p w14:paraId="4AEBC6D8" w14:textId="77777777" w:rsidR="001701E0" w:rsidRPr="00FE5CD2" w:rsidRDefault="001701E0" w:rsidP="00046063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7. Evaluation of allelic dropout rate on heterozygous single nucleotide polymorphism (SNPs) in remission samples. </w:t>
      </w:r>
    </w:p>
    <w:p w14:paraId="2BAC0294" w14:textId="77777777" w:rsidR="001701E0" w:rsidRPr="00FE5CD2" w:rsidRDefault="001701E0" w:rsidP="00E97F8A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8. Individual single-cell analysis of cell-surface markers by ADT-sequencing of diagnosis samples from three LH-ALL patients. </w:t>
      </w:r>
    </w:p>
    <w:p w14:paraId="6BA5C115" w14:textId="7A38C7E6" w:rsidR="001701E0" w:rsidRPr="00FE5CD2" w:rsidRDefault="001701E0" w:rsidP="001701E0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9. Single-cell genotyping of heterozygous SNPs allowing LOH assessment in diagnosis samples from three LH-ALL patients. </w:t>
      </w:r>
    </w:p>
    <w:p w14:paraId="648FCB28" w14:textId="5072818D" w:rsidR="001701E0" w:rsidRPr="00FE5CD2" w:rsidRDefault="001701E0" w:rsidP="001701E0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10. Distribution of single-cell genotypes of two LH-ALL patients with persistent </w:t>
      </w:r>
      <w:r w:rsidRPr="00FE5CD2">
        <w:rPr>
          <w:b/>
          <w:i/>
          <w:lang w:val="en-US"/>
        </w:rPr>
        <w:t>TP53</w:t>
      </w:r>
      <w:r w:rsidRPr="00FE5CD2">
        <w:rPr>
          <w:b/>
          <w:lang w:val="en-US"/>
        </w:rPr>
        <w:t xml:space="preserve"> and </w:t>
      </w:r>
      <w:r w:rsidRPr="00FE5CD2">
        <w:rPr>
          <w:b/>
          <w:i/>
          <w:lang w:val="en-US"/>
        </w:rPr>
        <w:t>JAK2</w:t>
      </w:r>
      <w:r w:rsidRPr="00FE5CD2">
        <w:rPr>
          <w:b/>
          <w:lang w:val="en-US"/>
        </w:rPr>
        <w:t xml:space="preserve"> (EI_046) or </w:t>
      </w:r>
      <w:r w:rsidRPr="00FE5CD2">
        <w:rPr>
          <w:b/>
          <w:i/>
          <w:lang w:val="en-US"/>
        </w:rPr>
        <w:t>DNMT3A</w:t>
      </w:r>
      <w:r w:rsidRPr="00FE5CD2">
        <w:rPr>
          <w:b/>
          <w:lang w:val="en-US"/>
        </w:rPr>
        <w:t xml:space="preserve"> (EI_035) mutations in remission samples.</w:t>
      </w:r>
    </w:p>
    <w:p w14:paraId="7617F69C" w14:textId="535AFC59" w:rsidR="00D06767" w:rsidRPr="00FE5CD2" w:rsidRDefault="00D06767">
      <w:pPr>
        <w:spacing w:after="160" w:line="259" w:lineRule="auto"/>
        <w:rPr>
          <w:b/>
          <w:sz w:val="28"/>
          <w:lang w:val="en-US"/>
        </w:rPr>
      </w:pPr>
      <w:r w:rsidRPr="00FE5CD2">
        <w:rPr>
          <w:b/>
          <w:sz w:val="28"/>
          <w:lang w:val="en-US"/>
        </w:rPr>
        <w:br w:type="page"/>
      </w:r>
    </w:p>
    <w:p w14:paraId="532F05B6" w14:textId="6C46E04E" w:rsidR="00EC2AC7" w:rsidRPr="00FE5CD2" w:rsidRDefault="00252119">
      <w:pPr>
        <w:spacing w:after="160" w:line="259" w:lineRule="auto"/>
        <w:rPr>
          <w:b/>
          <w:sz w:val="28"/>
          <w:lang w:val="en-US"/>
        </w:rPr>
      </w:pPr>
      <w:r w:rsidRPr="00FE5CD2">
        <w:rPr>
          <w:b/>
          <w:sz w:val="28"/>
          <w:lang w:val="en-US"/>
        </w:rPr>
        <w:lastRenderedPageBreak/>
        <w:t>Supplementary T</w:t>
      </w:r>
      <w:r w:rsidR="004002AC" w:rsidRPr="00FE5CD2">
        <w:rPr>
          <w:b/>
          <w:sz w:val="28"/>
          <w:lang w:val="en-US"/>
        </w:rPr>
        <w:t>ables (see attached file)</w:t>
      </w:r>
    </w:p>
    <w:p w14:paraId="03EA39DF" w14:textId="0F84B383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1. Karyotypes of LH-ALL patients at diagnosis</w:t>
      </w:r>
    </w:p>
    <w:p w14:paraId="70E7649B" w14:textId="79841796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2. Somatic variants detected in LH-ALL patients at diagnosis</w:t>
      </w:r>
    </w:p>
    <w:p w14:paraId="5B89C1E9" w14:textId="3D8499CE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3. ARCH related variants detected in LH-ALL patients at remission</w:t>
      </w:r>
    </w:p>
    <w:p w14:paraId="230D5ADD" w14:textId="6B2564E1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4. Minimal residual disease values of remission samples used for mutation analysis</w:t>
      </w:r>
    </w:p>
    <w:p w14:paraId="149BE9B4" w14:textId="7CA02E4C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5. Somatic alterations in cell populations from diagnostic samples (BMMC) based on single-cell analyses</w:t>
      </w:r>
    </w:p>
    <w:p w14:paraId="281D1D7C" w14:textId="7C425860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6. Somatic alterations in FACS-sorted cell populations from diagnostic samples</w:t>
      </w:r>
    </w:p>
    <w:p w14:paraId="18455131" w14:textId="2EADD792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7. Panel of genes for targeted sequencing</w:t>
      </w:r>
    </w:p>
    <w:p w14:paraId="5E33BD26" w14:textId="4642581F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8. Single cell DNA amplicons for genotyping and LOH analyses</w:t>
      </w:r>
    </w:p>
    <w:p w14:paraId="53F86B7A" w14:textId="5E1FF834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Table 9. Single cell DNA amplicons for B-ALL </w:t>
      </w:r>
      <w:proofErr w:type="spellStart"/>
      <w:r w:rsidRPr="00FE5CD2">
        <w:rPr>
          <w:b/>
          <w:lang w:val="en-US"/>
        </w:rPr>
        <w:t>clono</w:t>
      </w:r>
      <w:proofErr w:type="spellEnd"/>
      <w:r w:rsidRPr="00FE5CD2">
        <w:rPr>
          <w:b/>
          <w:lang w:val="en-US"/>
        </w:rPr>
        <w:t>-specific IG/TR detection</w:t>
      </w:r>
    </w:p>
    <w:p w14:paraId="0B81BFE1" w14:textId="655BC5E9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10. ADT-seq panel and spike-in antibod</w:t>
      </w:r>
      <w:r w:rsidR="008754AA" w:rsidRPr="00FE5CD2">
        <w:rPr>
          <w:b/>
          <w:lang w:val="en-US"/>
        </w:rPr>
        <w:t>ies</w:t>
      </w:r>
    </w:p>
    <w:p w14:paraId="1286591A" w14:textId="22581BD4" w:rsidR="00AF451E" w:rsidRPr="00FE5CD2" w:rsidRDefault="00AF451E" w:rsidP="0097679C">
      <w:pPr>
        <w:spacing w:after="240" w:line="240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Table 11. Single cell sequencing metrics</w:t>
      </w:r>
    </w:p>
    <w:p w14:paraId="7157556F" w14:textId="2B234A68" w:rsidR="00EC2AC7" w:rsidRPr="00FE5CD2" w:rsidRDefault="00EC2AC7" w:rsidP="0097679C">
      <w:pPr>
        <w:spacing w:after="240" w:line="240" w:lineRule="auto"/>
        <w:jc w:val="both"/>
        <w:rPr>
          <w:b/>
          <w:sz w:val="28"/>
          <w:lang w:val="en-US"/>
        </w:rPr>
      </w:pPr>
      <w:r w:rsidRPr="00FE5CD2">
        <w:rPr>
          <w:b/>
          <w:sz w:val="28"/>
          <w:lang w:val="en-US"/>
        </w:rPr>
        <w:br w:type="page"/>
      </w:r>
    </w:p>
    <w:p w14:paraId="4047492F" w14:textId="4050F0BD" w:rsidR="00691543" w:rsidRPr="00FE5CD2" w:rsidRDefault="00313D56" w:rsidP="00E20864">
      <w:pPr>
        <w:jc w:val="both"/>
        <w:rPr>
          <w:b/>
          <w:lang w:val="en-US"/>
        </w:rPr>
      </w:pPr>
      <w:r w:rsidRPr="00313D56">
        <w:rPr>
          <w:b/>
          <w:noProof/>
          <w:lang w:val="en-US"/>
        </w:rPr>
        <w:lastRenderedPageBreak/>
        <w:pict w14:anchorId="10B00F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38.65pt;height:593.35pt;mso-width-percent:0;mso-height-percent:0;mso-width-percent:0;mso-height-percent:0">
            <v:imagedata r:id="rId4" o:title="FigureS1" croptop="3963f"/>
          </v:shape>
        </w:pict>
      </w:r>
    </w:p>
    <w:p w14:paraId="09CF7202" w14:textId="5F6D1A32" w:rsidR="00691543" w:rsidRPr="00FE5CD2" w:rsidRDefault="00691543" w:rsidP="00A46D60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1. </w:t>
      </w:r>
      <w:r w:rsidR="00FF75AF" w:rsidRPr="00FE5CD2">
        <w:rPr>
          <w:b/>
          <w:lang w:val="en-US"/>
        </w:rPr>
        <w:t>Sequencing</w:t>
      </w:r>
      <w:r w:rsidR="00A46D60" w:rsidRPr="00FE5CD2">
        <w:rPr>
          <w:b/>
          <w:lang w:val="en-US"/>
        </w:rPr>
        <w:t>-based analysis of CNA and LOH in adult LH-ALL.</w:t>
      </w:r>
      <w:r w:rsidR="00E20864" w:rsidRPr="00FE5CD2">
        <w:rPr>
          <w:b/>
          <w:lang w:val="en-US"/>
        </w:rPr>
        <w:t xml:space="preserve"> </w:t>
      </w:r>
      <w:r w:rsidR="00E20864" w:rsidRPr="00FE5CD2">
        <w:rPr>
          <w:lang w:val="en-US"/>
        </w:rPr>
        <w:t xml:space="preserve">(A) </w:t>
      </w:r>
      <w:r w:rsidR="00FF75AF" w:rsidRPr="00FE5CD2">
        <w:rPr>
          <w:lang w:val="en-US"/>
        </w:rPr>
        <w:t>Sequencing</w:t>
      </w:r>
      <w:r w:rsidR="00A46D60" w:rsidRPr="00FE5CD2">
        <w:rPr>
          <w:lang w:val="en-US"/>
        </w:rPr>
        <w:t>-</w:t>
      </w:r>
      <w:r w:rsidR="00FF75AF" w:rsidRPr="00FE5CD2">
        <w:rPr>
          <w:lang w:val="en-US"/>
        </w:rPr>
        <w:t>b</w:t>
      </w:r>
      <w:r w:rsidR="00A46D60" w:rsidRPr="00FE5CD2">
        <w:rPr>
          <w:lang w:val="en-US"/>
        </w:rPr>
        <w:t>ased asses</w:t>
      </w:r>
      <w:r w:rsidR="00E20864" w:rsidRPr="00FE5CD2">
        <w:rPr>
          <w:lang w:val="en-US"/>
        </w:rPr>
        <w:t xml:space="preserve">sment of CNA using </w:t>
      </w:r>
      <w:proofErr w:type="spellStart"/>
      <w:r w:rsidR="00E20864" w:rsidRPr="00FE5CD2">
        <w:rPr>
          <w:lang w:val="en-US"/>
        </w:rPr>
        <w:t>Viscap</w:t>
      </w:r>
      <w:proofErr w:type="spellEnd"/>
      <w:r w:rsidR="00E20864" w:rsidRPr="00FE5CD2">
        <w:rPr>
          <w:lang w:val="en-US"/>
        </w:rPr>
        <w:t xml:space="preserve"> tool for three representative cases: low hypodiploid</w:t>
      </w:r>
      <w:r w:rsidR="00A46D60" w:rsidRPr="00FE5CD2">
        <w:rPr>
          <w:lang w:val="en-US"/>
        </w:rPr>
        <w:t xml:space="preserve"> (left)</w:t>
      </w:r>
      <w:r w:rsidR="00E20864" w:rsidRPr="00FE5CD2">
        <w:rPr>
          <w:lang w:val="en-US"/>
        </w:rPr>
        <w:t xml:space="preserve">, duplicated low hypodiploid </w:t>
      </w:r>
      <w:r w:rsidR="00A46D60" w:rsidRPr="00FE5CD2">
        <w:rPr>
          <w:lang w:val="en-US"/>
        </w:rPr>
        <w:t xml:space="preserve">(middle) </w:t>
      </w:r>
      <w:r w:rsidR="00E20864" w:rsidRPr="00FE5CD2">
        <w:rPr>
          <w:lang w:val="en-US"/>
        </w:rPr>
        <w:t xml:space="preserve">and high </w:t>
      </w:r>
      <w:proofErr w:type="spellStart"/>
      <w:r w:rsidR="00E20864" w:rsidRPr="00FE5CD2">
        <w:rPr>
          <w:lang w:val="en-US"/>
        </w:rPr>
        <w:t>hyperdiploid</w:t>
      </w:r>
      <w:proofErr w:type="spellEnd"/>
      <w:r w:rsidR="00E20864" w:rsidRPr="00FE5CD2">
        <w:rPr>
          <w:lang w:val="en-US"/>
        </w:rPr>
        <w:t xml:space="preserve"> ALL</w:t>
      </w:r>
      <w:r w:rsidR="00A46D60" w:rsidRPr="00FE5CD2">
        <w:rPr>
          <w:lang w:val="en-US"/>
        </w:rPr>
        <w:t xml:space="preserve"> (right)</w:t>
      </w:r>
      <w:r w:rsidR="00E20864" w:rsidRPr="00FE5CD2">
        <w:rPr>
          <w:lang w:val="en-US"/>
        </w:rPr>
        <w:t xml:space="preserve">. (B) </w:t>
      </w:r>
      <w:r w:rsidR="00FF75AF" w:rsidRPr="00FE5CD2">
        <w:rPr>
          <w:lang w:val="en-US"/>
        </w:rPr>
        <w:t>Sequencing</w:t>
      </w:r>
      <w:r w:rsidR="00A46D60" w:rsidRPr="00FE5CD2">
        <w:rPr>
          <w:lang w:val="en-US"/>
        </w:rPr>
        <w:t>-based assessment of</w:t>
      </w:r>
      <w:r w:rsidR="00E20864" w:rsidRPr="00FE5CD2">
        <w:rPr>
          <w:lang w:val="en-US"/>
        </w:rPr>
        <w:t xml:space="preserve"> LOH using Facets tool for the three same representative cases. (C) Frequency of </w:t>
      </w:r>
      <w:r w:rsidR="00A46D60" w:rsidRPr="00FE5CD2">
        <w:rPr>
          <w:lang w:val="en-US"/>
        </w:rPr>
        <w:t xml:space="preserve">specific </w:t>
      </w:r>
      <w:r w:rsidR="00E20864" w:rsidRPr="00FE5CD2">
        <w:rPr>
          <w:lang w:val="en-US"/>
        </w:rPr>
        <w:t>chromosomal loss</w:t>
      </w:r>
      <w:r w:rsidR="00A46D60" w:rsidRPr="00FE5CD2">
        <w:rPr>
          <w:lang w:val="en-US"/>
        </w:rPr>
        <w:t>es</w:t>
      </w:r>
      <w:r w:rsidR="00E20864" w:rsidRPr="00FE5CD2">
        <w:rPr>
          <w:lang w:val="en-US"/>
        </w:rPr>
        <w:t xml:space="preserve"> </w:t>
      </w:r>
      <w:r w:rsidR="00A46D60" w:rsidRPr="00FE5CD2">
        <w:rPr>
          <w:lang w:val="en-US"/>
        </w:rPr>
        <w:t>in</w:t>
      </w:r>
      <w:r w:rsidR="00E20864" w:rsidRPr="00FE5CD2">
        <w:rPr>
          <w:lang w:val="en-US"/>
        </w:rPr>
        <w:t xml:space="preserve"> the 80 LH-ALL cases. </w:t>
      </w:r>
      <w:r w:rsidR="00A46D60" w:rsidRPr="00FE5CD2">
        <w:rPr>
          <w:lang w:val="en-US"/>
        </w:rPr>
        <w:t>For duplicated LH-ALL cases, o</w:t>
      </w:r>
      <w:r w:rsidR="00E20864" w:rsidRPr="00FE5CD2">
        <w:rPr>
          <w:lang w:val="en-US"/>
        </w:rPr>
        <w:t xml:space="preserve">nly primitive losses </w:t>
      </w:r>
      <w:r w:rsidR="00A46D60" w:rsidRPr="00FE5CD2">
        <w:rPr>
          <w:lang w:val="en-US"/>
        </w:rPr>
        <w:t xml:space="preserve">in the hypodiploid clone, as inferred by LOH </w:t>
      </w:r>
      <w:r w:rsidR="00E20864" w:rsidRPr="00FE5CD2">
        <w:rPr>
          <w:lang w:val="en-US"/>
        </w:rPr>
        <w:t>were considered.</w:t>
      </w:r>
    </w:p>
    <w:p w14:paraId="765579B6" w14:textId="2D8018E4" w:rsidR="00E20864" w:rsidRPr="00FE5CD2" w:rsidRDefault="00313D56" w:rsidP="00E20864">
      <w:pPr>
        <w:spacing w:after="160" w:line="259" w:lineRule="auto"/>
        <w:rPr>
          <w:b/>
          <w:lang w:val="en-US"/>
        </w:rPr>
      </w:pPr>
      <w:r>
        <w:rPr>
          <w:b/>
          <w:noProof/>
          <w:lang w:eastAsia="fr-FR"/>
        </w:rPr>
        <w:lastRenderedPageBreak/>
        <w:pict w14:anchorId="26552A23">
          <v:shape id="_x0000_i1027" type="#_x0000_t75" alt="" style="width:452pt;height:566.65pt;mso-width-percent:0;mso-height-percent:0;mso-width-percent:0;mso-height-percent:0">
            <v:imagedata r:id="rId5" o:title="FigureS2" croptop="1357f"/>
          </v:shape>
        </w:pict>
      </w:r>
    </w:p>
    <w:p w14:paraId="482B23CB" w14:textId="77777777" w:rsidR="00E20864" w:rsidRPr="00FE5CD2" w:rsidRDefault="00E20864" w:rsidP="004E0C69">
      <w:pPr>
        <w:spacing w:after="160" w:line="259" w:lineRule="auto"/>
        <w:jc w:val="both"/>
        <w:rPr>
          <w:lang w:val="en-US"/>
        </w:rPr>
      </w:pPr>
      <w:r w:rsidRPr="00FE5CD2">
        <w:rPr>
          <w:b/>
          <w:lang w:val="en-US"/>
        </w:rPr>
        <w:t xml:space="preserve">Supplementary figure 2. </w:t>
      </w:r>
      <w:r w:rsidR="00E97F8A" w:rsidRPr="00FE5CD2">
        <w:rPr>
          <w:b/>
          <w:lang w:val="en-US"/>
        </w:rPr>
        <w:t>Representation of mutations in the f</w:t>
      </w:r>
      <w:r w:rsidR="00A46D60" w:rsidRPr="00FE5CD2">
        <w:rPr>
          <w:b/>
          <w:lang w:val="en-US"/>
        </w:rPr>
        <w:t>requent</w:t>
      </w:r>
      <w:r w:rsidRPr="00FE5CD2">
        <w:rPr>
          <w:b/>
          <w:lang w:val="en-US"/>
        </w:rPr>
        <w:t xml:space="preserve"> </w:t>
      </w:r>
      <w:r w:rsidR="00E97F8A" w:rsidRPr="00FE5CD2">
        <w:rPr>
          <w:b/>
          <w:lang w:val="en-US"/>
        </w:rPr>
        <w:t xml:space="preserve">targeted </w:t>
      </w:r>
      <w:r w:rsidRPr="00FE5CD2">
        <w:rPr>
          <w:b/>
          <w:lang w:val="en-US"/>
        </w:rPr>
        <w:t>genes in adult LH-ALL.</w:t>
      </w:r>
      <w:r w:rsidR="004E0C69" w:rsidRPr="00FE5CD2">
        <w:rPr>
          <w:b/>
          <w:lang w:val="en-US"/>
        </w:rPr>
        <w:t xml:space="preserve"> </w:t>
      </w:r>
      <w:r w:rsidR="004E0C69" w:rsidRPr="00FE5CD2">
        <w:rPr>
          <w:lang w:val="en-US"/>
        </w:rPr>
        <w:t xml:space="preserve">Lollipop plots depicting the distribution of </w:t>
      </w:r>
      <w:r w:rsidR="00E97F8A" w:rsidRPr="00FE5CD2">
        <w:rPr>
          <w:lang w:val="en-US"/>
        </w:rPr>
        <w:t xml:space="preserve">mutations in </w:t>
      </w:r>
      <w:r w:rsidR="00E97F8A" w:rsidRPr="00FE5CD2">
        <w:rPr>
          <w:i/>
          <w:lang w:val="en-US"/>
        </w:rPr>
        <w:t>RB1</w:t>
      </w:r>
      <w:r w:rsidR="00E97F8A" w:rsidRPr="00FE5CD2">
        <w:rPr>
          <w:lang w:val="en-US"/>
        </w:rPr>
        <w:t xml:space="preserve"> (A), </w:t>
      </w:r>
      <w:r w:rsidR="00E97F8A" w:rsidRPr="00FE5CD2">
        <w:rPr>
          <w:i/>
          <w:lang w:val="en-US"/>
        </w:rPr>
        <w:t>NF1</w:t>
      </w:r>
      <w:r w:rsidR="00E97F8A" w:rsidRPr="00FE5CD2">
        <w:rPr>
          <w:lang w:val="en-US"/>
        </w:rPr>
        <w:t xml:space="preserve"> (B), </w:t>
      </w:r>
      <w:r w:rsidR="00E97F8A" w:rsidRPr="00FE5CD2">
        <w:rPr>
          <w:i/>
          <w:lang w:val="en-US"/>
        </w:rPr>
        <w:t>FLT3</w:t>
      </w:r>
      <w:r w:rsidR="00E97F8A" w:rsidRPr="00FE5CD2">
        <w:rPr>
          <w:lang w:val="en-US"/>
        </w:rPr>
        <w:t xml:space="preserve"> (C), </w:t>
      </w:r>
      <w:r w:rsidR="00E97F8A" w:rsidRPr="00FE5CD2">
        <w:rPr>
          <w:i/>
          <w:lang w:val="en-US"/>
        </w:rPr>
        <w:t>DNMT3A</w:t>
      </w:r>
      <w:r w:rsidR="00E97F8A" w:rsidRPr="00FE5CD2">
        <w:rPr>
          <w:lang w:val="en-US"/>
        </w:rPr>
        <w:t xml:space="preserve"> (D) and </w:t>
      </w:r>
      <w:r w:rsidR="00E97F8A" w:rsidRPr="00FE5CD2">
        <w:rPr>
          <w:i/>
          <w:lang w:val="en-US"/>
        </w:rPr>
        <w:t>TET2</w:t>
      </w:r>
      <w:r w:rsidR="00E97F8A" w:rsidRPr="00FE5CD2">
        <w:rPr>
          <w:lang w:val="en-US"/>
        </w:rPr>
        <w:t xml:space="preserve"> (E).</w:t>
      </w:r>
    </w:p>
    <w:p w14:paraId="3A08F325" w14:textId="1835495A" w:rsidR="0013120D" w:rsidRPr="00FE5CD2" w:rsidRDefault="00313D56" w:rsidP="00E20864">
      <w:pPr>
        <w:spacing w:after="160" w:line="259" w:lineRule="auto"/>
        <w:rPr>
          <w:b/>
          <w:lang w:val="en-US"/>
        </w:rPr>
      </w:pPr>
      <w:r>
        <w:rPr>
          <w:b/>
          <w:noProof/>
          <w:lang w:eastAsia="fr-FR"/>
        </w:rPr>
        <w:lastRenderedPageBreak/>
        <w:pict w14:anchorId="7CB7E471">
          <v:shape id="_x0000_i1026" type="#_x0000_t75" alt="" style="width:452.65pt;height:300.65pt;mso-width-percent:0;mso-height-percent:0;mso-width-percent:0;mso-height-percent:0">
            <v:imagedata r:id="rId6" o:title="FigureS3" croptop="3692f"/>
          </v:shape>
        </w:pict>
      </w:r>
    </w:p>
    <w:p w14:paraId="0464A877" w14:textId="77777777" w:rsidR="00E97F8A" w:rsidRPr="00FE5CD2" w:rsidRDefault="00E20864" w:rsidP="00E97F8A">
      <w:pPr>
        <w:spacing w:after="160" w:line="259" w:lineRule="auto"/>
        <w:jc w:val="both"/>
        <w:rPr>
          <w:b/>
          <w:lang w:val="en-US" w:eastAsia="fr-FR"/>
        </w:rPr>
      </w:pPr>
      <w:r w:rsidRPr="00FE5CD2">
        <w:rPr>
          <w:b/>
          <w:lang w:val="en-US"/>
        </w:rPr>
        <w:t xml:space="preserve">Supplementary figure 3. </w:t>
      </w:r>
      <w:r w:rsidR="00E97F8A" w:rsidRPr="00FE5CD2">
        <w:rPr>
          <w:b/>
          <w:lang w:val="en-US" w:eastAsia="fr-FR"/>
        </w:rPr>
        <w:t xml:space="preserve">Longitudinal assessment of </w:t>
      </w:r>
      <w:r w:rsidR="00E97F8A" w:rsidRPr="00FE5CD2">
        <w:rPr>
          <w:b/>
          <w:i/>
          <w:lang w:val="en-US" w:eastAsia="fr-FR"/>
        </w:rPr>
        <w:t>TP53</w:t>
      </w:r>
      <w:r w:rsidR="00E97F8A" w:rsidRPr="00FE5CD2">
        <w:rPr>
          <w:b/>
          <w:lang w:val="en-US" w:eastAsia="fr-FR"/>
        </w:rPr>
        <w:t xml:space="preserve">-mutant cell fraction as determined by </w:t>
      </w:r>
      <w:proofErr w:type="spellStart"/>
      <w:r w:rsidR="00E97F8A" w:rsidRPr="00FE5CD2">
        <w:rPr>
          <w:b/>
          <w:lang w:val="en-US" w:eastAsia="fr-FR"/>
        </w:rPr>
        <w:t>ddPCR</w:t>
      </w:r>
      <w:proofErr w:type="spellEnd"/>
      <w:r w:rsidR="00E97F8A" w:rsidRPr="00FE5CD2">
        <w:rPr>
          <w:b/>
          <w:lang w:val="en-US" w:eastAsia="fr-FR"/>
        </w:rPr>
        <w:t xml:space="preserve"> along with clonal </w:t>
      </w:r>
      <w:r w:rsidR="00E97F8A" w:rsidRPr="00FE5CD2">
        <w:rPr>
          <w:b/>
          <w:i/>
          <w:lang w:val="en-US" w:eastAsia="fr-FR"/>
        </w:rPr>
        <w:t>IG/TR</w:t>
      </w:r>
      <w:r w:rsidR="00E97F8A" w:rsidRPr="00FE5CD2">
        <w:rPr>
          <w:b/>
          <w:iCs/>
          <w:lang w:val="en-US" w:eastAsia="fr-FR"/>
        </w:rPr>
        <w:t>-based</w:t>
      </w:r>
      <w:r w:rsidR="00E97F8A" w:rsidRPr="00FE5CD2">
        <w:rPr>
          <w:b/>
          <w:lang w:val="en-US" w:eastAsia="fr-FR"/>
        </w:rPr>
        <w:t xml:space="preserve"> MRD quantification in three patients with undetectable </w:t>
      </w:r>
      <w:r w:rsidR="00E97F8A" w:rsidRPr="00FE5CD2">
        <w:rPr>
          <w:b/>
          <w:i/>
          <w:lang w:val="en-US" w:eastAsia="fr-FR"/>
        </w:rPr>
        <w:t>TP53</w:t>
      </w:r>
      <w:r w:rsidR="00E97F8A" w:rsidRPr="00FE5CD2">
        <w:rPr>
          <w:b/>
          <w:lang w:val="en-US" w:eastAsia="fr-FR"/>
        </w:rPr>
        <w:t xml:space="preserve"> mutation at remission.  </w:t>
      </w:r>
    </w:p>
    <w:p w14:paraId="249F7E6D" w14:textId="77777777" w:rsidR="00E97F8A" w:rsidRPr="00FE5CD2" w:rsidRDefault="00E97F8A" w:rsidP="004E0C69">
      <w:pPr>
        <w:spacing w:after="160" w:line="259" w:lineRule="auto"/>
        <w:jc w:val="both"/>
        <w:rPr>
          <w:b/>
          <w:lang w:val="en-US"/>
        </w:rPr>
      </w:pPr>
    </w:p>
    <w:p w14:paraId="15C1E0FC" w14:textId="5DAAF4E6" w:rsidR="0013120D" w:rsidRPr="00FE5CD2" w:rsidRDefault="00D8026F" w:rsidP="00D8026F">
      <w:pPr>
        <w:spacing w:after="160" w:line="259" w:lineRule="auto"/>
        <w:jc w:val="center"/>
        <w:rPr>
          <w:b/>
          <w:lang w:val="en-US"/>
        </w:rPr>
      </w:pPr>
      <w:r w:rsidRPr="00FE5CD2">
        <w:rPr>
          <w:b/>
          <w:bCs/>
          <w:noProof/>
          <w:sz w:val="32"/>
          <w:szCs w:val="32"/>
          <w:lang w:eastAsia="fr-FR"/>
        </w:rPr>
        <w:lastRenderedPageBreak/>
        <w:drawing>
          <wp:inline distT="0" distB="0" distL="0" distR="0" wp14:anchorId="3F2CAE2B" wp14:editId="268361B9">
            <wp:extent cx="5962560" cy="541528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"/>
                    <a:stretch/>
                  </pic:blipFill>
                  <pic:spPr bwMode="auto">
                    <a:xfrm>
                      <a:off x="0" y="0"/>
                      <a:ext cx="5962650" cy="54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D143B" w14:textId="1720B0B6" w:rsidR="0078753E" w:rsidRPr="00FE5CD2" w:rsidRDefault="001701E0" w:rsidP="00622042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4. Merged single-cell analysis of cell-surface markers by ADT-sequencing of remission samples from three LH-ALL patients. </w:t>
      </w:r>
      <w:r w:rsidR="004E0C69" w:rsidRPr="00FE5CD2">
        <w:rPr>
          <w:lang w:val="en-US"/>
        </w:rPr>
        <w:t xml:space="preserve">(A) Heatmap of </w:t>
      </w:r>
      <w:r w:rsidR="0078753E" w:rsidRPr="00FE5CD2">
        <w:rPr>
          <w:lang w:val="en-US"/>
        </w:rPr>
        <w:t xml:space="preserve">expression of cell-surface markers </w:t>
      </w:r>
      <w:r w:rsidR="004E0C69" w:rsidRPr="00FE5CD2">
        <w:rPr>
          <w:lang w:val="en-US"/>
        </w:rPr>
        <w:t xml:space="preserve">used for cell population assignment. (B) </w:t>
      </w:r>
      <w:r w:rsidR="0069179D" w:rsidRPr="00FE5CD2">
        <w:rPr>
          <w:lang w:val="en-US" w:eastAsia="fr-FR"/>
        </w:rPr>
        <w:t xml:space="preserve">UMAP plots of each individual remission samples clustered by immunophenotype and colored by assigned cell populations. </w:t>
      </w:r>
      <w:r w:rsidR="00AC197D" w:rsidRPr="00FE5CD2">
        <w:rPr>
          <w:lang w:val="en-US" w:eastAsia="fr-FR"/>
        </w:rPr>
        <w:t>B-cells</w:t>
      </w:r>
      <w:r w:rsidR="009205EF" w:rsidRPr="00FE5CD2">
        <w:rPr>
          <w:lang w:val="en-US" w:eastAsia="fr-FR"/>
        </w:rPr>
        <w:t xml:space="preserve"> were recognized as CD10+ CD19+; erythroid cells as CD71+; monocytes and dendritic cells as CD11b+ CD11c+ CD14+ CD64+</w:t>
      </w:r>
      <w:r w:rsidR="003902CB" w:rsidRPr="00FE5CD2">
        <w:rPr>
          <w:lang w:val="en-US" w:eastAsia="fr-FR"/>
        </w:rPr>
        <w:t xml:space="preserve"> CD123+</w:t>
      </w:r>
      <w:r w:rsidR="009205EF" w:rsidRPr="00FE5CD2">
        <w:rPr>
          <w:lang w:val="en-US" w:eastAsia="fr-FR"/>
        </w:rPr>
        <w:t>; myeloid cells as CD117+ CD34+</w:t>
      </w:r>
      <w:r w:rsidR="004F7E49" w:rsidRPr="00FE5CD2">
        <w:rPr>
          <w:lang w:val="en-US" w:eastAsia="fr-FR"/>
        </w:rPr>
        <w:t xml:space="preserve"> CD33+</w:t>
      </w:r>
      <w:r w:rsidR="009205EF" w:rsidRPr="00FE5CD2">
        <w:rPr>
          <w:lang w:val="en-US" w:eastAsia="fr-FR"/>
        </w:rPr>
        <w:t xml:space="preserve">; T cells as CD2+ CD3+ CD5+ CD7+.   </w:t>
      </w:r>
      <w:r w:rsidR="00AC197D" w:rsidRPr="00FE5CD2">
        <w:rPr>
          <w:lang w:val="en-US" w:eastAsia="fr-FR"/>
        </w:rPr>
        <w:t xml:space="preserve"> </w:t>
      </w:r>
      <w:r w:rsidR="0078753E" w:rsidRPr="00FE5CD2">
        <w:rPr>
          <w:b/>
          <w:lang w:val="en-US"/>
        </w:rPr>
        <w:br w:type="page"/>
      </w:r>
    </w:p>
    <w:p w14:paraId="653E1604" w14:textId="77777777" w:rsidR="0023786F" w:rsidRPr="00FE5CD2" w:rsidRDefault="00313D56" w:rsidP="0069179D">
      <w:pPr>
        <w:spacing w:after="160" w:line="259" w:lineRule="auto"/>
        <w:jc w:val="both"/>
        <w:rPr>
          <w:b/>
          <w:lang w:val="en-US"/>
        </w:rPr>
      </w:pPr>
      <w:r>
        <w:rPr>
          <w:b/>
          <w:noProof/>
          <w:lang w:eastAsia="fr-FR"/>
        </w:rPr>
        <w:lastRenderedPageBreak/>
        <w:pict w14:anchorId="2F0A2A42">
          <v:shape id="_x0000_i1025" type="#_x0000_t75" alt="" style="width:454.65pt;height:660pt;mso-width-percent:0;mso-height-percent:0;mso-width-percent:0;mso-height-percent:0">
            <v:imagedata r:id="rId8" o:title="FigureS5" croptop="2161f"/>
          </v:shape>
        </w:pict>
      </w:r>
    </w:p>
    <w:p w14:paraId="19DF7797" w14:textId="71C11394" w:rsidR="0078753E" w:rsidRPr="00FE5CD2" w:rsidRDefault="001701E0" w:rsidP="00C96B99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5. Individual single-cell analyses of cell-surface markers by ADT-sequencing of remission samples from three LH-ALL patients. </w:t>
      </w:r>
      <w:r w:rsidR="003902CB" w:rsidRPr="00FE5CD2">
        <w:rPr>
          <w:lang w:val="en-US"/>
        </w:rPr>
        <w:t xml:space="preserve">Cell clusters were assigned as in Supplementary figure </w:t>
      </w:r>
      <w:r w:rsidR="003902CB" w:rsidRPr="00FE5CD2">
        <w:rPr>
          <w:lang w:val="en-US"/>
        </w:rPr>
        <w:lastRenderedPageBreak/>
        <w:t xml:space="preserve">4 and additional populations could be distinguished: NK-cells as CD2+ </w:t>
      </w:r>
      <w:r w:rsidR="004F7E49" w:rsidRPr="00FE5CD2">
        <w:rPr>
          <w:lang w:val="en-US"/>
        </w:rPr>
        <w:t xml:space="preserve">CD3- </w:t>
      </w:r>
      <w:r w:rsidR="003902CB" w:rsidRPr="00FE5CD2">
        <w:rPr>
          <w:lang w:val="en-US"/>
        </w:rPr>
        <w:t>CD7+ CD16+ CD56+; monocytes as CD11b+ CD11c+ CD64+; plasmacytoid dendritic cells (</w:t>
      </w:r>
      <w:proofErr w:type="spellStart"/>
      <w:r w:rsidR="003902CB" w:rsidRPr="00FE5CD2">
        <w:rPr>
          <w:lang w:val="en-US"/>
        </w:rPr>
        <w:t>pDCs</w:t>
      </w:r>
      <w:proofErr w:type="spellEnd"/>
      <w:r w:rsidR="003902CB" w:rsidRPr="00FE5CD2">
        <w:rPr>
          <w:lang w:val="en-US"/>
        </w:rPr>
        <w:t>) as CD123+ CD303+ CD304+; dendritic cells as CD123+</w:t>
      </w:r>
      <w:r w:rsidR="004F7E49" w:rsidRPr="00FE5CD2">
        <w:rPr>
          <w:lang w:val="en-US"/>
        </w:rPr>
        <w:t xml:space="preserve"> CD33+ </w:t>
      </w:r>
      <w:proofErr w:type="spellStart"/>
      <w:r w:rsidR="004F7E49" w:rsidRPr="00FE5CD2">
        <w:rPr>
          <w:lang w:val="en-US"/>
        </w:rPr>
        <w:t>Fc</w:t>
      </w:r>
      <w:r w:rsidR="004F7E49" w:rsidRPr="00FE5CD2">
        <w:rPr>
          <w:rFonts w:cstheme="minorHAnsi"/>
          <w:sz w:val="20"/>
          <w:szCs w:val="20"/>
          <w:lang w:val="en-US"/>
        </w:rPr>
        <w:t>Ꜫ</w:t>
      </w:r>
      <w:r w:rsidR="004F7E49" w:rsidRPr="00FE5CD2">
        <w:rPr>
          <w:lang w:val="en-US"/>
        </w:rPr>
        <w:t>RI</w:t>
      </w:r>
      <w:proofErr w:type="spellEnd"/>
      <w:r w:rsidR="004F7E49" w:rsidRPr="00FE5CD2">
        <w:rPr>
          <w:rFonts w:cstheme="minorHAnsi"/>
          <w:lang w:val="en-US"/>
        </w:rPr>
        <w:t>α</w:t>
      </w:r>
      <w:r w:rsidR="0008583D" w:rsidRPr="00FE5CD2">
        <w:rPr>
          <w:rFonts w:cstheme="minorHAnsi"/>
          <w:lang w:val="en-US"/>
        </w:rPr>
        <w:t>+</w:t>
      </w:r>
      <w:r w:rsidR="003902CB" w:rsidRPr="00FE5CD2">
        <w:rPr>
          <w:lang w:val="en-US"/>
        </w:rPr>
        <w:t>.</w:t>
      </w:r>
      <w:r w:rsidR="003902CB" w:rsidRPr="00FE5CD2">
        <w:rPr>
          <w:b/>
          <w:lang w:val="en-US"/>
        </w:rPr>
        <w:t xml:space="preserve"> </w:t>
      </w:r>
      <w:r w:rsidR="0078753E" w:rsidRPr="00FE5CD2">
        <w:rPr>
          <w:b/>
          <w:lang w:val="en-US"/>
        </w:rPr>
        <w:br w:type="page"/>
      </w:r>
    </w:p>
    <w:p w14:paraId="08691764" w14:textId="0F9A6953" w:rsidR="00D8026F" w:rsidRPr="00FE5CD2" w:rsidRDefault="005922EC" w:rsidP="00D8026F">
      <w:pPr>
        <w:spacing w:after="160" w:line="259" w:lineRule="auto"/>
        <w:rPr>
          <w:b/>
          <w:lang w:val="en-US"/>
        </w:rPr>
      </w:pPr>
      <w:r w:rsidRPr="00FE5CD2">
        <w:rPr>
          <w:b/>
          <w:noProof/>
          <w:lang w:eastAsia="fr-FR"/>
        </w:rPr>
        <w:lastRenderedPageBreak/>
        <w:drawing>
          <wp:inline distT="0" distB="0" distL="0" distR="0" wp14:anchorId="3D5FE436" wp14:editId="4FB5DAA0">
            <wp:extent cx="5675160" cy="5857875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5819"/>
                    <a:stretch/>
                  </pic:blipFill>
                  <pic:spPr bwMode="auto">
                    <a:xfrm>
                      <a:off x="0" y="0"/>
                      <a:ext cx="567516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1AEA" w14:textId="77777777" w:rsidR="00D8026F" w:rsidRPr="00FE5CD2" w:rsidRDefault="00D8026F" w:rsidP="00D8026F">
      <w:pPr>
        <w:spacing w:after="160" w:line="259" w:lineRule="auto"/>
        <w:jc w:val="both"/>
        <w:rPr>
          <w:b/>
          <w:lang w:val="en-US"/>
        </w:rPr>
      </w:pPr>
    </w:p>
    <w:p w14:paraId="6C1C56B3" w14:textId="40C7B05C" w:rsidR="00D8026F" w:rsidRPr="00FE5CD2" w:rsidRDefault="00D8026F" w:rsidP="00D8026F">
      <w:pPr>
        <w:spacing w:after="160" w:line="259" w:lineRule="auto"/>
        <w:jc w:val="both"/>
        <w:rPr>
          <w:lang w:val="en-US"/>
        </w:rPr>
      </w:pPr>
      <w:r w:rsidRPr="00FE5CD2">
        <w:rPr>
          <w:b/>
          <w:lang w:val="en-US"/>
        </w:rPr>
        <w:t>Supplementary figure 6. Individual</w:t>
      </w:r>
      <w:r w:rsidR="005922EC" w:rsidRPr="00FE5CD2">
        <w:rPr>
          <w:b/>
          <w:lang w:val="en-US"/>
        </w:rPr>
        <w:t xml:space="preserve"> analyses of</w:t>
      </w:r>
      <w:r w:rsidRPr="00FE5CD2">
        <w:rPr>
          <w:b/>
          <w:lang w:val="en-US"/>
        </w:rPr>
        <w:t xml:space="preserve"> single-cell immunophenotyping and genotyping of remission samples from </w:t>
      </w:r>
      <w:r w:rsidR="001701E0" w:rsidRPr="00FE5CD2">
        <w:rPr>
          <w:b/>
          <w:lang w:val="en-US"/>
        </w:rPr>
        <w:t xml:space="preserve">three </w:t>
      </w:r>
      <w:r w:rsidRPr="00FE5CD2">
        <w:rPr>
          <w:b/>
          <w:lang w:val="en-US"/>
        </w:rPr>
        <w:t xml:space="preserve">LH-ALL patients. </w:t>
      </w:r>
      <w:r w:rsidRPr="00FE5CD2">
        <w:rPr>
          <w:lang w:val="en-US"/>
        </w:rPr>
        <w:t xml:space="preserve">UMAP plots (upper panels) of individual remission samples of three patients, with cells colored according to </w:t>
      </w:r>
      <w:r w:rsidRPr="00FE5CD2">
        <w:rPr>
          <w:i/>
          <w:lang w:val="en-US"/>
        </w:rPr>
        <w:t>TP53</w:t>
      </w:r>
      <w:r w:rsidRPr="00FE5CD2">
        <w:rPr>
          <w:lang w:val="en-US"/>
        </w:rPr>
        <w:t xml:space="preserve"> genotype. Histograms (lower panel) show the proportion of each </w:t>
      </w:r>
      <w:r w:rsidRPr="00FE5CD2">
        <w:rPr>
          <w:i/>
          <w:lang w:val="en-US"/>
        </w:rPr>
        <w:t>TP53</w:t>
      </w:r>
      <w:r w:rsidRPr="00FE5CD2">
        <w:rPr>
          <w:lang w:val="en-US"/>
        </w:rPr>
        <w:t xml:space="preserve"> geno</w:t>
      </w:r>
      <w:r w:rsidR="00EC2EB0" w:rsidRPr="00FE5CD2">
        <w:rPr>
          <w:lang w:val="en-US"/>
        </w:rPr>
        <w:t>type within each cell cluster.</w:t>
      </w:r>
    </w:p>
    <w:p w14:paraId="79053A21" w14:textId="77777777" w:rsidR="00D8026F" w:rsidRPr="00FE5CD2" w:rsidRDefault="00D8026F">
      <w:pPr>
        <w:spacing w:after="160" w:line="259" w:lineRule="auto"/>
        <w:rPr>
          <w:lang w:val="en-US"/>
        </w:rPr>
      </w:pPr>
      <w:r w:rsidRPr="00FE5CD2">
        <w:rPr>
          <w:lang w:val="en-US"/>
        </w:rPr>
        <w:br w:type="page"/>
      </w:r>
    </w:p>
    <w:p w14:paraId="43C41AA7" w14:textId="77777777" w:rsidR="00D8026F" w:rsidRPr="00FE5CD2" w:rsidRDefault="00D8026F" w:rsidP="00D8026F">
      <w:pPr>
        <w:spacing w:after="160" w:line="259" w:lineRule="auto"/>
        <w:jc w:val="both"/>
        <w:rPr>
          <w:lang w:val="en-US" w:eastAsia="fr-FR"/>
        </w:rPr>
      </w:pPr>
    </w:p>
    <w:p w14:paraId="56E82244" w14:textId="084A2ADB" w:rsidR="00D8026F" w:rsidRPr="00FE5CD2" w:rsidRDefault="00EB0D4A">
      <w:pPr>
        <w:spacing w:after="160" w:line="259" w:lineRule="auto"/>
        <w:rPr>
          <w:b/>
          <w:noProof/>
          <w:lang w:eastAsia="fr-FR"/>
        </w:rPr>
      </w:pPr>
      <w:r w:rsidRPr="00FE5CD2">
        <w:rPr>
          <w:b/>
          <w:noProof/>
          <w:lang w:eastAsia="fr-FR"/>
        </w:rPr>
        <w:drawing>
          <wp:inline distT="0" distB="0" distL="0" distR="0" wp14:anchorId="488BF7EF" wp14:editId="3D7F22AE">
            <wp:extent cx="5876896" cy="77308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/>
                    <a:stretch/>
                  </pic:blipFill>
                  <pic:spPr bwMode="auto">
                    <a:xfrm>
                      <a:off x="0" y="0"/>
                      <a:ext cx="5879378" cy="77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145D4" w14:textId="1BE253EF" w:rsidR="00D8026F" w:rsidRPr="00FE5CD2" w:rsidRDefault="00D8026F" w:rsidP="00D8026F">
      <w:pPr>
        <w:spacing w:line="259" w:lineRule="auto"/>
        <w:jc w:val="both"/>
        <w:rPr>
          <w:b/>
          <w:noProof/>
          <w:lang w:val="en-US" w:eastAsia="fr-FR"/>
        </w:rPr>
      </w:pPr>
      <w:r w:rsidRPr="00FE5CD2">
        <w:rPr>
          <w:b/>
          <w:lang w:val="en-US"/>
        </w:rPr>
        <w:t xml:space="preserve">Supplementary figure 7. Evaluation of allelic dropout rate on heterozygous single nucleotide polymorphism (SNPs) in remission samples. </w:t>
      </w:r>
      <w:r w:rsidRPr="00FE5CD2">
        <w:rPr>
          <w:bCs/>
          <w:lang w:val="en-US"/>
        </w:rPr>
        <w:t>Proportions of single-cell genotypes observed for heterozygous SNPs in different cell fractions. False homozygous genotypes related to allelic dropout are observed in 1-1</w:t>
      </w:r>
      <w:r w:rsidR="00C8607C" w:rsidRPr="00FE5CD2">
        <w:rPr>
          <w:bCs/>
          <w:lang w:val="en-US"/>
        </w:rPr>
        <w:t>8</w:t>
      </w:r>
      <w:r w:rsidRPr="00FE5CD2">
        <w:rPr>
          <w:bCs/>
          <w:lang w:val="en-US"/>
        </w:rPr>
        <w:t xml:space="preserve">% of cells.  </w:t>
      </w:r>
      <w:r w:rsidRPr="00FE5CD2">
        <w:rPr>
          <w:b/>
          <w:noProof/>
          <w:lang w:val="en-US" w:eastAsia="fr-FR"/>
        </w:rPr>
        <w:br w:type="page"/>
      </w:r>
    </w:p>
    <w:p w14:paraId="265FCCF6" w14:textId="77777777" w:rsidR="00EC2EB0" w:rsidRPr="00FE5CD2" w:rsidRDefault="00EC2EB0" w:rsidP="00EC2EB0">
      <w:pPr>
        <w:spacing w:after="160" w:line="259" w:lineRule="auto"/>
        <w:rPr>
          <w:b/>
          <w:lang w:val="en-US"/>
        </w:rPr>
      </w:pPr>
      <w:r w:rsidRPr="00FE5CD2">
        <w:rPr>
          <w:b/>
          <w:noProof/>
          <w:lang w:eastAsia="fr-FR"/>
        </w:rPr>
        <w:lastRenderedPageBreak/>
        <w:drawing>
          <wp:inline distT="0" distB="0" distL="0" distR="0" wp14:anchorId="4BB86326" wp14:editId="70358732">
            <wp:extent cx="5674995" cy="2605546"/>
            <wp:effectExtent l="0" t="0" r="1905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58107"/>
                    <a:stretch/>
                  </pic:blipFill>
                  <pic:spPr bwMode="auto">
                    <a:xfrm>
                      <a:off x="0" y="0"/>
                      <a:ext cx="5675160" cy="26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6BB74" w14:textId="77777777" w:rsidR="00EC2EB0" w:rsidRPr="00FE5CD2" w:rsidRDefault="00EC2EB0" w:rsidP="00EC2EB0">
      <w:pPr>
        <w:spacing w:after="160" w:line="259" w:lineRule="auto"/>
        <w:jc w:val="both"/>
        <w:rPr>
          <w:b/>
          <w:lang w:val="en-US"/>
        </w:rPr>
      </w:pPr>
    </w:p>
    <w:p w14:paraId="689232EB" w14:textId="380D2089" w:rsidR="00EC2EB0" w:rsidRPr="00FE5CD2" w:rsidRDefault="00EC2EB0" w:rsidP="00EC2EB0">
      <w:pPr>
        <w:spacing w:after="160" w:line="259" w:lineRule="auto"/>
        <w:jc w:val="both"/>
        <w:rPr>
          <w:lang w:val="en-US"/>
        </w:rPr>
      </w:pPr>
      <w:r w:rsidRPr="00FE5CD2">
        <w:rPr>
          <w:b/>
          <w:lang w:val="en-US"/>
        </w:rPr>
        <w:t xml:space="preserve">Supplementary figure 8. Single-cell protein and LOH analyses of remission sample from patient EI_035. </w:t>
      </w:r>
      <w:r w:rsidRPr="00FE5CD2">
        <w:rPr>
          <w:lang w:val="en-US"/>
        </w:rPr>
        <w:t xml:space="preserve">UMAP plots (upper panels) with cells colored according to genotype for several heterozygous SNPs allowing LOH assessment. Histograms (lower panel) show the proportion of each </w:t>
      </w:r>
      <w:r w:rsidRPr="00FE5CD2">
        <w:rPr>
          <w:iCs/>
          <w:lang w:val="en-US"/>
        </w:rPr>
        <w:t xml:space="preserve">genotype </w:t>
      </w:r>
      <w:r w:rsidRPr="00FE5CD2">
        <w:rPr>
          <w:lang w:val="en-US"/>
        </w:rPr>
        <w:t>within each cell cluster.</w:t>
      </w:r>
    </w:p>
    <w:p w14:paraId="29FBA4ED" w14:textId="7AF81CA4" w:rsidR="00EC2EB0" w:rsidRPr="00FE5CD2" w:rsidRDefault="00EC2EB0">
      <w:pPr>
        <w:spacing w:after="160" w:line="259" w:lineRule="auto"/>
        <w:rPr>
          <w:lang w:val="en-US" w:eastAsia="fr-FR"/>
        </w:rPr>
      </w:pPr>
      <w:r w:rsidRPr="00FE5CD2">
        <w:rPr>
          <w:lang w:val="en-US" w:eastAsia="fr-FR"/>
        </w:rPr>
        <w:br w:type="page"/>
      </w:r>
    </w:p>
    <w:p w14:paraId="1B6FAD80" w14:textId="77777777" w:rsidR="0078753E" w:rsidRPr="00FE5CD2" w:rsidRDefault="0078753E">
      <w:pPr>
        <w:spacing w:after="160" w:line="259" w:lineRule="auto"/>
        <w:rPr>
          <w:lang w:val="en-US" w:eastAsia="fr-FR"/>
        </w:rPr>
      </w:pPr>
    </w:p>
    <w:p w14:paraId="35F2DF95" w14:textId="0845A81D" w:rsidR="00046063" w:rsidRPr="00FE5CD2" w:rsidRDefault="00831259" w:rsidP="0069179D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bCs/>
          <w:noProof/>
          <w:sz w:val="32"/>
          <w:szCs w:val="32"/>
          <w:lang w:eastAsia="fr-FR"/>
        </w:rPr>
        <w:drawing>
          <wp:inline distT="0" distB="0" distL="0" distR="0" wp14:anchorId="4E5CB7B4" wp14:editId="37720A12">
            <wp:extent cx="5927835" cy="7876457"/>
            <wp:effectExtent l="0" t="0" r="0" b="0"/>
            <wp:docPr id="3" name="Image 3" descr="C:\Users\3081148\AppData\Local\Microsoft\Windows\INetCache\Content.Word\Figure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081148\AppData\Local\Microsoft\Windows\INetCache\Content.Word\FigureS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"/>
                    <a:stretch/>
                  </pic:blipFill>
                  <pic:spPr bwMode="auto">
                    <a:xfrm>
                      <a:off x="0" y="0"/>
                      <a:ext cx="5931336" cy="78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063" w:rsidRPr="00FE5CD2">
        <w:rPr>
          <w:b/>
          <w:lang w:val="en-US"/>
        </w:rPr>
        <w:t xml:space="preserve">Supplementary figure </w:t>
      </w:r>
      <w:r w:rsidR="00EC2EB0" w:rsidRPr="00FE5CD2">
        <w:rPr>
          <w:b/>
          <w:lang w:val="en-US"/>
        </w:rPr>
        <w:t>9</w:t>
      </w:r>
      <w:r w:rsidR="00046063" w:rsidRPr="00FE5CD2">
        <w:rPr>
          <w:b/>
          <w:lang w:val="en-US"/>
        </w:rPr>
        <w:t xml:space="preserve">. Individual single-cell analysis of cell-surface markers by ADT-sequencing of diagnosis samples from </w:t>
      </w:r>
      <w:r w:rsidR="001701E0" w:rsidRPr="00FE5CD2">
        <w:rPr>
          <w:b/>
          <w:lang w:val="en-US"/>
        </w:rPr>
        <w:t xml:space="preserve">three </w:t>
      </w:r>
      <w:r w:rsidR="00046063" w:rsidRPr="00FE5CD2">
        <w:rPr>
          <w:b/>
          <w:lang w:val="en-US"/>
        </w:rPr>
        <w:t xml:space="preserve">LH-ALL patients. </w:t>
      </w:r>
    </w:p>
    <w:p w14:paraId="4178158B" w14:textId="77777777" w:rsidR="003972FD" w:rsidRPr="00FE5CD2" w:rsidRDefault="003972FD">
      <w:pPr>
        <w:spacing w:after="160" w:line="259" w:lineRule="auto"/>
        <w:rPr>
          <w:b/>
          <w:lang w:val="en-US"/>
        </w:rPr>
      </w:pPr>
      <w:r w:rsidRPr="00FE5CD2">
        <w:rPr>
          <w:b/>
          <w:lang w:val="en-US"/>
        </w:rPr>
        <w:br w:type="page"/>
      </w:r>
    </w:p>
    <w:p w14:paraId="36DF5B1A" w14:textId="4730131F" w:rsidR="00046063" w:rsidRPr="00FE5CD2" w:rsidRDefault="001701E0" w:rsidP="005E3E22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noProof/>
          <w:lang w:eastAsia="fr-FR"/>
        </w:rPr>
        <w:lastRenderedPageBreak/>
        <w:drawing>
          <wp:inline distT="0" distB="0" distL="0" distR="0" wp14:anchorId="2BF1E301" wp14:editId="45DE4C3A">
            <wp:extent cx="6086475" cy="69127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4" b="14533"/>
                    <a:stretch/>
                  </pic:blipFill>
                  <pic:spPr bwMode="auto">
                    <a:xfrm>
                      <a:off x="0" y="0"/>
                      <a:ext cx="6087473" cy="69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0DD30" w14:textId="4CAEC4D7" w:rsidR="001701E0" w:rsidRPr="00FE5CD2" w:rsidRDefault="00EC2EB0" w:rsidP="001701E0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>Supplementary figure 10</w:t>
      </w:r>
      <w:r w:rsidR="001701E0" w:rsidRPr="00FE5CD2">
        <w:rPr>
          <w:b/>
          <w:lang w:val="en-US"/>
        </w:rPr>
        <w:t xml:space="preserve">. Single-cell genotyping of heterozygous SNPs allowing LOH assessment in diagnosis samples from three LH-ALL patients. </w:t>
      </w:r>
    </w:p>
    <w:p w14:paraId="4915463B" w14:textId="77777777" w:rsidR="00046063" w:rsidRPr="00FE5CD2" w:rsidRDefault="00046063">
      <w:pPr>
        <w:spacing w:after="160" w:line="259" w:lineRule="auto"/>
        <w:rPr>
          <w:b/>
          <w:lang w:val="en-US"/>
        </w:rPr>
      </w:pPr>
      <w:r w:rsidRPr="00FE5CD2">
        <w:rPr>
          <w:b/>
          <w:lang w:val="en-US"/>
        </w:rPr>
        <w:br w:type="page"/>
      </w:r>
    </w:p>
    <w:p w14:paraId="5034281D" w14:textId="68D5A0A5" w:rsidR="00046063" w:rsidRPr="00FE5CD2" w:rsidRDefault="004B4735" w:rsidP="005E3E22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noProof/>
          <w:lang w:eastAsia="fr-FR"/>
        </w:rPr>
        <w:lastRenderedPageBreak/>
        <w:drawing>
          <wp:inline distT="0" distB="0" distL="0" distR="0" wp14:anchorId="3EC46F1C" wp14:editId="55299DA5">
            <wp:extent cx="5924550" cy="665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2" b="5577"/>
                    <a:stretch/>
                  </pic:blipFill>
                  <pic:spPr bwMode="auto">
                    <a:xfrm>
                      <a:off x="0" y="0"/>
                      <a:ext cx="5925609" cy="66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3C2D6" w14:textId="77777777" w:rsidR="00046063" w:rsidRPr="00FE5CD2" w:rsidRDefault="007A2346">
      <w:pPr>
        <w:spacing w:after="160" w:line="259" w:lineRule="auto"/>
        <w:rPr>
          <w:b/>
          <w:lang w:val="en-US"/>
        </w:rPr>
      </w:pPr>
      <w:r w:rsidRPr="00FE5CD2">
        <w:rPr>
          <w:noProof/>
          <w:lang w:val="en-US" w:eastAsia="fr-FR"/>
        </w:rPr>
        <w:t xml:space="preserve"> </w:t>
      </w:r>
    </w:p>
    <w:p w14:paraId="518697EF" w14:textId="3C5ABB81" w:rsidR="000C396A" w:rsidRPr="00B46F7B" w:rsidRDefault="00046063" w:rsidP="00A422E4">
      <w:pPr>
        <w:spacing w:after="160" w:line="259" w:lineRule="auto"/>
        <w:jc w:val="both"/>
        <w:rPr>
          <w:b/>
          <w:lang w:val="en-US"/>
        </w:rPr>
      </w:pPr>
      <w:r w:rsidRPr="00FE5CD2">
        <w:rPr>
          <w:b/>
          <w:lang w:val="en-US"/>
        </w:rPr>
        <w:t xml:space="preserve">Supplementary Figure </w:t>
      </w:r>
      <w:r w:rsidR="00EC2EB0" w:rsidRPr="00FE5CD2">
        <w:rPr>
          <w:b/>
          <w:lang w:val="en-US"/>
        </w:rPr>
        <w:t>11</w:t>
      </w:r>
      <w:r w:rsidRPr="00FE5CD2">
        <w:rPr>
          <w:b/>
          <w:lang w:val="en-US"/>
        </w:rPr>
        <w:t xml:space="preserve">. Distribution of single-cell genotypes of two LH-ALL patients with persistent </w:t>
      </w:r>
      <w:r w:rsidRPr="00FE5CD2">
        <w:rPr>
          <w:b/>
          <w:i/>
          <w:lang w:val="en-US"/>
        </w:rPr>
        <w:t>TP53</w:t>
      </w:r>
      <w:r w:rsidRPr="00FE5CD2">
        <w:rPr>
          <w:b/>
          <w:lang w:val="en-US"/>
        </w:rPr>
        <w:t xml:space="preserve"> and </w:t>
      </w:r>
      <w:r w:rsidRPr="00FE5CD2">
        <w:rPr>
          <w:b/>
          <w:i/>
          <w:lang w:val="en-US"/>
        </w:rPr>
        <w:t>JAK2</w:t>
      </w:r>
      <w:r w:rsidRPr="00FE5CD2">
        <w:rPr>
          <w:b/>
          <w:lang w:val="en-US"/>
        </w:rPr>
        <w:t xml:space="preserve"> (EI_046) or </w:t>
      </w:r>
      <w:r w:rsidRPr="00FE5CD2">
        <w:rPr>
          <w:b/>
          <w:i/>
          <w:lang w:val="en-US"/>
        </w:rPr>
        <w:t>DNMT3A</w:t>
      </w:r>
      <w:r w:rsidRPr="00FE5CD2">
        <w:rPr>
          <w:b/>
          <w:lang w:val="en-US"/>
        </w:rPr>
        <w:t xml:space="preserve"> (EI_035) mutations in remission samples. </w:t>
      </w:r>
      <w:r w:rsidR="00A422E4" w:rsidRPr="00FE5CD2">
        <w:rPr>
          <w:bCs/>
          <w:lang w:val="en-US"/>
        </w:rPr>
        <w:t>FP,</w:t>
      </w:r>
      <w:r w:rsidR="00A422E4" w:rsidRPr="00FE5CD2">
        <w:rPr>
          <w:b/>
          <w:lang w:val="en-US"/>
        </w:rPr>
        <w:t xml:space="preserve"> </w:t>
      </w:r>
      <w:r w:rsidR="00A422E4" w:rsidRPr="00FE5CD2">
        <w:rPr>
          <w:bCs/>
          <w:lang w:val="en-US"/>
        </w:rPr>
        <w:t>false positive.</w:t>
      </w:r>
    </w:p>
    <w:p w14:paraId="337F7FF8" w14:textId="77777777" w:rsidR="000C396A" w:rsidRDefault="000C396A" w:rsidP="000C396A">
      <w:pPr>
        <w:jc w:val="both"/>
        <w:rPr>
          <w:rFonts w:eastAsia="Times New Roman" w:cstheme="minorHAnsi"/>
          <w:bCs/>
          <w:lang w:val="en-US" w:eastAsia="fr-FR"/>
        </w:rPr>
      </w:pPr>
    </w:p>
    <w:p w14:paraId="3D5D2642" w14:textId="77777777" w:rsidR="000C396A" w:rsidRPr="00240740" w:rsidRDefault="000C396A" w:rsidP="00897995">
      <w:pPr>
        <w:jc w:val="both"/>
        <w:rPr>
          <w:lang w:val="en-US"/>
        </w:rPr>
      </w:pPr>
    </w:p>
    <w:sectPr w:rsidR="000C396A" w:rsidRPr="0024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740"/>
    <w:rsid w:val="000202A8"/>
    <w:rsid w:val="00046063"/>
    <w:rsid w:val="000664BC"/>
    <w:rsid w:val="0008583D"/>
    <w:rsid w:val="000B5112"/>
    <w:rsid w:val="000C396A"/>
    <w:rsid w:val="0013120D"/>
    <w:rsid w:val="001448A7"/>
    <w:rsid w:val="001701E0"/>
    <w:rsid w:val="001B5C20"/>
    <w:rsid w:val="001E7145"/>
    <w:rsid w:val="00232288"/>
    <w:rsid w:val="0023786F"/>
    <w:rsid w:val="00240740"/>
    <w:rsid w:val="00252119"/>
    <w:rsid w:val="00313D56"/>
    <w:rsid w:val="0033433C"/>
    <w:rsid w:val="003344CA"/>
    <w:rsid w:val="003902CB"/>
    <w:rsid w:val="003972FD"/>
    <w:rsid w:val="004002AC"/>
    <w:rsid w:val="004B1494"/>
    <w:rsid w:val="004B4735"/>
    <w:rsid w:val="004E0C69"/>
    <w:rsid w:val="004F7E49"/>
    <w:rsid w:val="00526241"/>
    <w:rsid w:val="00543A6B"/>
    <w:rsid w:val="005922EC"/>
    <w:rsid w:val="005E3E22"/>
    <w:rsid w:val="005F5DDE"/>
    <w:rsid w:val="00622042"/>
    <w:rsid w:val="0067765D"/>
    <w:rsid w:val="00687CD7"/>
    <w:rsid w:val="00691543"/>
    <w:rsid w:val="0069179D"/>
    <w:rsid w:val="007750EC"/>
    <w:rsid w:val="0078753E"/>
    <w:rsid w:val="007A2346"/>
    <w:rsid w:val="007D6CEC"/>
    <w:rsid w:val="00804F01"/>
    <w:rsid w:val="00831259"/>
    <w:rsid w:val="008754AA"/>
    <w:rsid w:val="00882739"/>
    <w:rsid w:val="00897995"/>
    <w:rsid w:val="008E19E4"/>
    <w:rsid w:val="009205EF"/>
    <w:rsid w:val="00924166"/>
    <w:rsid w:val="0094408E"/>
    <w:rsid w:val="0097679C"/>
    <w:rsid w:val="00985685"/>
    <w:rsid w:val="009A38FC"/>
    <w:rsid w:val="009F3D65"/>
    <w:rsid w:val="00A422E4"/>
    <w:rsid w:val="00A46D60"/>
    <w:rsid w:val="00AA0227"/>
    <w:rsid w:val="00AC1889"/>
    <w:rsid w:val="00AC197D"/>
    <w:rsid w:val="00AE3532"/>
    <w:rsid w:val="00AF451E"/>
    <w:rsid w:val="00B0681E"/>
    <w:rsid w:val="00B46F7B"/>
    <w:rsid w:val="00BB435F"/>
    <w:rsid w:val="00C80E14"/>
    <w:rsid w:val="00C8607C"/>
    <w:rsid w:val="00C96B99"/>
    <w:rsid w:val="00CA1954"/>
    <w:rsid w:val="00D06767"/>
    <w:rsid w:val="00D13C85"/>
    <w:rsid w:val="00D479B3"/>
    <w:rsid w:val="00D75673"/>
    <w:rsid w:val="00D8026F"/>
    <w:rsid w:val="00E0727F"/>
    <w:rsid w:val="00E20864"/>
    <w:rsid w:val="00E97F8A"/>
    <w:rsid w:val="00EA57A9"/>
    <w:rsid w:val="00EB0D4A"/>
    <w:rsid w:val="00EB6110"/>
    <w:rsid w:val="00EC2AC7"/>
    <w:rsid w:val="00EC2EB0"/>
    <w:rsid w:val="00FE4AB7"/>
    <w:rsid w:val="00FE5CD2"/>
    <w:rsid w:val="00FF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3A558"/>
  <w15:chartTrackingRefBased/>
  <w15:docId w15:val="{5547FF18-4C1E-424B-A948-BD39EE37E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96A"/>
    <w:pPr>
      <w:spacing w:after="0"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1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E1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9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9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9E4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F7E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5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Rathana</dc:creator>
  <cp:keywords/>
  <dc:description/>
  <cp:lastModifiedBy>Lin, Ingrid</cp:lastModifiedBy>
  <cp:revision>8</cp:revision>
  <dcterms:created xsi:type="dcterms:W3CDTF">2023-01-02T12:01:00Z</dcterms:created>
  <dcterms:modified xsi:type="dcterms:W3CDTF">2023-01-09T20:34:00Z</dcterms:modified>
</cp:coreProperties>
</file>