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2D0BB" w14:textId="68F756DE" w:rsidR="00ED3986" w:rsidRDefault="00B450B1" w:rsidP="00ED3986">
      <w:pPr>
        <w:spacing w:line="480" w:lineRule="auto"/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</w:rPr>
        <w:drawing>
          <wp:inline distT="0" distB="0" distL="0" distR="0" wp14:anchorId="73CC8492" wp14:editId="3CF22E65">
            <wp:extent cx="5943600" cy="4149090"/>
            <wp:effectExtent l="0" t="0" r="0" b="0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4D74" w14:textId="573C0ABC" w:rsidR="00ED3986" w:rsidRPr="00010816" w:rsidRDefault="00397C67" w:rsidP="00ED3986">
      <w:pPr>
        <w:rPr>
          <w:rFonts w:ascii="Times" w:hAnsi="Times"/>
          <w:b/>
          <w:bCs/>
        </w:rPr>
      </w:pPr>
      <w:r w:rsidRPr="00010816">
        <w:rPr>
          <w:rFonts w:ascii="Times" w:hAnsi="Times"/>
          <w:b/>
          <w:bCs/>
        </w:rPr>
        <w:t>Supplementary</w:t>
      </w:r>
      <w:r w:rsidR="00ED3986" w:rsidRPr="00010816">
        <w:rPr>
          <w:rFonts w:ascii="Times" w:hAnsi="Times"/>
          <w:b/>
          <w:bCs/>
        </w:rPr>
        <w:t xml:space="preserve"> Fig. 1: Antibody-mediated</w:t>
      </w:r>
      <w:r w:rsidR="006E1887" w:rsidRPr="00010816">
        <w:rPr>
          <w:rFonts w:ascii="Times" w:hAnsi="Times"/>
          <w:b/>
          <w:bCs/>
        </w:rPr>
        <w:t xml:space="preserve"> </w:t>
      </w:r>
      <w:r w:rsidR="00ED3986" w:rsidRPr="00010816">
        <w:rPr>
          <w:rFonts w:ascii="Times" w:hAnsi="Times"/>
          <w:b/>
          <w:bCs/>
        </w:rPr>
        <w:t>blockade of IFN</w:t>
      </w:r>
      <w:r w:rsidR="00ED3986" w:rsidRPr="00010816">
        <w:rPr>
          <w:rFonts w:ascii="Symbol" w:hAnsi="Symbol"/>
          <w:b/>
          <w:bCs/>
        </w:rPr>
        <w:t>g</w:t>
      </w:r>
      <w:r w:rsidR="00ED3986" w:rsidRPr="00010816">
        <w:rPr>
          <w:rFonts w:ascii="Times" w:hAnsi="Times"/>
          <w:b/>
          <w:bCs/>
        </w:rPr>
        <w:t xml:space="preserve"> </w:t>
      </w:r>
      <w:r w:rsidR="006E1887" w:rsidRPr="00010816">
        <w:rPr>
          <w:rFonts w:ascii="Times" w:hAnsi="Times"/>
          <w:b/>
          <w:bCs/>
        </w:rPr>
        <w:t>in</w:t>
      </w:r>
      <w:r w:rsidR="00ED3986" w:rsidRPr="00010816">
        <w:rPr>
          <w:rFonts w:ascii="Times" w:hAnsi="Times"/>
          <w:b/>
          <w:bCs/>
        </w:rPr>
        <w:t xml:space="preserve"> CAR</w:t>
      </w:r>
      <w:r w:rsidR="006E1887" w:rsidRPr="00010816">
        <w:rPr>
          <w:rFonts w:ascii="Times" w:hAnsi="Times"/>
          <w:b/>
          <w:bCs/>
        </w:rPr>
        <w:t xml:space="preserve"> T cells</w:t>
      </w:r>
      <w:r w:rsidR="00ED3986" w:rsidRPr="00010816">
        <w:rPr>
          <w:rFonts w:ascii="Times" w:hAnsi="Times"/>
          <w:b/>
          <w:bCs/>
        </w:rPr>
        <w:t>.</w:t>
      </w:r>
    </w:p>
    <w:p w14:paraId="074FABEA" w14:textId="0947BF4C" w:rsidR="00DB42BD" w:rsidRPr="00010816" w:rsidRDefault="00DB42BD" w:rsidP="00DB42BD">
      <w:pPr>
        <w:rPr>
          <w:rFonts w:ascii="Times" w:hAnsi="Times"/>
        </w:rPr>
      </w:pPr>
      <w:r w:rsidRPr="00010816">
        <w:rPr>
          <w:rFonts w:ascii="Times" w:hAnsi="Times"/>
        </w:rPr>
        <w:t>T cells isolated from healthy donors were stimulated with anti-CD3/CD28 Dynabeads for 24 hours before transducing with a lentiviral vector to express anti-CD19 CAR with a 4-1BB costimulatory domain</w:t>
      </w:r>
      <w:r w:rsidR="004C31DB" w:rsidRPr="00010816">
        <w:rPr>
          <w:rFonts w:ascii="Times" w:hAnsi="Times"/>
        </w:rPr>
        <w:t>.</w:t>
      </w:r>
      <w:r w:rsidRPr="00010816">
        <w:rPr>
          <w:rFonts w:ascii="Times" w:hAnsi="Times"/>
        </w:rPr>
        <w:t xml:space="preserve"> </w:t>
      </w:r>
      <w:r w:rsidR="004C31DB" w:rsidRPr="00010816">
        <w:rPr>
          <w:rFonts w:ascii="Times" w:hAnsi="Times"/>
          <w:b/>
          <w:bCs/>
        </w:rPr>
        <w:t>a</w:t>
      </w:r>
      <w:r w:rsidR="004C31DB" w:rsidRPr="00010816">
        <w:rPr>
          <w:rFonts w:ascii="Times" w:hAnsi="Times"/>
        </w:rPr>
        <w:t>, T</w:t>
      </w:r>
      <w:r w:rsidRPr="00010816">
        <w:rPr>
          <w:rFonts w:ascii="Times" w:hAnsi="Times"/>
        </w:rPr>
        <w:t xml:space="preserve">ransduction </w:t>
      </w:r>
      <w:r w:rsidR="004C31DB" w:rsidRPr="00010816">
        <w:rPr>
          <w:rFonts w:ascii="Times" w:hAnsi="Times"/>
        </w:rPr>
        <w:t xml:space="preserve">was confirmed by flow cytometry, </w:t>
      </w:r>
      <w:r w:rsidR="004C31DB" w:rsidRPr="00010816">
        <w:rPr>
          <w:rFonts w:ascii="Times" w:hAnsi="Times"/>
          <w:i/>
          <w:iCs/>
        </w:rPr>
        <w:t>representative data</w:t>
      </w:r>
      <w:r w:rsidRPr="00010816">
        <w:rPr>
          <w:rFonts w:ascii="Times" w:hAnsi="Times"/>
        </w:rPr>
        <w:t xml:space="preserve">. </w:t>
      </w:r>
      <w:r w:rsidR="004C31DB" w:rsidRPr="00010816">
        <w:rPr>
          <w:rFonts w:ascii="Times" w:hAnsi="Times"/>
        </w:rPr>
        <w:t xml:space="preserve">b, </w:t>
      </w:r>
      <w:r w:rsidRPr="00010816">
        <w:rPr>
          <w:rFonts w:ascii="Times" w:hAnsi="Times"/>
        </w:rPr>
        <w:t xml:space="preserve">CAR-T were activated with PMA/Ionomycin in varying doses of </w:t>
      </w:r>
      <w:r w:rsidRPr="00010816">
        <w:rPr>
          <w:rFonts w:ascii="Symbol" w:hAnsi="Symbol"/>
        </w:rPr>
        <w:t>a</w:t>
      </w:r>
      <w:r w:rsidRPr="00010816">
        <w:rPr>
          <w:rFonts w:ascii="Times" w:hAnsi="Times"/>
        </w:rPr>
        <w:t>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or isotype control (0.25 – 20ug/ml) and % inhibition of IFN</w:t>
      </w:r>
      <w:r w:rsidRPr="00010816">
        <w:rPr>
          <w:rFonts w:ascii="Symbol" w:hAnsi="Symbol"/>
        </w:rPr>
        <w:t>g</w:t>
      </w:r>
      <w:r w:rsidR="004C31DB" w:rsidRPr="00010816">
        <w:rPr>
          <w:rFonts w:ascii="Times" w:hAnsi="Times"/>
        </w:rPr>
        <w:t xml:space="preserve"> </w:t>
      </w:r>
      <w:r w:rsidRPr="00010816">
        <w:rPr>
          <w:rFonts w:ascii="Times" w:hAnsi="Times"/>
        </w:rPr>
        <w:t xml:space="preserve">was calculated based on ELISA data from Fig. 1d, </w:t>
      </w:r>
      <w:r w:rsidRPr="00010816">
        <w:rPr>
          <w:rFonts w:ascii="Times" w:hAnsi="Times"/>
          <w:i/>
          <w:iCs/>
        </w:rPr>
        <w:t>n=5</w:t>
      </w:r>
      <w:r w:rsidRPr="00010816">
        <w:rPr>
          <w:rFonts w:ascii="Times" w:hAnsi="Times"/>
        </w:rPr>
        <w:t xml:space="preserve">. </w:t>
      </w:r>
      <w:r w:rsidRPr="00010816">
        <w:rPr>
          <w:rFonts w:ascii="Times" w:hAnsi="Times"/>
          <w:b/>
          <w:bCs/>
        </w:rPr>
        <w:t>c-d</w:t>
      </w:r>
      <w:r w:rsidRPr="00010816">
        <w:rPr>
          <w:rFonts w:ascii="Times" w:hAnsi="Times"/>
        </w:rPr>
        <w:t>,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>R1 and pSTAT1 expression in Nalm6 (</w:t>
      </w:r>
      <w:r w:rsidRPr="00010816">
        <w:rPr>
          <w:rFonts w:ascii="Times" w:hAnsi="Times"/>
          <w:b/>
          <w:bCs/>
        </w:rPr>
        <w:t>c</w:t>
      </w:r>
      <w:r w:rsidRPr="00010816">
        <w:rPr>
          <w:rFonts w:ascii="Times" w:hAnsi="Times"/>
        </w:rPr>
        <w:t>) and Raji (</w:t>
      </w:r>
      <w:r w:rsidRPr="00010816">
        <w:rPr>
          <w:rFonts w:ascii="Times" w:hAnsi="Times"/>
          <w:b/>
          <w:bCs/>
        </w:rPr>
        <w:t>d</w:t>
      </w:r>
      <w:r w:rsidRPr="00010816">
        <w:rPr>
          <w:rFonts w:ascii="Times" w:hAnsi="Times"/>
        </w:rPr>
        <w:t xml:space="preserve">) cells treated with (+) or without (-) 10ng/ml </w:t>
      </w:r>
      <w:r w:rsidR="004C31DB" w:rsidRPr="00010816">
        <w:rPr>
          <w:rFonts w:ascii="Times" w:hAnsi="Times"/>
        </w:rPr>
        <w:t xml:space="preserve">rh </w:t>
      </w:r>
      <w:r w:rsidRPr="00010816">
        <w:rPr>
          <w:rFonts w:ascii="Times" w:hAnsi="Times"/>
        </w:rPr>
        <w:t>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+/- </w:t>
      </w:r>
      <w:r w:rsidRPr="00010816">
        <w:rPr>
          <w:rFonts w:ascii="Symbol" w:hAnsi="Symbol"/>
        </w:rPr>
        <w:t>a</w:t>
      </w:r>
      <w:r w:rsidRPr="00010816">
        <w:rPr>
          <w:rFonts w:ascii="Times" w:hAnsi="Times"/>
        </w:rPr>
        <w:t>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blocking antibody (</w:t>
      </w:r>
      <w:r w:rsidRPr="00010816">
        <w:rPr>
          <w:rFonts w:ascii="Symbol" w:hAnsi="Symbol"/>
        </w:rPr>
        <w:t>m</w:t>
      </w:r>
      <w:r w:rsidRPr="00010816">
        <w:rPr>
          <w:rFonts w:ascii="Times" w:hAnsi="Times"/>
        </w:rPr>
        <w:t xml:space="preserve">g/ml) as shown by percent positive cells, </w:t>
      </w:r>
      <w:r w:rsidRPr="00010816">
        <w:rPr>
          <w:rFonts w:ascii="Times" w:hAnsi="Times"/>
          <w:i/>
          <w:iCs/>
        </w:rPr>
        <w:t>n=3 experiments</w:t>
      </w:r>
      <w:r w:rsidRPr="00010816">
        <w:rPr>
          <w:rFonts w:ascii="Times" w:hAnsi="Times"/>
        </w:rPr>
        <w:t xml:space="preserve">. </w:t>
      </w:r>
      <w:r w:rsidRPr="00010816">
        <w:rPr>
          <w:rFonts w:ascii="Times" w:hAnsi="Times"/>
          <w:b/>
          <w:bCs/>
        </w:rPr>
        <w:t>e</w:t>
      </w:r>
      <w:r w:rsidRPr="00010816">
        <w:rPr>
          <w:rFonts w:ascii="Times" w:hAnsi="Times"/>
        </w:rPr>
        <w:t xml:space="preserve">, </w:t>
      </w:r>
      <w:r w:rsidR="004C31DB" w:rsidRPr="00010816">
        <w:rPr>
          <w:rFonts w:ascii="Times" w:hAnsi="Times"/>
        </w:rPr>
        <w:t xml:space="preserve">Gating strategy for </w:t>
      </w:r>
      <w:r w:rsidRPr="00010816">
        <w:rPr>
          <w:rFonts w:ascii="Times" w:hAnsi="Times"/>
        </w:rPr>
        <w:t>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>R1 expression on</w:t>
      </w:r>
      <w:r w:rsidR="004C31DB" w:rsidRPr="00010816">
        <w:rPr>
          <w:rFonts w:ascii="Times" w:hAnsi="Times"/>
        </w:rPr>
        <w:t xml:space="preserve"> untransduced (UTD) and</w:t>
      </w:r>
      <w:r w:rsidRPr="00010816">
        <w:rPr>
          <w:rFonts w:ascii="Times" w:hAnsi="Times"/>
        </w:rPr>
        <w:t xml:space="preserve"> CAR-T</w:t>
      </w:r>
      <w:r w:rsidR="004C31DB" w:rsidRPr="00010816">
        <w:rPr>
          <w:rFonts w:ascii="Times" w:hAnsi="Times"/>
        </w:rPr>
        <w:t xml:space="preserve"> following a 24hr incubation with IFN</w:t>
      </w:r>
      <w:r w:rsidR="004C31DB" w:rsidRPr="00010816">
        <w:rPr>
          <w:rFonts w:ascii="Symbol" w:hAnsi="Symbol"/>
        </w:rPr>
        <w:t>g</w:t>
      </w:r>
      <w:r w:rsidR="004C31DB" w:rsidRPr="00010816">
        <w:rPr>
          <w:rFonts w:ascii="Times" w:hAnsi="Times"/>
        </w:rPr>
        <w:t xml:space="preserve"> blocking antibody, </w:t>
      </w:r>
      <w:r w:rsidR="004C31DB" w:rsidRPr="00010816">
        <w:rPr>
          <w:rFonts w:ascii="Times" w:hAnsi="Times"/>
          <w:i/>
          <w:iCs/>
        </w:rPr>
        <w:t>representative;</w:t>
      </w:r>
      <w:r w:rsidR="004C31DB" w:rsidRPr="00010816">
        <w:rPr>
          <w:rFonts w:ascii="Times" w:hAnsi="Times"/>
        </w:rPr>
        <w:t xml:space="preserve"> </w:t>
      </w:r>
      <w:r w:rsidR="004C31DB" w:rsidRPr="00010816">
        <w:rPr>
          <w:rFonts w:ascii="Times" w:hAnsi="Times"/>
          <w:i/>
          <w:iCs/>
        </w:rPr>
        <w:t>n=5</w:t>
      </w:r>
      <w:r w:rsidR="004C31DB" w:rsidRPr="00010816">
        <w:rPr>
          <w:rFonts w:ascii="Times" w:hAnsi="Times"/>
        </w:rPr>
        <w:t>.</w:t>
      </w:r>
      <w:r w:rsidRPr="00010816">
        <w:rPr>
          <w:rFonts w:ascii="Times" w:hAnsi="Times"/>
        </w:rPr>
        <w:t xml:space="preserve"> </w:t>
      </w:r>
      <w:r w:rsidR="004C31DB" w:rsidRPr="00010816">
        <w:rPr>
          <w:rFonts w:ascii="Times" w:hAnsi="Times"/>
          <w:b/>
          <w:bCs/>
        </w:rPr>
        <w:t>f</w:t>
      </w:r>
      <w:r w:rsidR="004C31DB" w:rsidRPr="00010816">
        <w:rPr>
          <w:rFonts w:ascii="Times" w:hAnsi="Times"/>
        </w:rPr>
        <w:t>, IFN</w:t>
      </w:r>
      <w:r w:rsidR="004C31DB" w:rsidRPr="00010816">
        <w:rPr>
          <w:rFonts w:ascii="Symbol" w:hAnsi="Symbol"/>
        </w:rPr>
        <w:t>g</w:t>
      </w:r>
      <w:r w:rsidR="004C31DB" w:rsidRPr="00010816">
        <w:rPr>
          <w:rFonts w:ascii="Times" w:hAnsi="Times"/>
        </w:rPr>
        <w:t>R1 expression on cancer</w:t>
      </w:r>
      <w:r w:rsidRPr="00010816">
        <w:rPr>
          <w:rFonts w:ascii="Times" w:hAnsi="Times"/>
        </w:rPr>
        <w:t xml:space="preserve"> cell lines </w:t>
      </w:r>
      <w:r w:rsidR="004C31DB" w:rsidRPr="00010816">
        <w:rPr>
          <w:rFonts w:ascii="Times" w:hAnsi="Times"/>
        </w:rPr>
        <w:t>+/- IFN</w:t>
      </w:r>
      <w:r w:rsidR="004C31DB" w:rsidRPr="00010816">
        <w:rPr>
          <w:rFonts w:ascii="Symbol" w:hAnsi="Symbol"/>
        </w:rPr>
        <w:t>g</w:t>
      </w:r>
      <w:r w:rsidR="004C31DB" w:rsidRPr="00010816">
        <w:rPr>
          <w:rFonts w:ascii="Times" w:hAnsi="Times"/>
        </w:rPr>
        <w:t xml:space="preserve"> blockade </w:t>
      </w:r>
      <w:r w:rsidRPr="00010816">
        <w:rPr>
          <w:rFonts w:ascii="Times" w:hAnsi="Times"/>
        </w:rPr>
        <w:t>as shown by MFI</w:t>
      </w:r>
      <w:r w:rsidR="004C31DB" w:rsidRPr="00010816">
        <w:rPr>
          <w:rFonts w:ascii="Times" w:hAnsi="Times"/>
        </w:rPr>
        <w:t xml:space="preserve">, </w:t>
      </w:r>
      <w:r w:rsidRPr="00010816">
        <w:rPr>
          <w:rFonts w:ascii="Times" w:hAnsi="Times"/>
          <w:i/>
          <w:iCs/>
        </w:rPr>
        <w:t>representative;</w:t>
      </w:r>
      <w:r w:rsidRPr="00010816">
        <w:rPr>
          <w:rFonts w:ascii="Times" w:hAnsi="Times"/>
        </w:rPr>
        <w:t xml:space="preserve"> </w:t>
      </w:r>
      <w:r w:rsidRPr="00010816">
        <w:rPr>
          <w:rFonts w:ascii="Times" w:hAnsi="Times"/>
          <w:i/>
          <w:iCs/>
        </w:rPr>
        <w:t>n=</w:t>
      </w:r>
      <w:r w:rsidR="004C31DB" w:rsidRPr="00010816">
        <w:rPr>
          <w:rFonts w:ascii="Times" w:hAnsi="Times"/>
          <w:i/>
          <w:iCs/>
        </w:rPr>
        <w:t>3 experiments</w:t>
      </w:r>
      <w:r w:rsidRPr="00010816">
        <w:rPr>
          <w:rFonts w:ascii="Times" w:hAnsi="Times"/>
        </w:rPr>
        <w:t xml:space="preserve">. </w:t>
      </w:r>
      <w:r w:rsidR="004C31DB" w:rsidRPr="00010816">
        <w:rPr>
          <w:rFonts w:ascii="Times" w:hAnsi="Times"/>
          <w:b/>
          <w:bCs/>
        </w:rPr>
        <w:t>g</w:t>
      </w:r>
      <w:r w:rsidRPr="00010816">
        <w:rPr>
          <w:rFonts w:ascii="Times" w:hAnsi="Times"/>
        </w:rPr>
        <w:t xml:space="preserve">, CAR-T viability following incubation with </w:t>
      </w:r>
      <w:r w:rsidRPr="00010816">
        <w:rPr>
          <w:rFonts w:ascii="Symbol" w:hAnsi="Symbol"/>
        </w:rPr>
        <w:t>a</w:t>
      </w:r>
      <w:r w:rsidRPr="00010816">
        <w:rPr>
          <w:rFonts w:ascii="Times" w:hAnsi="Times"/>
        </w:rPr>
        <w:t>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blocking antibody at 6 hours post-PMA/Ionomycin, 18 hours post-Nalm6 and 24 hours on resting T cells, </w:t>
      </w:r>
      <w:r w:rsidRPr="00010816">
        <w:rPr>
          <w:rFonts w:ascii="Times" w:hAnsi="Times"/>
          <w:i/>
          <w:iCs/>
        </w:rPr>
        <w:t>n=5</w:t>
      </w:r>
      <w:r w:rsidRPr="00010816">
        <w:rPr>
          <w:rFonts w:ascii="Times" w:hAnsi="Times"/>
        </w:rPr>
        <w:t xml:space="preserve">. </w:t>
      </w:r>
      <w:r w:rsidR="004C31DB" w:rsidRPr="00010816">
        <w:rPr>
          <w:rFonts w:ascii="Times" w:hAnsi="Times"/>
          <w:b/>
          <w:bCs/>
        </w:rPr>
        <w:t>h</w:t>
      </w:r>
      <w:r w:rsidRPr="00010816">
        <w:rPr>
          <w:rFonts w:ascii="Times" w:hAnsi="Times"/>
        </w:rPr>
        <w:t xml:space="preserve">, Tumor cell lines were incubated in </w:t>
      </w:r>
      <w:r w:rsidRPr="00010816">
        <w:rPr>
          <w:rFonts w:ascii="Symbol" w:hAnsi="Symbol"/>
        </w:rPr>
        <w:t>a</w:t>
      </w:r>
      <w:r w:rsidRPr="00010816">
        <w:rPr>
          <w:rFonts w:ascii="Times" w:hAnsi="Times"/>
        </w:rPr>
        <w:t>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blocking antibody for 24 hours prior to assessing cell viability by flow cytometry, </w:t>
      </w:r>
      <w:r w:rsidRPr="00010816">
        <w:rPr>
          <w:rFonts w:ascii="Times" w:hAnsi="Times"/>
          <w:i/>
          <w:iCs/>
        </w:rPr>
        <w:t>n=3 experiments</w:t>
      </w:r>
      <w:r w:rsidRPr="00010816">
        <w:rPr>
          <w:rFonts w:ascii="Times" w:hAnsi="Times"/>
        </w:rPr>
        <w:t>. Data are shown as mean ± </w:t>
      </w:r>
      <w:r w:rsidR="00F76B8C" w:rsidRPr="00010816">
        <w:rPr>
          <w:rFonts w:ascii="Times" w:hAnsi="Times"/>
        </w:rPr>
        <w:t>s.e.m.</w:t>
      </w:r>
      <w:r w:rsidRPr="00010816">
        <w:rPr>
          <w:rFonts w:ascii="Times" w:hAnsi="Times"/>
        </w:rPr>
        <w:t xml:space="preserve"> with </w:t>
      </w:r>
      <w:r w:rsidRPr="00010816">
        <w:rPr>
          <w:rFonts w:ascii="Times" w:hAnsi="Times"/>
          <w:i/>
          <w:iCs/>
        </w:rPr>
        <w:t>P</w:t>
      </w:r>
      <w:r w:rsidRPr="00010816">
        <w:rPr>
          <w:rFonts w:ascii="Times" w:hAnsi="Times"/>
        </w:rPr>
        <w:t xml:space="preserve"> values by one-way ANOVA. </w:t>
      </w:r>
      <w:r w:rsidRPr="00010816">
        <w:rPr>
          <w:rFonts w:ascii="Times" w:hAnsi="Times"/>
          <w:i/>
          <w:iCs/>
        </w:rPr>
        <w:t>P:</w:t>
      </w:r>
      <w:r w:rsidRPr="00010816">
        <w:rPr>
          <w:rFonts w:ascii="Times" w:hAnsi="Times"/>
        </w:rPr>
        <w:t xml:space="preserve"> **&lt;0.01, ****&lt;0.0001, ns=not significant.</w:t>
      </w:r>
    </w:p>
    <w:p w14:paraId="3B458AE9" w14:textId="736CDFC1" w:rsidR="004C31DB" w:rsidRPr="00010816" w:rsidRDefault="004C31DB" w:rsidP="00DB42BD">
      <w:pPr>
        <w:rPr>
          <w:rFonts w:ascii="Times" w:hAnsi="Times"/>
        </w:rPr>
      </w:pPr>
    </w:p>
    <w:p w14:paraId="32D0D7A4" w14:textId="52504A46" w:rsidR="004C31DB" w:rsidRPr="00010816" w:rsidRDefault="004C31DB" w:rsidP="00DB42BD">
      <w:pPr>
        <w:rPr>
          <w:rFonts w:ascii="Times" w:hAnsi="Times"/>
        </w:rPr>
      </w:pPr>
    </w:p>
    <w:p w14:paraId="6D3E3871" w14:textId="0C0D5C09" w:rsidR="00873857" w:rsidRPr="00010816" w:rsidRDefault="00873857" w:rsidP="00DB42BD">
      <w:pPr>
        <w:rPr>
          <w:rFonts w:ascii="Times" w:hAnsi="Times"/>
        </w:rPr>
      </w:pPr>
    </w:p>
    <w:p w14:paraId="77906A6E" w14:textId="57D6FE22" w:rsidR="00873857" w:rsidRPr="00010816" w:rsidRDefault="006E49CA" w:rsidP="00DB42BD">
      <w:pPr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6DE045E7" wp14:editId="077FFAAE">
            <wp:extent cx="5943600" cy="5812790"/>
            <wp:effectExtent l="0" t="0" r="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A7A0" w14:textId="601A9A92" w:rsidR="004C31DB" w:rsidRPr="00010816" w:rsidRDefault="004C31DB" w:rsidP="00DB42BD">
      <w:pPr>
        <w:rPr>
          <w:rFonts w:ascii="Times" w:hAnsi="Times"/>
        </w:rPr>
      </w:pPr>
      <w:r w:rsidRPr="00010816">
        <w:rPr>
          <w:rFonts w:ascii="Times" w:hAnsi="Times"/>
          <w:b/>
          <w:bCs/>
        </w:rPr>
        <w:t>Supplementary Fig. 2. Generation of IFN</w:t>
      </w:r>
      <w:r w:rsidRPr="00010816">
        <w:rPr>
          <w:rFonts w:ascii="Symbol" w:hAnsi="Symbol"/>
          <w:b/>
          <w:bCs/>
        </w:rPr>
        <w:t>g</w:t>
      </w:r>
      <w:r w:rsidRPr="00010816">
        <w:rPr>
          <w:rFonts w:ascii="Times" w:hAnsi="Times"/>
          <w:b/>
          <w:bCs/>
        </w:rPr>
        <w:t xml:space="preserve"> knockout CAR-T. </w:t>
      </w:r>
    </w:p>
    <w:p w14:paraId="46C4487C" w14:textId="1BC40470" w:rsidR="004C31DB" w:rsidRPr="00010816" w:rsidRDefault="004C31DB" w:rsidP="00DB42BD">
      <w:pPr>
        <w:rPr>
          <w:rFonts w:ascii="Times" w:hAnsi="Times"/>
        </w:rPr>
      </w:pPr>
      <w:r w:rsidRPr="00010816">
        <w:rPr>
          <w:rFonts w:ascii="Times" w:hAnsi="Times"/>
          <w:b/>
          <w:bCs/>
        </w:rPr>
        <w:t xml:space="preserve">a, </w:t>
      </w:r>
      <w:r w:rsidRPr="00010816">
        <w:rPr>
          <w:rFonts w:ascii="Times" w:hAnsi="Times"/>
        </w:rPr>
        <w:t>SMZ-1 cells were activated with 4</w:t>
      </w:r>
      <w:r w:rsidRPr="00010816">
        <w:rPr>
          <w:rFonts w:ascii="Symbol" w:hAnsi="Symbol"/>
        </w:rPr>
        <w:t>m</w:t>
      </w:r>
      <w:r w:rsidRPr="00010816">
        <w:rPr>
          <w:rFonts w:ascii="Times" w:hAnsi="Times"/>
        </w:rPr>
        <w:t>g/ml PMA/Ionomycin (P/I) and assessed for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production by flow cytometry, </w:t>
      </w:r>
      <w:r w:rsidRPr="00010816">
        <w:rPr>
          <w:rFonts w:ascii="Times" w:hAnsi="Times"/>
          <w:i/>
          <w:iCs/>
        </w:rPr>
        <w:t>representative; n=2 experiments</w:t>
      </w:r>
      <w:r w:rsidRPr="00010816">
        <w:rPr>
          <w:rFonts w:ascii="Times" w:hAnsi="Times"/>
        </w:rPr>
        <w:t xml:space="preserve">. </w:t>
      </w:r>
      <w:r w:rsidRPr="00010816">
        <w:rPr>
          <w:rFonts w:ascii="Times" w:hAnsi="Times"/>
          <w:b/>
          <w:bCs/>
        </w:rPr>
        <w:t>b,c</w:t>
      </w:r>
      <w:r w:rsidRPr="00010816">
        <w:rPr>
          <w:rFonts w:ascii="Times" w:hAnsi="Times"/>
        </w:rPr>
        <w:t>, Four guides targeting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and a mock GFP guide from the Brunello library were assessed for their ability to knockout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in the SMZ-1 T cell line as shown by FACS plots (</w:t>
      </w:r>
      <w:r w:rsidRPr="00010816">
        <w:rPr>
          <w:rFonts w:ascii="Times" w:hAnsi="Times"/>
          <w:b/>
          <w:bCs/>
        </w:rPr>
        <w:t>b</w:t>
      </w:r>
      <w:r w:rsidRPr="00010816">
        <w:rPr>
          <w:rFonts w:ascii="Times" w:hAnsi="Times"/>
        </w:rPr>
        <w:t>) and percent expression compared to untransduced (UTD) cells (</w:t>
      </w:r>
      <w:r w:rsidRPr="00010816">
        <w:rPr>
          <w:rFonts w:ascii="Times" w:hAnsi="Times"/>
          <w:b/>
          <w:bCs/>
        </w:rPr>
        <w:t>c</w:t>
      </w:r>
      <w:r w:rsidRPr="00010816">
        <w:rPr>
          <w:rFonts w:ascii="Times" w:hAnsi="Times"/>
        </w:rPr>
        <w:t xml:space="preserve">), </w:t>
      </w:r>
      <w:r w:rsidRPr="00010816">
        <w:rPr>
          <w:rFonts w:ascii="Times" w:hAnsi="Times"/>
          <w:i/>
          <w:iCs/>
        </w:rPr>
        <w:t>n=1</w:t>
      </w:r>
      <w:r w:rsidRPr="00010816">
        <w:rPr>
          <w:rFonts w:ascii="Times" w:hAnsi="Times"/>
        </w:rPr>
        <w:t xml:space="preserve">. </w:t>
      </w:r>
      <w:r w:rsidR="00F404D5" w:rsidRPr="00010816">
        <w:rPr>
          <w:rFonts w:ascii="Times" w:hAnsi="Times"/>
          <w:b/>
          <w:bCs/>
        </w:rPr>
        <w:t>d</w:t>
      </w:r>
      <w:r w:rsidRPr="00010816">
        <w:rPr>
          <w:rFonts w:ascii="Times" w:hAnsi="Times"/>
        </w:rPr>
        <w:t>, The top two guides (1 and 2) that knocked out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after P/I stimulation were chosen, incorporated into CAR constructs, and tested for successful knockout in primary human T cells,</w:t>
      </w:r>
      <w:r w:rsidRPr="00010816">
        <w:rPr>
          <w:rFonts w:ascii="Times" w:hAnsi="Times"/>
          <w:i/>
          <w:iCs/>
        </w:rPr>
        <w:t xml:space="preserve"> n=4-6</w:t>
      </w:r>
      <w:r w:rsidRPr="00010816">
        <w:rPr>
          <w:rFonts w:ascii="Times" w:hAnsi="Times"/>
        </w:rPr>
        <w:t xml:space="preserve">. </w:t>
      </w:r>
      <w:r w:rsidRPr="00010816">
        <w:rPr>
          <w:rFonts w:ascii="Times" w:hAnsi="Times"/>
          <w:b/>
          <w:bCs/>
        </w:rPr>
        <w:t>e,f</w:t>
      </w:r>
      <w:r w:rsidRPr="00010816">
        <w:rPr>
          <w:rFonts w:ascii="Times" w:hAnsi="Times"/>
        </w:rPr>
        <w:t>, KO and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>KO CAR-T (using guide 1) were generated from healthy donors with a similar transduction efficiency (</w:t>
      </w:r>
      <w:r w:rsidRPr="00010816">
        <w:rPr>
          <w:rFonts w:ascii="Times" w:hAnsi="Times"/>
          <w:b/>
          <w:bCs/>
        </w:rPr>
        <w:t>e</w:t>
      </w:r>
      <w:r w:rsidRPr="00010816">
        <w:rPr>
          <w:rFonts w:ascii="Times" w:hAnsi="Times"/>
        </w:rPr>
        <w:t>) and efficient knockdown of TCR (CD3) expression (</w:t>
      </w:r>
      <w:r w:rsidRPr="00010816">
        <w:rPr>
          <w:rFonts w:ascii="Times" w:hAnsi="Times"/>
          <w:b/>
          <w:bCs/>
        </w:rPr>
        <w:t>f</w:t>
      </w:r>
      <w:r w:rsidRPr="00010816">
        <w:rPr>
          <w:rFonts w:ascii="Times" w:hAnsi="Times"/>
        </w:rPr>
        <w:t xml:space="preserve">). </w:t>
      </w:r>
      <w:r w:rsidRPr="00010816">
        <w:rPr>
          <w:rFonts w:ascii="Times" w:hAnsi="Times"/>
          <w:b/>
          <w:bCs/>
        </w:rPr>
        <w:t>g,h,</w:t>
      </w:r>
      <w:r w:rsidRPr="00010816">
        <w:rPr>
          <w:rFonts w:ascii="Times" w:hAnsi="Times"/>
        </w:rPr>
        <w:t xml:space="preserve"> CD3</w:t>
      </w:r>
      <w:r w:rsidRPr="00010816">
        <w:rPr>
          <w:rFonts w:ascii="Times" w:hAnsi="Times"/>
          <w:vertAlign w:val="superscript"/>
        </w:rPr>
        <w:t>-</w:t>
      </w:r>
      <w:r w:rsidRPr="00010816">
        <w:rPr>
          <w:rFonts w:ascii="Times" w:hAnsi="Times"/>
        </w:rPr>
        <w:t xml:space="preserve"> CAR-T were sorted and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 production determined by flow cytometry following either P/I (</w:t>
      </w:r>
      <w:r w:rsidRPr="00010816">
        <w:rPr>
          <w:rFonts w:ascii="Times" w:hAnsi="Times"/>
          <w:b/>
          <w:bCs/>
        </w:rPr>
        <w:t>g</w:t>
      </w:r>
      <w:r w:rsidRPr="00010816">
        <w:rPr>
          <w:rFonts w:ascii="Times" w:hAnsi="Times"/>
        </w:rPr>
        <w:t>) or antigen-specific (</w:t>
      </w:r>
      <w:r w:rsidRPr="00010816">
        <w:rPr>
          <w:rFonts w:ascii="Times" w:hAnsi="Times"/>
          <w:b/>
          <w:bCs/>
        </w:rPr>
        <w:t>h</w:t>
      </w:r>
      <w:r w:rsidRPr="00010816">
        <w:rPr>
          <w:rFonts w:ascii="Times" w:hAnsi="Times"/>
        </w:rPr>
        <w:t xml:space="preserve">) stimulation, </w:t>
      </w:r>
      <w:r w:rsidRPr="00010816">
        <w:rPr>
          <w:rFonts w:ascii="Times" w:hAnsi="Times"/>
          <w:i/>
          <w:iCs/>
        </w:rPr>
        <w:t>representative; n=3</w:t>
      </w:r>
      <w:r w:rsidRPr="00010816">
        <w:rPr>
          <w:rFonts w:ascii="Times" w:hAnsi="Times"/>
        </w:rPr>
        <w:t xml:space="preserve">. </w:t>
      </w:r>
      <w:r w:rsidRPr="00010816">
        <w:rPr>
          <w:rFonts w:ascii="Times" w:hAnsi="Times"/>
          <w:b/>
          <w:bCs/>
        </w:rPr>
        <w:t>i-k,</w:t>
      </w:r>
      <w:r w:rsidRPr="00010816">
        <w:rPr>
          <w:rFonts w:ascii="Times" w:hAnsi="Times"/>
        </w:rPr>
        <w:t xml:space="preserve"> KO/IFN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>KO CAR-T were assessed by flow cytometry for memory (</w:t>
      </w:r>
      <w:r w:rsidRPr="00010816">
        <w:rPr>
          <w:rFonts w:ascii="Times" w:hAnsi="Times"/>
          <w:b/>
          <w:bCs/>
        </w:rPr>
        <w:t>i</w:t>
      </w:r>
      <w:r w:rsidRPr="00010816">
        <w:rPr>
          <w:rFonts w:ascii="Times" w:hAnsi="Times"/>
        </w:rPr>
        <w:t xml:space="preserve">), chemokine receptors </w:t>
      </w:r>
      <w:r w:rsidRPr="00010816">
        <w:rPr>
          <w:rFonts w:ascii="Times" w:hAnsi="Times"/>
        </w:rPr>
        <w:lastRenderedPageBreak/>
        <w:t>(</w:t>
      </w:r>
      <w:r w:rsidRPr="00010816">
        <w:rPr>
          <w:rFonts w:ascii="Times" w:hAnsi="Times"/>
          <w:b/>
          <w:bCs/>
        </w:rPr>
        <w:t>j</w:t>
      </w:r>
      <w:r w:rsidRPr="00010816">
        <w:rPr>
          <w:rFonts w:ascii="Times" w:hAnsi="Times"/>
        </w:rPr>
        <w:t>), and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>R1 expression (</w:t>
      </w:r>
      <w:r w:rsidRPr="00010816">
        <w:rPr>
          <w:rFonts w:ascii="Times" w:hAnsi="Times"/>
          <w:b/>
          <w:bCs/>
        </w:rPr>
        <w:t>k</w:t>
      </w:r>
      <w:r w:rsidRPr="00010816">
        <w:rPr>
          <w:rFonts w:ascii="Times" w:hAnsi="Times"/>
        </w:rPr>
        <w:t xml:space="preserve">), </w:t>
      </w:r>
      <w:r w:rsidRPr="00010816">
        <w:rPr>
          <w:rFonts w:ascii="Times" w:hAnsi="Times"/>
          <w:i/>
          <w:iCs/>
        </w:rPr>
        <w:t>n=3-4</w:t>
      </w:r>
      <w:r w:rsidRPr="00010816">
        <w:rPr>
          <w:rFonts w:ascii="Times" w:hAnsi="Times"/>
        </w:rPr>
        <w:t xml:space="preserve">. </w:t>
      </w:r>
      <w:r w:rsidRPr="00010816">
        <w:rPr>
          <w:rFonts w:ascii="Times" w:hAnsi="Times"/>
          <w:b/>
          <w:bCs/>
        </w:rPr>
        <w:t>l</w:t>
      </w:r>
      <w:r w:rsidRPr="00010816">
        <w:rPr>
          <w:rFonts w:ascii="Times" w:hAnsi="Times"/>
        </w:rPr>
        <w:t>, KO and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 xml:space="preserve">KO CAR-T viability following activation for 6 hours with PMA/Ionomycin or 18 hours with Nalm6 cells, </w:t>
      </w:r>
      <w:r w:rsidRPr="00010816">
        <w:rPr>
          <w:rFonts w:ascii="Times" w:hAnsi="Times"/>
          <w:i/>
          <w:iCs/>
        </w:rPr>
        <w:t>n=4</w:t>
      </w:r>
      <w:r w:rsidRPr="00010816">
        <w:rPr>
          <w:rFonts w:ascii="Times" w:hAnsi="Times"/>
        </w:rPr>
        <w:t xml:space="preserve">. </w:t>
      </w:r>
      <w:r w:rsidRPr="00010816">
        <w:rPr>
          <w:rFonts w:ascii="Times" w:hAnsi="Times"/>
          <w:b/>
          <w:bCs/>
        </w:rPr>
        <w:t>m-o</w:t>
      </w:r>
      <w:r w:rsidRPr="00010816">
        <w:rPr>
          <w:rFonts w:ascii="Times" w:hAnsi="Times"/>
        </w:rPr>
        <w:t>, NanoString analysis of BB</w:t>
      </w:r>
      <w:r w:rsidRPr="00010816">
        <w:rPr>
          <w:rFonts w:ascii="Symbol" w:hAnsi="Symbol"/>
        </w:rPr>
        <w:t>z</w:t>
      </w:r>
      <w:r w:rsidRPr="00010816">
        <w:rPr>
          <w:rFonts w:ascii="Times" w:hAnsi="Times"/>
        </w:rPr>
        <w:t xml:space="preserve"> KO and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>KO CAR-T following a 5-day incubation with Nalm6 cells showing gene heatmap (</w:t>
      </w:r>
      <w:r w:rsidRPr="00010816">
        <w:rPr>
          <w:rFonts w:ascii="Times" w:hAnsi="Times"/>
          <w:b/>
          <w:bCs/>
        </w:rPr>
        <w:t>m</w:t>
      </w:r>
      <w:r w:rsidRPr="00010816">
        <w:rPr>
          <w:rFonts w:ascii="Times" w:hAnsi="Times"/>
        </w:rPr>
        <w:t>), PCA plots by donor (top) and CAR (bottom) (</w:t>
      </w:r>
      <w:r w:rsidRPr="00010816">
        <w:rPr>
          <w:rFonts w:ascii="Times" w:hAnsi="Times"/>
          <w:b/>
          <w:bCs/>
        </w:rPr>
        <w:t>n</w:t>
      </w:r>
      <w:r w:rsidRPr="00010816">
        <w:rPr>
          <w:rFonts w:ascii="Times" w:hAnsi="Times"/>
        </w:rPr>
        <w:t>) and volcano plot for fold change IFN</w:t>
      </w:r>
      <w:r w:rsidRPr="00010816">
        <w:rPr>
          <w:rFonts w:ascii="Symbol" w:hAnsi="Symbol"/>
        </w:rPr>
        <w:t>g</w:t>
      </w:r>
      <w:r w:rsidRPr="00010816">
        <w:rPr>
          <w:rFonts w:ascii="Times" w:hAnsi="Times"/>
        </w:rPr>
        <w:t>KO vs KO (</w:t>
      </w:r>
      <w:r w:rsidRPr="00010816">
        <w:rPr>
          <w:rFonts w:ascii="Times" w:hAnsi="Times"/>
          <w:b/>
          <w:bCs/>
        </w:rPr>
        <w:t>o</w:t>
      </w:r>
      <w:r w:rsidRPr="00010816">
        <w:rPr>
          <w:rFonts w:ascii="Times" w:hAnsi="Times"/>
        </w:rPr>
        <w:t xml:space="preserve">), </w:t>
      </w:r>
      <w:r w:rsidRPr="00010816">
        <w:rPr>
          <w:rFonts w:ascii="Times" w:hAnsi="Times"/>
          <w:i/>
          <w:iCs/>
        </w:rPr>
        <w:t>n=3</w:t>
      </w:r>
      <w:r w:rsidRPr="00010816">
        <w:rPr>
          <w:rFonts w:ascii="Times" w:hAnsi="Times"/>
        </w:rPr>
        <w:t xml:space="preserve">. Two adjusted </w:t>
      </w:r>
      <w:r w:rsidRPr="00010816">
        <w:rPr>
          <w:rFonts w:ascii="Times" w:hAnsi="Times"/>
          <w:i/>
          <w:iCs/>
        </w:rPr>
        <w:t>P</w:t>
      </w:r>
      <w:r w:rsidRPr="00010816">
        <w:rPr>
          <w:rFonts w:ascii="Times" w:hAnsi="Times"/>
        </w:rPr>
        <w:t>-value cutoffs are shown at &lt;0.05 (bottom line), &lt;0.01 (top line). Data are shown as mean ± </w:t>
      </w:r>
      <w:r w:rsidR="00F76B8C" w:rsidRPr="00010816">
        <w:rPr>
          <w:rFonts w:ascii="Times" w:hAnsi="Times"/>
        </w:rPr>
        <w:t>s.e.m.</w:t>
      </w:r>
      <w:r w:rsidRPr="00010816">
        <w:rPr>
          <w:rFonts w:ascii="Times" w:hAnsi="Times"/>
        </w:rPr>
        <w:t xml:space="preserve"> with </w:t>
      </w:r>
      <w:r w:rsidRPr="00010816">
        <w:rPr>
          <w:rFonts w:ascii="Times" w:hAnsi="Times"/>
          <w:i/>
          <w:iCs/>
        </w:rPr>
        <w:t>P</w:t>
      </w:r>
      <w:r w:rsidRPr="00010816">
        <w:rPr>
          <w:rFonts w:ascii="Times" w:hAnsi="Times"/>
        </w:rPr>
        <w:t xml:space="preserve"> values by one-way ANOVA. </w:t>
      </w:r>
      <w:r w:rsidRPr="00010816">
        <w:rPr>
          <w:rFonts w:ascii="Times" w:hAnsi="Times"/>
          <w:i/>
          <w:iCs/>
        </w:rPr>
        <w:t>P:</w:t>
      </w:r>
      <w:r w:rsidRPr="00010816">
        <w:rPr>
          <w:rFonts w:ascii="Times" w:hAnsi="Times"/>
        </w:rPr>
        <w:t xml:space="preserve"> **&lt;0.01, ns=not significant.</w:t>
      </w:r>
    </w:p>
    <w:p w14:paraId="20D00B6A" w14:textId="77777777" w:rsidR="00ED3986" w:rsidRPr="00010816" w:rsidRDefault="00ED3986" w:rsidP="00ED3986">
      <w:pPr>
        <w:spacing w:line="480" w:lineRule="auto"/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68529D99" w14:textId="53935E59" w:rsidR="00ED3986" w:rsidRPr="00010816" w:rsidRDefault="00ED3986" w:rsidP="00ED3986">
      <w:pPr>
        <w:spacing w:line="480" w:lineRule="auto"/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89F255C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6BADACF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8FFC084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527F8FA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B4B5CAA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01CA3DE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3EF213D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55F264D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C27932C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6EEC21F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38338B6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64254C0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02BA09F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BD102A6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3A7303E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3005551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219BE74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1046804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3208D14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30D8458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7BF4FBA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D1F239F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4C5743F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E04B134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8EC49A6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5189392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B2474A9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B1B577C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8B9CB0C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A149312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6B05C7B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6C52A12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F426873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6C7D0F2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D3D0F65" w14:textId="77777777" w:rsidR="00873857" w:rsidRPr="00010816" w:rsidRDefault="0087385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F0A5F4E" w14:textId="13766196" w:rsidR="00873857" w:rsidRPr="00010816" w:rsidRDefault="00B450B1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3F8A838B" wp14:editId="3BA1D4F4">
            <wp:extent cx="5943600" cy="7423785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A2D5" w14:textId="15C2D215" w:rsidR="00AE47C4" w:rsidRPr="00010816" w:rsidRDefault="00397C67" w:rsidP="00AE47C4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Supplementary</w:t>
      </w:r>
      <w:r w:rsidR="00ED3986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Fig. </w:t>
      </w:r>
      <w:r w:rsidR="004C31DB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3</w:t>
      </w:r>
      <w:r w:rsidR="00ED3986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: </w:t>
      </w:r>
      <w:r w:rsidR="004C31DB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IFN</w:t>
      </w:r>
      <w:r w:rsidR="004C31DB"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g</w:t>
      </w:r>
      <w:r w:rsidR="004C31DB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may be differentially required for effective CAR-T therapy of hematologic and solid malignancies.</w:t>
      </w:r>
    </w:p>
    <w:p w14:paraId="4D67C89E" w14:textId="3EBC4313" w:rsidR="004C31DB" w:rsidRPr="00010816" w:rsidRDefault="004C31DB" w:rsidP="004C31DB">
      <w:pPr>
        <w:rPr>
          <w:rFonts w:ascii="Times" w:hAnsi="Times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</w:t>
      </w:r>
      <w:r w:rsidR="00AE47C4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,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="00AE47C4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, </w:t>
      </w:r>
      <w:r w:rsidR="000427DF" w:rsidRPr="00010816">
        <w:rPr>
          <w:rFonts w:ascii="Times" w:eastAsia="Times New Roman" w:hAnsi="Times" w:cs="Times New Roman"/>
          <w:color w:val="222222"/>
          <w:shd w:val="clear" w:color="auto" w:fill="FFFFFF"/>
        </w:rPr>
        <w:t>Healthy donor T cells were used to generate KO/</w:t>
      </w:r>
      <w:r w:rsidR="00AE47C4" w:rsidRPr="00010816">
        <w:rPr>
          <w:rFonts w:ascii="Times" w:eastAsia="Times New Roman" w:hAnsi="Times" w:cs="Times New Roman"/>
          <w:color w:val="222222"/>
          <w:shd w:val="clear" w:color="auto" w:fill="FFFFFF"/>
        </w:rPr>
        <w:t>IFN</w:t>
      </w:r>
      <w:r w:rsidR="00AE47C4"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="000427DF" w:rsidRPr="00010816">
        <w:rPr>
          <w:rFonts w:ascii="Times" w:eastAsia="Times New Roman" w:hAnsi="Times" w:cs="Times New Roman"/>
          <w:color w:val="222222"/>
          <w:shd w:val="clear" w:color="auto" w:fill="FFFFFF"/>
        </w:rPr>
        <w:t>KO CAR-T with a CD28 costimulatory domain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</w:t>
      </w:r>
      <w:r w:rsidR="000427DF"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and specific lysis of Nalm6 target cells was performed using the </w:t>
      </w:r>
      <w:r w:rsidR="000427DF" w:rsidRPr="00010816">
        <w:rPr>
          <w:rFonts w:ascii="Times" w:eastAsia="Times New Roman" w:hAnsi="Times" w:cs="Times New Roman"/>
          <w:color w:val="222222"/>
          <w:shd w:val="clear" w:color="auto" w:fill="FFFFFF"/>
        </w:rPr>
        <w:lastRenderedPageBreak/>
        <w:t>Incucyte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="000427DF"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), </w:t>
      </w:r>
      <w:r w:rsidR="000427DF"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="000427DF"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, 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CAR constructs targeting BCMA and using a 4-1BB costimulatory domain, with or without guide sequences to TRAC and/or 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were created.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, 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BCMA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 were incubated overnight with the multiple myeloma cell line RPMI-8226 at varying E:T ratios and 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GM-CSF, TNF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, and Granzyme B expression was assessed by ELISA,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e,f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Luciferase-based killing assay of BCMA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with 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blocking </w:t>
      </w:r>
      <w:r w:rsidR="00F76B8C" w:rsidRPr="00010816">
        <w:rPr>
          <w:rFonts w:ascii="Times" w:eastAsia="Times New Roman" w:hAnsi="Times" w:cs="Times New Roman"/>
          <w:color w:val="222222"/>
          <w:shd w:val="clear" w:color="auto" w:fill="FFFFFF"/>
        </w:rPr>
        <w:t>antibodies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e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;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 or BCMA KO/IFN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KO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f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;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n=3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for both MM.1S and RPMI-8226 cell lines. 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g-i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Mesothelin-specific KO/IFN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KO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 were generated using the constructs shown in 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killing of tumor cell lines BxPC-3 and Capan-2 was observed using luciferase-based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h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 and real-time Incucyte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i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assays,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j,k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 targeting the EGFR antigen were generated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j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and assessed by luciferase-based killing assays in the absence or presence of 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blocking antibodies (</w:t>
      </w:r>
      <w:r w:rsidR="000427DF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k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="00AE47C4" w:rsidRPr="00010816">
        <w:rPr>
          <w:rFonts w:ascii="Times" w:eastAsia="Times New Roman" w:hAnsi="Times" w:cs="Times New Roman"/>
          <w:color w:val="222222"/>
          <w:shd w:val="clear" w:color="auto" w:fill="FFFFFF"/>
        </w:rPr>
        <w:t>Data are shown as mean ± </w:t>
      </w:r>
      <w:r w:rsidR="00F76B8C" w:rsidRPr="00010816">
        <w:rPr>
          <w:rFonts w:ascii="Times" w:eastAsia="Times New Roman" w:hAnsi="Times" w:cs="Times New Roman"/>
          <w:color w:val="222222"/>
          <w:shd w:val="clear" w:color="auto" w:fill="FFFFFF"/>
        </w:rPr>
        <w:t>s.e.m.</w:t>
      </w:r>
      <w:r w:rsidR="00AE47C4"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with </w:t>
      </w:r>
      <w:r w:rsidR="00AE47C4" w:rsidRPr="00010816">
        <w:rPr>
          <w:rFonts w:ascii="Times" w:eastAsia="Times New Roman" w:hAnsi="Times" w:cs="Times New Roman"/>
          <w:i/>
          <w:iCs/>
          <w:color w:val="222222"/>
        </w:rPr>
        <w:t>P</w:t>
      </w:r>
      <w:r w:rsidR="00AE47C4" w:rsidRPr="00010816">
        <w:rPr>
          <w:rFonts w:ascii="Times" w:eastAsia="Times New Roman" w:hAnsi="Times" w:cs="Times New Roman"/>
          <w:color w:val="222222"/>
          <w:shd w:val="clear" w:color="auto" w:fill="FFFFFF"/>
        </w:rPr>
        <w:t> values by one-way ANOVA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(antibody blockade) or unpaired t-tests (genetic knockout). For antibody blockade, statistics shown as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vs.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+ 5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m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g/ml 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</w:t>
      </w:r>
      <w:r w:rsidR="00F76B8C" w:rsidRPr="00010816">
        <w:rPr>
          <w:rFonts w:ascii="Times" w:eastAsia="Times New Roman" w:hAnsi="Times" w:cs="Times New Roman"/>
          <w:color w:val="222222"/>
          <w:shd w:val="clear" w:color="auto" w:fill="FFFFFF"/>
        </w:rPr>
        <w:t>turquoise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),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vs.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+ 20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m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g/ml 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(red), or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vs. both 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concentrations (black). </w:t>
      </w:r>
      <w:r w:rsidRPr="00010816">
        <w:rPr>
          <w:rFonts w:ascii="Times" w:hAnsi="Times"/>
          <w:i/>
          <w:iCs/>
        </w:rPr>
        <w:t>P:</w:t>
      </w:r>
      <w:r w:rsidRPr="00010816">
        <w:rPr>
          <w:rFonts w:ascii="Times" w:hAnsi="Times"/>
        </w:rPr>
        <w:t xml:space="preserve"> *&lt;0.05, **&lt;0.01, ***&lt;0.001, ****&lt;0.0001, ns=not significant.</w:t>
      </w:r>
    </w:p>
    <w:p w14:paraId="6BC17AAC" w14:textId="6AB6A4DF" w:rsidR="002A4A00" w:rsidRPr="00010816" w:rsidRDefault="002A4A00" w:rsidP="004C31DB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BDFFDF0" w14:textId="77777777" w:rsidR="002A4A00" w:rsidRPr="00010816" w:rsidRDefault="002A4A00" w:rsidP="004C31DB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6B65CA58" w14:textId="1B4D0B83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5BF5E7A" w14:textId="0769977A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8E4D020" w14:textId="7D114D4A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BCEFEDB" w14:textId="48112592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4DB3432" w14:textId="786E3A0D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7B60766" w14:textId="5D46A580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A480A58" w14:textId="06CE97A2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E9BD241" w14:textId="7ADDEE7D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F131A50" w14:textId="0AE52DEE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51FC626" w14:textId="7F016C9A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4B0571D" w14:textId="7A3C1E7B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F6A5662" w14:textId="5D80D7A0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2DCEFDD" w14:textId="60EAC9D9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A4E7E7F" w14:textId="2287D31F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FBB0F2C" w14:textId="1D8C1ACE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2ED1805" w14:textId="3E6CB6AB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BA89E1A" w14:textId="3EC63F6F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67C660E" w14:textId="7D641407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36154CC" w14:textId="03484E50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7F10259" w14:textId="48199884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8FCECD4" w14:textId="6ABE9476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C52644F" w14:textId="033CCD54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E9DC876" w14:textId="3240BF4D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8F7B6EC" w14:textId="77B1008C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6940C27" w14:textId="77777777" w:rsidR="00873857" w:rsidRPr="00010816" w:rsidRDefault="00873857" w:rsidP="00ED3986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51ED7D6" w14:textId="52B36F16" w:rsidR="00ED3986" w:rsidRPr="00010816" w:rsidRDefault="00ED3986" w:rsidP="009C545B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8B98100" w14:textId="32519D72" w:rsidR="0038224C" w:rsidRPr="00010816" w:rsidRDefault="0038224C" w:rsidP="009C545B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011DB43" w14:textId="1ADFA4A6" w:rsidR="0038224C" w:rsidRPr="00010816" w:rsidRDefault="0038224C" w:rsidP="009C545B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0BC3B0A" w14:textId="2668E3F7" w:rsidR="0038224C" w:rsidRPr="00010816" w:rsidRDefault="00B450B1" w:rsidP="009C545B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20FE4A3B" wp14:editId="5C89FEF9">
            <wp:extent cx="5943600" cy="6779895"/>
            <wp:effectExtent l="0" t="0" r="0" b="1905"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E1E3" w14:textId="34AF7A8F" w:rsidR="00AC6529" w:rsidRPr="00010816" w:rsidRDefault="000427DF" w:rsidP="00AC6529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Supplementary </w:t>
      </w:r>
      <w:r w:rsidR="00AC6529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Fig.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4</w:t>
      </w:r>
      <w:r w:rsidR="00AC6529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: IFN</w:t>
      </w:r>
      <w:r w:rsidR="00AC6529"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g</w:t>
      </w:r>
      <w:r w:rsidR="00AC6529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deletion reduces immune checkpoint proteins and yields greater 28</w:t>
      </w:r>
      <w:r w:rsidR="00AC6529"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z</w:t>
      </w:r>
      <w:r w:rsidR="00AC6529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CAR-T proliferation.</w:t>
      </w:r>
    </w:p>
    <w:p w14:paraId="36A478D6" w14:textId="77777777" w:rsidR="00AC6529" w:rsidRPr="00010816" w:rsidRDefault="00AC6529" w:rsidP="00AC6529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a-c,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KO/IFN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KO CAR-T were generated from healthy donors and combined with Nalm6 cells at an effector-to-target (E:T) ratio of 1:10 plus or minus donor-matched GMCSF-activated macrophages (1E:10T:0.02M) for five days prior to assessment of CAR-T proliferation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; Incucyte) and immune checkpoint proteins by flow cytometry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-representative MFI,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-percent positive cells),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n=3-5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d-f,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KO/IFN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KO CAR-T were generated from healthy donors and 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lastRenderedPageBreak/>
        <w:t>combined with Nalm6 cells at a 1:10 E:T ratio plus or minus donor-matched GMCSF-activated macrophages (1E:10T:0.02M) for five days prior to assessment of CAR-T proliferation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; Incucyte) and immune checkpoint proteins by flow cytometry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e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-representative MFI,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f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-percent positive cells),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Data are shown as mean ± s.e.m. with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P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values by one-way ANOVA.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P: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 *&lt;0.05, **&lt;0.01, ***&lt;0.001, ns=not significant.</w:t>
      </w:r>
    </w:p>
    <w:p w14:paraId="3A14EC21" w14:textId="04D50260" w:rsidR="002A4A00" w:rsidRPr="00010816" w:rsidRDefault="002A4A00" w:rsidP="00B60F29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7AC8DC90" w14:textId="4633A202" w:rsidR="002A4A00" w:rsidRPr="00010816" w:rsidRDefault="002A4A00" w:rsidP="00B60F29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5DAFF71" w14:textId="0A048677" w:rsidR="002A4A00" w:rsidRPr="00010816" w:rsidRDefault="002A4A00" w:rsidP="00B60F29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167BE84C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A6E8C86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D5F0D4B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7B774B08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D3A4144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F815350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191B4BA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D4EFAD3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B61E930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A271EE7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C957D6C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3D86153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2EBCB8C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E8F47AF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7770900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C3079FF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1A93C37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1F515F1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58E6038F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5C45638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4EC91D3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19FCFF2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4AB06B1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14E1CAC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902E569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1966726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10383EB7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2B7DC0D5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22E6E4C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AF44A11" w14:textId="77777777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442B0856" w14:textId="441BD97B" w:rsidR="00873857" w:rsidRPr="00010816" w:rsidRDefault="00B450B1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7B7328C2" wp14:editId="023EB4B0">
            <wp:extent cx="5638800" cy="79375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A81E" w14:textId="6E5F1C9D" w:rsidR="002A4A00" w:rsidRPr="00010816" w:rsidRDefault="002A4A00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lastRenderedPageBreak/>
        <w:t>Supplementary Fig. 5: Increased IFN</w:t>
      </w:r>
      <w:r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, IL-6, IL-10, IP-10, MCP-</w:t>
      </w:r>
      <w:r w:rsidR="00F76B8C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1,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and MIP-1</w:t>
      </w:r>
      <w:r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b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correlates with clinical CRS and neurotoxicity.</w:t>
      </w:r>
    </w:p>
    <w:p w14:paraId="7C504649" w14:textId="18104604" w:rsidR="002A4A00" w:rsidRPr="00010816" w:rsidRDefault="002A4A00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Serum was collected from lymphoma patients 2-5 days after receiving </w:t>
      </w:r>
      <w:r w:rsidRPr="00010816">
        <w:rPr>
          <w:rFonts w:ascii="Times" w:eastAsia="Times New Roman" w:hAnsi="Times"/>
          <w:color w:val="222222"/>
          <w:shd w:val="clear" w:color="auto" w:fill="FFFFFF"/>
        </w:rPr>
        <w:t>tisagenlecleucel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or </w:t>
      </w:r>
      <w:r w:rsidRPr="00010816">
        <w:rPr>
          <w:rFonts w:ascii="Times" w:eastAsia="Times New Roman" w:hAnsi="Times"/>
          <w:color w:val="222222"/>
          <w:shd w:val="clear" w:color="auto" w:fill="FFFFFF"/>
        </w:rPr>
        <w:t>axicabtagene ciloleucel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 products and analyzed by Luminex. Individual data in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a,b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is graphed by color to denote CRS status: white (no CRS), green (grade 1; G1), yellow (grade 2; G2) and red (grade 3; G3) as well as by pattern to denote neurotoxicity (NT): no stripes (no NT), stripes (NT). NG=no grade. </w:t>
      </w:r>
      <w:proofErr w:type="spellStart"/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</w:t>
      </w:r>
      <w:r w:rsidR="00F404D5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</w:t>
      </w:r>
      <w:proofErr w:type="spellEnd"/>
      <w:r w:rsidR="00F404D5" w:rsidRPr="00010816">
        <w:rPr>
          <w:rFonts w:ascii="Times" w:eastAsia="Times New Roman" w:hAnsi="Times" w:cs="Times New Roman"/>
          <w:color w:val="222222"/>
          <w:shd w:val="clear" w:color="auto" w:fill="FFFFFF"/>
        </w:rPr>
        <w:t>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Patient data was combined and graphed as mean value with black arrows denoting the markers that were upregulated in CRS/NT patients (bottom row) compared to control patients who did not develop CRS or NT (top row),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n=6 patients/treatment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.</w:t>
      </w:r>
    </w:p>
    <w:p w14:paraId="7C410A7F" w14:textId="78AA9C9B" w:rsidR="00873857" w:rsidRPr="00010816" w:rsidRDefault="00873857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446DBDF" w14:textId="56C0FB09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46B6D20" w14:textId="4B3492D1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3AF14533" w14:textId="0CFFDF0C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F1C7F50" w14:textId="784867E2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0CC63394" w14:textId="1F2A270E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2F28FF35" w14:textId="780CC50F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1CF0D261" w14:textId="434BE1EB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5126DDA5" w14:textId="54E9AB56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235EE7FF" w14:textId="2896AE92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37B3EEDB" w14:textId="4AFC22D5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5D11A1F" w14:textId="4B3BAE82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BA286A5" w14:textId="67F3C443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0DBD23CC" w14:textId="77777777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67449BD6" w14:textId="3B658C8E" w:rsidR="00873857" w:rsidRPr="00010816" w:rsidRDefault="00B450B1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noProof/>
          <w:color w:val="222222"/>
          <w:shd w:val="clear" w:color="auto" w:fill="FFFFFF"/>
        </w:rPr>
        <w:lastRenderedPageBreak/>
        <w:drawing>
          <wp:inline distT="0" distB="0" distL="0" distR="0" wp14:anchorId="41CE06F1" wp14:editId="2CE3207B">
            <wp:extent cx="5943600" cy="5140325"/>
            <wp:effectExtent l="0" t="0" r="0" b="0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E5FF" w14:textId="023AA0F4" w:rsidR="002A4A00" w:rsidRPr="00010816" w:rsidRDefault="002A4A00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Supplementary Fig. 6: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GMCSF-activated macrophages best mimic CRS </w:t>
      </w:r>
      <w:r w:rsidRPr="00010816">
        <w:rPr>
          <w:rFonts w:ascii="Times" w:eastAsia="Times New Roman" w:hAnsi="Times" w:cs="Times New Roman"/>
          <w:b/>
          <w:bCs/>
          <w:i/>
          <w:iCs/>
          <w:color w:val="222222"/>
          <w:shd w:val="clear" w:color="auto" w:fill="FFFFFF"/>
        </w:rPr>
        <w:t>in vitro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.</w:t>
      </w:r>
    </w:p>
    <w:p w14:paraId="1910526A" w14:textId="5146F422" w:rsidR="002A4A00" w:rsidRPr="00010816" w:rsidRDefault="002A4A00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a-c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PBMC and monocytes were isolated from healthy donors and used directly, or monocytes were differentiated into macrophages (M0, GMCSF-activated, M1, M2). Cytokine/chemokine profiles were determined at baseline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 or 48 hours after treatment with supernatant from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CAR-T/Nalm6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 or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CAR-T/Nalm6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cultures,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, Serum collected from lymphoma patients 2-5 days post-treatment with tisagenlecleucel or axicabtagene ciloleucel CAR-T products was added to healthy donor GMCSF-activated macrophages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in vitro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functional profile was determined using Luminex 48 hours later. Data is shown as mean values with black arrows indicating cytokines/chemokines that were upregulated in macrophage cultures treated with CRS/NT serum (bottom row) compared to control patients with no CRS/NT (top row). Data are shown as mean ± </w:t>
      </w:r>
      <w:r w:rsidR="00F76B8C" w:rsidRPr="00010816">
        <w:rPr>
          <w:rFonts w:ascii="Times" w:eastAsia="Times New Roman" w:hAnsi="Times" w:cs="Times New Roman"/>
          <w:color w:val="222222"/>
          <w:shd w:val="clear" w:color="auto" w:fill="FFFFFF"/>
        </w:rPr>
        <w:t>s.e.m.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with </w:t>
      </w:r>
      <w:r w:rsidRPr="00010816">
        <w:rPr>
          <w:rFonts w:ascii="Times" w:eastAsia="Times New Roman" w:hAnsi="Times" w:cs="Times New Roman"/>
          <w:i/>
          <w:iCs/>
          <w:color w:val="222222"/>
        </w:rPr>
        <w:t>P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 values by one-way ANOVA.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P: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*&lt;0.05, **&lt;0.01, ***&lt;0.001, ****&lt;0.0001, ns=not significant.</w:t>
      </w:r>
    </w:p>
    <w:p w14:paraId="4ECC6619" w14:textId="62262861" w:rsidR="002A4A00" w:rsidRPr="00010816" w:rsidRDefault="002A4A00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6CE7F351" w14:textId="1D85D74A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32A0F445" w14:textId="7AFE6597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0C8C51C3" w14:textId="283C3132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28381C77" w14:textId="77777777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13B73B1" w14:textId="2440C2E9" w:rsidR="00F404D5" w:rsidRPr="00010816" w:rsidRDefault="00B450B1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638230B2" wp14:editId="191ABCFF">
            <wp:extent cx="5943600" cy="6877685"/>
            <wp:effectExtent l="0" t="0" r="0" b="0"/>
            <wp:docPr id="11" name="Picture 11" descr="A picture containing computer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omputer, computer, key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13CE" w14:textId="3FD09D9D" w:rsidR="002A4A00" w:rsidRPr="00010816" w:rsidRDefault="002A4A00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Supplementary Fig. 7: Loss of IFN</w:t>
      </w:r>
      <w:r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yields decreased macrophage function. </w:t>
      </w:r>
    </w:p>
    <w:p w14:paraId="3F416E6D" w14:textId="25DEDFA0" w:rsidR="002A4A00" w:rsidRPr="00010816" w:rsidRDefault="002A4A00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a, 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KO CAR-T were combined with Nalm6 target cells with or without donor-matched GMCSF-activated macrophages at a 1E:1T or 1E:1T:0.02M ratio for 48 hours and supernatant was analyzed by Luminex,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n=3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="00F404D5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-d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KO and 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KO CAR-T were generated from healthy donors, combined at a 1E:1T ratio with Nalm6 target cells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="00F404D5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,c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 or with donor-matched GMCSF-activated macrophages and Nalm6 cells at a 1E:1T:0.02M ratio (</w:t>
      </w:r>
      <w:r w:rsidR="00F404D5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d,e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), and supernatant 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lastRenderedPageBreak/>
        <w:t xml:space="preserve">was collected and analyzed by Luminex at 6, 24, 48, and 72 hours,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n=5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. Data are shown as mean ± </w:t>
      </w:r>
      <w:r w:rsidR="00F76B8C" w:rsidRPr="00010816">
        <w:rPr>
          <w:rFonts w:ascii="Times" w:eastAsia="Times New Roman" w:hAnsi="Times" w:cs="Times New Roman"/>
          <w:color w:val="222222"/>
          <w:shd w:val="clear" w:color="auto" w:fill="FFFFFF"/>
        </w:rPr>
        <w:t>s.e.m.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with </w:t>
      </w:r>
      <w:r w:rsidRPr="00010816">
        <w:rPr>
          <w:rFonts w:ascii="Times" w:eastAsia="Times New Roman" w:hAnsi="Times" w:cs="Times New Roman"/>
          <w:i/>
          <w:iCs/>
          <w:color w:val="222222"/>
        </w:rPr>
        <w:t>P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 values by unpaired t-tests.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P: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*&lt;0.05, **&lt;0.01, ***&lt;0.001.</w:t>
      </w:r>
    </w:p>
    <w:p w14:paraId="7235D503" w14:textId="160507CE" w:rsidR="00B450B1" w:rsidRPr="00010816" w:rsidRDefault="00B450B1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5A091EA9" w14:textId="32AA0B1C" w:rsidR="00B450B1" w:rsidRPr="00010816" w:rsidRDefault="00B450B1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0790312" w14:textId="43812973" w:rsidR="00B450B1" w:rsidRPr="00010816" w:rsidRDefault="00B450B1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D200435" w14:textId="1F035E6B" w:rsidR="00B450B1" w:rsidRPr="00010816" w:rsidRDefault="00B450B1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5F49E81D" w14:textId="7C5C88FC" w:rsidR="00B450B1" w:rsidRPr="00010816" w:rsidRDefault="00B450B1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05002C5A" w14:textId="77777777" w:rsidR="00B450B1" w:rsidRPr="00010816" w:rsidRDefault="00B450B1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666266F6" w14:textId="5ED3DE72" w:rsidR="0038224C" w:rsidRPr="00010816" w:rsidRDefault="000C0618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>
        <w:rPr>
          <w:rFonts w:ascii="Times" w:eastAsia="Times New Roman" w:hAnsi="Times" w:cs="Times New Roman"/>
          <w:noProof/>
          <w:color w:val="222222"/>
          <w:shd w:val="clear" w:color="auto" w:fill="FFFFFF"/>
        </w:rPr>
        <w:drawing>
          <wp:inline distT="0" distB="0" distL="0" distR="0" wp14:anchorId="0109B181" wp14:editId="43ED15DA">
            <wp:extent cx="5943600" cy="4093210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7972" w14:textId="3E67D234" w:rsidR="004C31DB" w:rsidRPr="00010816" w:rsidRDefault="00873857" w:rsidP="00B60F29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Supp</w:t>
      </w:r>
      <w:r w:rsidR="002A4A00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lementary Fig. 8: IFN</w:t>
      </w:r>
      <w:r w:rsidR="002A4A00"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g</w:t>
      </w:r>
      <w:r w:rsidR="002A4A00"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KO CAR-T reduce macrophage activation in multiple models.</w:t>
      </w:r>
    </w:p>
    <w:p w14:paraId="2A79B11A" w14:textId="76B5075D" w:rsidR="002A4A00" w:rsidRPr="00010816" w:rsidRDefault="002A4A00" w:rsidP="00B60F29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a,b,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KO/IFN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KO CAR-T from Fig. 5c were generated from healthy donors and combined with Nalm6 cells for 24 hours prior to supernatant collection and addition to donor-matched GMCSF-activated macrophages. 48 hours later, macrophages were fixed and stained for CD86, pJAK2, and pSTAT1 for both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 and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cultures,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representative; n=2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(magnification 63x).</w:t>
      </w:r>
      <w:r w:rsidR="002D029A">
        <w:rPr>
          <w:rFonts w:ascii="Times" w:eastAsia="Times New Roman" w:hAnsi="Times" w:cs="Times New Roman"/>
          <w:color w:val="222222"/>
          <w:shd w:val="clear" w:color="auto" w:fill="FFFFFF"/>
        </w:rPr>
        <w:t xml:space="preserve"> </w:t>
      </w:r>
      <w:r w:rsidR="002D029A" w:rsidRPr="00010816">
        <w:rPr>
          <w:rFonts w:ascii="Times" w:eastAsia="Times New Roman" w:hAnsi="Times" w:cs="Times New Roman"/>
          <w:color w:val="222222"/>
          <w:shd w:val="clear" w:color="auto" w:fill="FFFFFF"/>
        </w:rPr>
        <w:t>Scale bars = 10</w:t>
      </w:r>
      <w:r w:rsidR="002D029A" w:rsidRPr="00010816">
        <w:rPr>
          <w:rFonts w:ascii="Symbol" w:eastAsia="Times New Roman" w:hAnsi="Symbol" w:cs="Times New Roman"/>
          <w:color w:val="222222"/>
          <w:shd w:val="clear" w:color="auto" w:fill="FFFFFF"/>
        </w:rPr>
        <w:t>m</w:t>
      </w:r>
      <w:r w:rsidR="002D029A" w:rsidRPr="00010816">
        <w:rPr>
          <w:rFonts w:ascii="Times" w:eastAsia="Times New Roman" w:hAnsi="Times" w:cs="Times New Roman"/>
          <w:color w:val="222222"/>
          <w:shd w:val="clear" w:color="auto" w:fill="FFFFFF"/>
        </w:rPr>
        <w:t>m.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c,d,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Serum from Nalm6-bearing NSG mice treated with KO or 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KO CAR-T (Fig. 6) was added to donor-matched GMCSF-activated macrophages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in vitro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. 48 hours later, macrophages were fixed and stained for CD86, pJAK2, and pSTAT1 for both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 and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cultures,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representative; n=2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(magnification 63x).</w:t>
      </w:r>
      <w:r w:rsidR="00F404D5"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Scale bars = 10</w:t>
      </w:r>
      <w:r w:rsidR="00F404D5" w:rsidRPr="00010816">
        <w:rPr>
          <w:rFonts w:ascii="Symbol" w:eastAsia="Times New Roman" w:hAnsi="Symbol" w:cs="Times New Roman"/>
          <w:color w:val="222222"/>
          <w:shd w:val="clear" w:color="auto" w:fill="FFFFFF"/>
        </w:rPr>
        <w:t>m</w:t>
      </w:r>
      <w:r w:rsidR="00F404D5" w:rsidRPr="00010816">
        <w:rPr>
          <w:rFonts w:ascii="Times" w:eastAsia="Times New Roman" w:hAnsi="Times" w:cs="Times New Roman"/>
          <w:color w:val="222222"/>
          <w:shd w:val="clear" w:color="auto" w:fill="FFFFFF"/>
        </w:rPr>
        <w:t>m.</w:t>
      </w:r>
    </w:p>
    <w:p w14:paraId="0F83DFBC" w14:textId="15E5C410" w:rsidR="002A4A00" w:rsidRPr="00010816" w:rsidRDefault="002A4A00" w:rsidP="00B60F29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2A9F50D0" w14:textId="48BEF9CF" w:rsidR="002A4A00" w:rsidRPr="00010816" w:rsidRDefault="002A4A00" w:rsidP="00B60F29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5C44EC18" w14:textId="77777777" w:rsidR="00873857" w:rsidRPr="00010816" w:rsidRDefault="00873857" w:rsidP="00B60F29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34DC70BD" w14:textId="77777777" w:rsidR="00873857" w:rsidRPr="00010816" w:rsidRDefault="00873857" w:rsidP="00B60F29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62D46987" w14:textId="77777777" w:rsidR="00873857" w:rsidRPr="00010816" w:rsidRDefault="00873857" w:rsidP="00B60F29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</w:p>
    <w:p w14:paraId="01A6C9D6" w14:textId="0D2BDCB5" w:rsidR="00873857" w:rsidRPr="00010816" w:rsidRDefault="00B450B1" w:rsidP="00B60F29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noProof/>
          <w:color w:val="222222"/>
          <w:shd w:val="clear" w:color="auto" w:fill="FFFFFF"/>
        </w:rPr>
        <w:lastRenderedPageBreak/>
        <w:drawing>
          <wp:inline distT="0" distB="0" distL="0" distR="0" wp14:anchorId="66BED542" wp14:editId="08922B5F">
            <wp:extent cx="5943600" cy="6262370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4A4C" w14:textId="6CEE00EF" w:rsidR="002A4A00" w:rsidRPr="00010816" w:rsidRDefault="002A4A00" w:rsidP="00B60F29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Supplementary Fig. 9: IFN</w:t>
      </w:r>
      <w:r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blockade reduces function in both macrophages and monocytes.</w:t>
      </w:r>
    </w:p>
    <w:p w14:paraId="3BAE2F00" w14:textId="4272A838" w:rsidR="002A4A00" w:rsidRPr="00010816" w:rsidRDefault="002A4A00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a,b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CAR-T were combined with Nalm6 cells for 24 hours prior to supernatant collection and addition to donor-matched GMCSF-activated macrophages +/- blocking antibodies against 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IL-1R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IL-6R and cytokines were assessed 48 hours later for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(top) and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(bottom),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 xml:space="preserve"> n=3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Healthy donor monocytes were expanded into M0, M1, M2, and GMCSF-activated subsets and combined with donor-matched KO/IFN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KO CAR-T and Nalm6 target cells at a 1E:1T:0.02M ratio (individual macrophage groups or mixed macrophage--MM--containing an equal number of each subset). Supernatant was collected after 48 hours and assessed by ELISA,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n=1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d,e,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CAR-T were combined with Nalm6 cells for 24 hours prior to supernatant collection and addition to donor-matched monocytes +/- blocking antibodies against 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IL-1R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IL-6R and cytokines were 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lastRenderedPageBreak/>
        <w:t>assessed 48 hours later for BB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(top) and 28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z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(bottom),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 xml:space="preserve"> n=3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. Data are shown as mean ± </w:t>
      </w:r>
      <w:r w:rsidR="00F76B8C" w:rsidRPr="00010816">
        <w:rPr>
          <w:rFonts w:ascii="Times" w:eastAsia="Times New Roman" w:hAnsi="Times" w:cs="Times New Roman"/>
          <w:color w:val="222222"/>
          <w:shd w:val="clear" w:color="auto" w:fill="FFFFFF"/>
        </w:rPr>
        <w:t>s.e.m.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with </w:t>
      </w:r>
      <w:r w:rsidRPr="00010816">
        <w:rPr>
          <w:rFonts w:ascii="Times" w:eastAsia="Times New Roman" w:hAnsi="Times" w:cs="Times New Roman"/>
          <w:i/>
          <w:iCs/>
          <w:color w:val="222222"/>
        </w:rPr>
        <w:t>P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 values by one-way ANOVA. </w:t>
      </w:r>
      <w:r w:rsidRPr="00010816">
        <w:rPr>
          <w:rFonts w:ascii="Times" w:eastAsia="Times New Roman" w:hAnsi="Times" w:cs="Times New Roman"/>
          <w:i/>
          <w:iCs/>
          <w:color w:val="222222"/>
          <w:shd w:val="clear" w:color="auto" w:fill="FFFFFF"/>
        </w:rPr>
        <w:t>P: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*&lt;0.05, **&lt;0.01, ***&lt;0.001, ****&lt;0.0001.</w:t>
      </w:r>
    </w:p>
    <w:p w14:paraId="43AC50F9" w14:textId="115ACEF2" w:rsidR="0038224C" w:rsidRPr="00010816" w:rsidRDefault="0038224C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262A980C" w14:textId="29073197" w:rsidR="0038224C" w:rsidRPr="00010816" w:rsidRDefault="0038224C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140639C3" w14:textId="19DF14FA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1E34762A" w14:textId="118E5DE3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1DB49A92" w14:textId="19D4F6D6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1A0E2911" w14:textId="203C84C4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4CBE0900" w14:textId="17B85407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7D88C976" w14:textId="71D69C95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5141E475" w14:textId="77777777" w:rsidR="00F404D5" w:rsidRPr="00010816" w:rsidRDefault="00F404D5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</w:p>
    <w:p w14:paraId="6370AFD1" w14:textId="1115F342" w:rsidR="00873857" w:rsidRPr="00010816" w:rsidRDefault="006E49CA" w:rsidP="002A4A00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>
        <w:rPr>
          <w:rFonts w:ascii="Times" w:eastAsia="Times New Roman" w:hAnsi="Times" w:cs="Times New Roman"/>
          <w:noProof/>
          <w:color w:val="222222"/>
          <w:shd w:val="clear" w:color="auto" w:fill="FFFFFF"/>
        </w:rPr>
        <w:lastRenderedPageBreak/>
        <w:drawing>
          <wp:inline distT="0" distB="0" distL="0" distR="0" wp14:anchorId="1221E247" wp14:editId="1A1210C4">
            <wp:extent cx="5943600" cy="6622415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0940" w14:textId="00D2B88B" w:rsidR="00873857" w:rsidRPr="00010816" w:rsidRDefault="00873857" w:rsidP="002A4A00">
      <w:pPr>
        <w:jc w:val="both"/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Supplementary Fig. 10: IFN</w:t>
      </w:r>
      <w:r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blockade creates a distinct transcription profile in macrophages compared to anti-IL1R</w:t>
      </w:r>
      <w:r w:rsidRPr="00010816">
        <w:rPr>
          <w:rFonts w:ascii="Symbol" w:eastAsia="Times New Roman" w:hAnsi="Symbol" w:cs="Times New Roman"/>
          <w:b/>
          <w:bCs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 xml:space="preserve"> and anti-IL6R blocking antibodies.</w:t>
      </w:r>
    </w:p>
    <w:p w14:paraId="190D3D19" w14:textId="4A8410E1" w:rsidR="00ED3986" w:rsidRPr="00142F23" w:rsidRDefault="00873857" w:rsidP="00142F23">
      <w:pPr>
        <w:jc w:val="both"/>
        <w:rPr>
          <w:rFonts w:ascii="Times" w:eastAsia="Times New Roman" w:hAnsi="Times" w:cs="Times New Roman"/>
          <w:color w:val="222222"/>
          <w:shd w:val="clear" w:color="auto" w:fill="FFFFFF"/>
        </w:rPr>
      </w:pP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Serum from patients receiving tisagenlecleucel or axicabtagene ciloleucel CAR-T products was collected 2-5 days post-CAR treatment, added to healthy donor-derived GMCSF-activated macrophages +/- blocking antibodies to IFN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, IL-1R</w:t>
      </w:r>
      <w:r w:rsidRPr="00010816">
        <w:rPr>
          <w:rFonts w:ascii="Symbol" w:eastAsia="Times New Roman" w:hAnsi="Symbol" w:cs="Times New Roman"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IL-6R and were assessed 48 hours later.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a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, Cultures receiving serum from tisagenlecleucel patients were assessed by Luminex. 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b-g,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Macrophages were analyzed by </w:t>
      </w:r>
      <w:r w:rsidR="00F76B8C" w:rsidRPr="00010816">
        <w:rPr>
          <w:rFonts w:ascii="Times" w:eastAsia="Times New Roman" w:hAnsi="Times" w:cs="Times New Roman"/>
          <w:color w:val="222222"/>
          <w:shd w:val="clear" w:color="auto" w:fill="FFFFFF"/>
        </w:rPr>
        <w:t>NanoString,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 and data is shown by direct global significance score (compared to no treatment (NT))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b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), PCA analysis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c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), heatmap of all data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d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), volcano plot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e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 xml:space="preserve">) 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lastRenderedPageBreak/>
        <w:t>and normalized gene counts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f,g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). Experiments above were repeated using serum from axicabtagene ciloleucel (</w:t>
      </w:r>
      <w:r w:rsidRPr="00010816">
        <w:rPr>
          <w:rFonts w:ascii="Times" w:eastAsia="Times New Roman" w:hAnsi="Times" w:cs="Times New Roman"/>
          <w:b/>
          <w:bCs/>
          <w:color w:val="222222"/>
          <w:shd w:val="clear" w:color="auto" w:fill="FFFFFF"/>
        </w:rPr>
        <w:t>h-n</w:t>
      </w:r>
      <w:r w:rsidRPr="00010816">
        <w:rPr>
          <w:rFonts w:ascii="Times" w:eastAsia="Times New Roman" w:hAnsi="Times" w:cs="Times New Roman"/>
          <w:color w:val="222222"/>
          <w:shd w:val="clear" w:color="auto" w:fill="FFFFFF"/>
        </w:rPr>
        <w:t>). Data are shown as mean ± s.e.m.</w:t>
      </w:r>
    </w:p>
    <w:sectPr w:rsidR="00ED3986" w:rsidRPr="00142F23" w:rsidSect="00142F23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altName w:val="﷽﷽﷽﷽﷽﷽⸿Ɛ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xe9wr2r6rr259ewdx7pxpeef5r2w0zf2x9z&quot;&gt;CRI Irvington 2020 F&lt;record-ids&gt;&lt;item&gt;64&lt;/item&gt;&lt;item&gt;65&lt;/item&gt;&lt;/record-ids&gt;&lt;/item&gt;&lt;/Libraries&gt;"/>
  </w:docVars>
  <w:rsids>
    <w:rsidRoot w:val="00142F23"/>
    <w:rsid w:val="00010816"/>
    <w:rsid w:val="000427DF"/>
    <w:rsid w:val="00083042"/>
    <w:rsid w:val="000C0618"/>
    <w:rsid w:val="00142F23"/>
    <w:rsid w:val="00144617"/>
    <w:rsid w:val="001A2803"/>
    <w:rsid w:val="001B0278"/>
    <w:rsid w:val="001F23BD"/>
    <w:rsid w:val="002A4A00"/>
    <w:rsid w:val="002D029A"/>
    <w:rsid w:val="003002C3"/>
    <w:rsid w:val="00334685"/>
    <w:rsid w:val="00342210"/>
    <w:rsid w:val="00361DDD"/>
    <w:rsid w:val="00367834"/>
    <w:rsid w:val="0038224C"/>
    <w:rsid w:val="00397C67"/>
    <w:rsid w:val="00467B9C"/>
    <w:rsid w:val="00491124"/>
    <w:rsid w:val="00494846"/>
    <w:rsid w:val="00496D48"/>
    <w:rsid w:val="004B30DD"/>
    <w:rsid w:val="004C31DB"/>
    <w:rsid w:val="004D3693"/>
    <w:rsid w:val="00510D24"/>
    <w:rsid w:val="00526F9B"/>
    <w:rsid w:val="005704EB"/>
    <w:rsid w:val="005705B7"/>
    <w:rsid w:val="005720B4"/>
    <w:rsid w:val="00620C96"/>
    <w:rsid w:val="00633C0A"/>
    <w:rsid w:val="00645CF6"/>
    <w:rsid w:val="006572C3"/>
    <w:rsid w:val="006A3023"/>
    <w:rsid w:val="006A4744"/>
    <w:rsid w:val="006E1887"/>
    <w:rsid w:val="006E49CA"/>
    <w:rsid w:val="0074302D"/>
    <w:rsid w:val="007515AD"/>
    <w:rsid w:val="00767086"/>
    <w:rsid w:val="0082054D"/>
    <w:rsid w:val="00873857"/>
    <w:rsid w:val="008F2D18"/>
    <w:rsid w:val="009C545B"/>
    <w:rsid w:val="009D1C24"/>
    <w:rsid w:val="00AC6529"/>
    <w:rsid w:val="00AC75E3"/>
    <w:rsid w:val="00AD58A1"/>
    <w:rsid w:val="00AE47C4"/>
    <w:rsid w:val="00B450B1"/>
    <w:rsid w:val="00B60F29"/>
    <w:rsid w:val="00BA6400"/>
    <w:rsid w:val="00C72E1B"/>
    <w:rsid w:val="00D26DF0"/>
    <w:rsid w:val="00D376F3"/>
    <w:rsid w:val="00D63582"/>
    <w:rsid w:val="00DB42BD"/>
    <w:rsid w:val="00DB49C7"/>
    <w:rsid w:val="00E24F3F"/>
    <w:rsid w:val="00E27BEC"/>
    <w:rsid w:val="00E61740"/>
    <w:rsid w:val="00E62456"/>
    <w:rsid w:val="00ED3986"/>
    <w:rsid w:val="00EF59CA"/>
    <w:rsid w:val="00F404D5"/>
    <w:rsid w:val="00F76B8C"/>
    <w:rsid w:val="00FA0955"/>
    <w:rsid w:val="00FB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16770"/>
  <w15:chartTrackingRefBased/>
  <w15:docId w15:val="{6121DD9D-7E36-084D-9B91-B30EC86A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F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95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955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42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2F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F23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42F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986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ED3986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D3986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ED3986"/>
    <w:pPr>
      <w:jc w:val="both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ED3986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376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5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6FE03D-496A-5943-89EB-4EEF2DF3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1600</Words>
  <Characters>9316</Characters>
  <Application>Microsoft Office Word</Application>
  <DocSecurity>0</DocSecurity>
  <Lines>388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Stefanie Renae</dc:creator>
  <cp:keywords/>
  <dc:description/>
  <cp:lastModifiedBy>Bailey, Stefanie Renae</cp:lastModifiedBy>
  <cp:revision>5</cp:revision>
  <dcterms:created xsi:type="dcterms:W3CDTF">2021-12-04T15:57:00Z</dcterms:created>
  <dcterms:modified xsi:type="dcterms:W3CDTF">2021-12-08T03:21:00Z</dcterms:modified>
</cp:coreProperties>
</file>