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9E8DA8" w14:textId="36C87824" w:rsidR="00A42868" w:rsidRPr="00A42868" w:rsidRDefault="00A42868" w:rsidP="00A42868">
      <w:pPr>
        <w:pStyle w:val="NoSpacing"/>
        <w:spacing w:line="360" w:lineRule="auto"/>
        <w:rPr>
          <w:rFonts w:ascii="Times New Roman" w:hAnsi="Times New Roman" w:cs="Times New Roman"/>
          <w:b/>
          <w:bCs/>
          <w:sz w:val="28"/>
          <w:szCs w:val="28"/>
        </w:rPr>
      </w:pPr>
      <w:r w:rsidRPr="00A42868">
        <w:rPr>
          <w:rFonts w:ascii="Times New Roman" w:hAnsi="Times New Roman" w:cs="Times New Roman"/>
          <w:b/>
          <w:bCs/>
          <w:sz w:val="28"/>
          <w:szCs w:val="28"/>
        </w:rPr>
        <w:t>Supplementary information</w:t>
      </w:r>
    </w:p>
    <w:p w14:paraId="3EAF96C7" w14:textId="77777777" w:rsidR="00A42868" w:rsidRPr="00A42868" w:rsidRDefault="00A42868" w:rsidP="00A42868">
      <w:pPr>
        <w:pStyle w:val="NoSpacing"/>
        <w:spacing w:line="360" w:lineRule="auto"/>
        <w:rPr>
          <w:rFonts w:ascii="Times New Roman" w:hAnsi="Times New Roman" w:cs="Times New Roman"/>
          <w:b/>
          <w:bCs/>
          <w:sz w:val="22"/>
          <w:szCs w:val="22"/>
        </w:rPr>
      </w:pPr>
    </w:p>
    <w:p w14:paraId="5F3CA2FD" w14:textId="77777777" w:rsidR="007E4D70" w:rsidRPr="007E4D70" w:rsidRDefault="007E4D70" w:rsidP="007E4D70">
      <w:pPr>
        <w:pStyle w:val="NoSpacing"/>
        <w:spacing w:line="360" w:lineRule="auto"/>
        <w:rPr>
          <w:rFonts w:ascii="Times New Roman" w:hAnsi="Times New Roman" w:cs="Times New Roman"/>
          <w:b/>
          <w:bCs/>
          <w:sz w:val="22"/>
          <w:szCs w:val="22"/>
        </w:rPr>
      </w:pPr>
      <w:r w:rsidRPr="007E4D70">
        <w:rPr>
          <w:rFonts w:ascii="Times New Roman" w:hAnsi="Times New Roman" w:cs="Times New Roman"/>
          <w:b/>
          <w:bCs/>
          <w:sz w:val="22"/>
          <w:szCs w:val="22"/>
        </w:rPr>
        <w:t>Mutation signatures of pediatric acute myeloid leukemia and normal blood progenitors associated with differential patient outcomes</w:t>
      </w:r>
    </w:p>
    <w:p w14:paraId="0793FB28" w14:textId="43509720" w:rsidR="00A42868" w:rsidRPr="00A42868" w:rsidRDefault="00A42868" w:rsidP="00A42868">
      <w:pPr>
        <w:pStyle w:val="NoSpacing"/>
        <w:spacing w:line="360" w:lineRule="auto"/>
        <w:rPr>
          <w:rFonts w:ascii="Times New Roman" w:hAnsi="Times New Roman" w:cs="Times New Roman"/>
          <w:sz w:val="22"/>
          <w:szCs w:val="22"/>
        </w:rPr>
      </w:pPr>
      <w:r w:rsidRPr="00A42868">
        <w:rPr>
          <w:rFonts w:ascii="Times New Roman" w:hAnsi="Times New Roman" w:cs="Times New Roman"/>
          <w:sz w:val="22"/>
          <w:szCs w:val="22"/>
        </w:rPr>
        <w:br/>
        <w:t>Arianne M. Brandsma</w:t>
      </w:r>
      <w:r w:rsidRPr="00A42868">
        <w:rPr>
          <w:rFonts w:ascii="Times New Roman" w:hAnsi="Times New Roman" w:cs="Times New Roman"/>
          <w:sz w:val="22"/>
          <w:szCs w:val="22"/>
          <w:vertAlign w:val="superscript"/>
        </w:rPr>
        <w:t>1</w:t>
      </w:r>
      <w:r w:rsidRPr="00A42868">
        <w:rPr>
          <w:rFonts w:ascii="Times New Roman" w:hAnsi="Times New Roman" w:cs="Times New Roman"/>
          <w:sz w:val="22"/>
          <w:szCs w:val="22"/>
        </w:rPr>
        <w:t>, Eline J.M. Bertrums</w:t>
      </w:r>
      <w:r w:rsidRPr="00A42868">
        <w:rPr>
          <w:rFonts w:ascii="Times New Roman" w:hAnsi="Times New Roman" w:cs="Times New Roman"/>
          <w:sz w:val="22"/>
          <w:szCs w:val="22"/>
          <w:vertAlign w:val="superscript"/>
        </w:rPr>
        <w:t>1</w:t>
      </w:r>
      <w:r w:rsidRPr="00A42868">
        <w:rPr>
          <w:rFonts w:ascii="Times New Roman" w:hAnsi="Times New Roman" w:cs="Times New Roman"/>
          <w:sz w:val="22"/>
          <w:szCs w:val="22"/>
        </w:rPr>
        <w:t>, Markus J. van Roosmalen</w:t>
      </w:r>
      <w:r w:rsidRPr="00A42868">
        <w:rPr>
          <w:rFonts w:ascii="Times New Roman" w:hAnsi="Times New Roman" w:cs="Times New Roman"/>
          <w:sz w:val="22"/>
          <w:szCs w:val="22"/>
          <w:vertAlign w:val="superscript"/>
        </w:rPr>
        <w:t>1</w:t>
      </w:r>
      <w:r w:rsidRPr="00A42868">
        <w:rPr>
          <w:rFonts w:ascii="Times New Roman" w:hAnsi="Times New Roman" w:cs="Times New Roman"/>
          <w:sz w:val="22"/>
          <w:szCs w:val="22"/>
        </w:rPr>
        <w:t>, Damon A. Hofman</w:t>
      </w:r>
      <w:r w:rsidRPr="00A42868">
        <w:rPr>
          <w:rFonts w:ascii="Times New Roman" w:hAnsi="Times New Roman" w:cs="Times New Roman"/>
          <w:sz w:val="22"/>
          <w:szCs w:val="22"/>
          <w:vertAlign w:val="superscript"/>
        </w:rPr>
        <w:t>1</w:t>
      </w:r>
      <w:r w:rsidRPr="00A42868">
        <w:rPr>
          <w:rFonts w:ascii="Times New Roman" w:hAnsi="Times New Roman" w:cs="Times New Roman"/>
          <w:sz w:val="22"/>
          <w:szCs w:val="22"/>
          <w:vertAlign w:val="subscript"/>
        </w:rPr>
        <w:t>,</w:t>
      </w:r>
      <w:r w:rsidRPr="00A42868">
        <w:rPr>
          <w:rFonts w:ascii="Times New Roman" w:hAnsi="Times New Roman" w:cs="Times New Roman"/>
          <w:sz w:val="22"/>
          <w:szCs w:val="22"/>
          <w:vertAlign w:val="superscript"/>
        </w:rPr>
        <w:t xml:space="preserve"> </w:t>
      </w:r>
      <w:proofErr w:type="spellStart"/>
      <w:r w:rsidRPr="00A42868">
        <w:rPr>
          <w:rFonts w:ascii="Times New Roman" w:hAnsi="Times New Roman" w:cs="Times New Roman"/>
          <w:sz w:val="22"/>
          <w:szCs w:val="22"/>
        </w:rPr>
        <w:t>Rurika</w:t>
      </w:r>
      <w:proofErr w:type="spellEnd"/>
      <w:r w:rsidRPr="00A42868">
        <w:rPr>
          <w:rFonts w:ascii="Times New Roman" w:hAnsi="Times New Roman" w:cs="Times New Roman"/>
          <w:sz w:val="22"/>
          <w:szCs w:val="22"/>
        </w:rPr>
        <w:t xml:space="preserve"> Oka</w:t>
      </w:r>
      <w:r w:rsidRPr="00A42868">
        <w:rPr>
          <w:rFonts w:ascii="Times New Roman" w:hAnsi="Times New Roman" w:cs="Times New Roman"/>
          <w:sz w:val="22"/>
          <w:szCs w:val="22"/>
          <w:vertAlign w:val="superscript"/>
        </w:rPr>
        <w:t>1</w:t>
      </w:r>
      <w:r w:rsidRPr="00A42868">
        <w:rPr>
          <w:rFonts w:ascii="Times New Roman" w:hAnsi="Times New Roman" w:cs="Times New Roman"/>
          <w:sz w:val="22"/>
          <w:szCs w:val="22"/>
        </w:rPr>
        <w:t>, Mark Verheul</w:t>
      </w:r>
      <w:r w:rsidRPr="00A42868">
        <w:rPr>
          <w:rFonts w:ascii="Times New Roman" w:hAnsi="Times New Roman" w:cs="Times New Roman"/>
          <w:sz w:val="22"/>
          <w:szCs w:val="22"/>
          <w:vertAlign w:val="superscript"/>
        </w:rPr>
        <w:t>1</w:t>
      </w:r>
      <w:r w:rsidRPr="00A42868">
        <w:rPr>
          <w:rFonts w:ascii="Times New Roman" w:hAnsi="Times New Roman" w:cs="Times New Roman"/>
          <w:sz w:val="22"/>
          <w:szCs w:val="22"/>
        </w:rPr>
        <w:t xml:space="preserve">, </w:t>
      </w:r>
      <w:proofErr w:type="spellStart"/>
      <w:r w:rsidRPr="00A42868">
        <w:rPr>
          <w:rFonts w:ascii="Times New Roman" w:hAnsi="Times New Roman" w:cs="Times New Roman"/>
          <w:sz w:val="22"/>
          <w:szCs w:val="22"/>
        </w:rPr>
        <w:t>Freek</w:t>
      </w:r>
      <w:proofErr w:type="spellEnd"/>
      <w:r w:rsidRPr="00A42868">
        <w:rPr>
          <w:rFonts w:ascii="Times New Roman" w:hAnsi="Times New Roman" w:cs="Times New Roman"/>
          <w:sz w:val="22"/>
          <w:szCs w:val="22"/>
        </w:rPr>
        <w:t xml:space="preserve"> Manders</w:t>
      </w:r>
      <w:r w:rsidRPr="00A42868">
        <w:rPr>
          <w:rFonts w:ascii="Times New Roman" w:hAnsi="Times New Roman" w:cs="Times New Roman"/>
          <w:sz w:val="22"/>
          <w:szCs w:val="22"/>
          <w:vertAlign w:val="superscript"/>
        </w:rPr>
        <w:t>1</w:t>
      </w:r>
      <w:r w:rsidRPr="00A42868">
        <w:rPr>
          <w:rFonts w:ascii="Times New Roman" w:hAnsi="Times New Roman" w:cs="Times New Roman"/>
          <w:sz w:val="22"/>
          <w:szCs w:val="22"/>
        </w:rPr>
        <w:t xml:space="preserve">, </w:t>
      </w:r>
      <w:proofErr w:type="spellStart"/>
      <w:r w:rsidRPr="00A42868">
        <w:rPr>
          <w:rFonts w:ascii="Times New Roman" w:hAnsi="Times New Roman" w:cs="Times New Roman"/>
          <w:sz w:val="22"/>
          <w:szCs w:val="22"/>
        </w:rPr>
        <w:t>Joske</w:t>
      </w:r>
      <w:proofErr w:type="spellEnd"/>
      <w:r w:rsidRPr="00A42868">
        <w:rPr>
          <w:rFonts w:ascii="Times New Roman" w:hAnsi="Times New Roman" w:cs="Times New Roman"/>
          <w:sz w:val="22"/>
          <w:szCs w:val="22"/>
        </w:rPr>
        <w:t xml:space="preserve"> Ubels</w:t>
      </w:r>
      <w:r w:rsidRPr="00A42868">
        <w:rPr>
          <w:rFonts w:ascii="Times New Roman" w:hAnsi="Times New Roman" w:cs="Times New Roman"/>
          <w:sz w:val="22"/>
          <w:szCs w:val="22"/>
          <w:vertAlign w:val="superscript"/>
        </w:rPr>
        <w:t>1</w:t>
      </w:r>
      <w:r w:rsidRPr="00A42868">
        <w:rPr>
          <w:rFonts w:ascii="Times New Roman" w:hAnsi="Times New Roman" w:cs="Times New Roman"/>
          <w:sz w:val="22"/>
          <w:szCs w:val="22"/>
        </w:rPr>
        <w:t xml:space="preserve">, </w:t>
      </w:r>
      <w:proofErr w:type="spellStart"/>
      <w:r w:rsidRPr="00A42868">
        <w:rPr>
          <w:rFonts w:ascii="Times New Roman" w:hAnsi="Times New Roman" w:cs="Times New Roman"/>
          <w:sz w:val="22"/>
          <w:szCs w:val="22"/>
        </w:rPr>
        <w:t>Mirjam</w:t>
      </w:r>
      <w:proofErr w:type="spellEnd"/>
      <w:r w:rsidRPr="00A42868">
        <w:rPr>
          <w:rFonts w:ascii="Times New Roman" w:hAnsi="Times New Roman" w:cs="Times New Roman"/>
          <w:sz w:val="22"/>
          <w:szCs w:val="22"/>
        </w:rPr>
        <w:t xml:space="preserve"> E. Belderbos</w:t>
      </w:r>
      <w:r w:rsidRPr="00A42868">
        <w:rPr>
          <w:rFonts w:ascii="Times New Roman" w:hAnsi="Times New Roman" w:cs="Times New Roman"/>
          <w:sz w:val="22"/>
          <w:szCs w:val="22"/>
          <w:vertAlign w:val="superscript"/>
        </w:rPr>
        <w:t>1</w:t>
      </w:r>
      <w:r w:rsidRPr="00A42868">
        <w:rPr>
          <w:rFonts w:ascii="Times New Roman" w:hAnsi="Times New Roman" w:cs="Times New Roman"/>
          <w:sz w:val="22"/>
          <w:szCs w:val="22"/>
        </w:rPr>
        <w:t>, Ruben van Boxtel</w:t>
      </w:r>
      <w:r w:rsidRPr="00A42868">
        <w:rPr>
          <w:rFonts w:ascii="Times New Roman" w:hAnsi="Times New Roman" w:cs="Times New Roman"/>
          <w:sz w:val="22"/>
          <w:szCs w:val="22"/>
          <w:vertAlign w:val="superscript"/>
        </w:rPr>
        <w:t>1</w:t>
      </w:r>
    </w:p>
    <w:p w14:paraId="5316D611" w14:textId="77777777" w:rsidR="00A42868" w:rsidRPr="00A42868" w:rsidRDefault="00A42868" w:rsidP="00A42868">
      <w:pPr>
        <w:pStyle w:val="NoSpacing"/>
        <w:spacing w:line="360" w:lineRule="auto"/>
        <w:rPr>
          <w:rFonts w:ascii="Times New Roman" w:hAnsi="Times New Roman" w:cs="Times New Roman"/>
          <w:sz w:val="22"/>
          <w:szCs w:val="22"/>
        </w:rPr>
      </w:pPr>
    </w:p>
    <w:p w14:paraId="2E1F2E48" w14:textId="77777777" w:rsidR="00A42868" w:rsidRPr="00A42868" w:rsidRDefault="00A42868" w:rsidP="00A42868">
      <w:pPr>
        <w:pStyle w:val="NoSpacing"/>
        <w:spacing w:line="360" w:lineRule="auto"/>
        <w:rPr>
          <w:rFonts w:ascii="Times New Roman" w:hAnsi="Times New Roman" w:cs="Times New Roman"/>
          <w:color w:val="000000" w:themeColor="text1"/>
          <w:sz w:val="22"/>
          <w:szCs w:val="22"/>
        </w:rPr>
      </w:pPr>
      <w:r w:rsidRPr="00A42868">
        <w:rPr>
          <w:rFonts w:ascii="Times New Roman" w:hAnsi="Times New Roman" w:cs="Times New Roman"/>
          <w:color w:val="000000" w:themeColor="text1"/>
          <w:sz w:val="22"/>
          <w:szCs w:val="22"/>
        </w:rPr>
        <w:t>Affiliations:</w:t>
      </w:r>
    </w:p>
    <w:p w14:paraId="7D3F4D67" w14:textId="77777777" w:rsidR="00A42868" w:rsidRPr="00A42868" w:rsidRDefault="00A42868" w:rsidP="00A42868">
      <w:pPr>
        <w:pStyle w:val="NoSpacing"/>
        <w:numPr>
          <w:ilvl w:val="0"/>
          <w:numId w:val="1"/>
        </w:numPr>
        <w:spacing w:line="360" w:lineRule="auto"/>
        <w:rPr>
          <w:rFonts w:ascii="Times New Roman" w:hAnsi="Times New Roman" w:cs="Times New Roman"/>
          <w:color w:val="000000" w:themeColor="text1"/>
          <w:sz w:val="22"/>
          <w:szCs w:val="22"/>
        </w:rPr>
      </w:pPr>
      <w:r w:rsidRPr="00A42868">
        <w:rPr>
          <w:rFonts w:ascii="Times New Roman" w:eastAsia="Times New Roman" w:hAnsi="Times New Roman" w:cs="Times New Roman"/>
          <w:color w:val="000000" w:themeColor="text1"/>
          <w:sz w:val="22"/>
          <w:szCs w:val="22"/>
          <w:shd w:val="clear" w:color="auto" w:fill="FFFFFF"/>
          <w:lang w:val="en-NL" w:eastAsia="en-GB"/>
        </w:rPr>
        <w:t>Princess Máxima Center for Pediatric Oncology</w:t>
      </w:r>
      <w:r w:rsidRPr="00A42868">
        <w:rPr>
          <w:rFonts w:ascii="Times New Roman" w:eastAsia="Times New Roman" w:hAnsi="Times New Roman" w:cs="Times New Roman"/>
          <w:color w:val="000000" w:themeColor="text1"/>
          <w:sz w:val="22"/>
          <w:szCs w:val="22"/>
          <w:shd w:val="clear" w:color="auto" w:fill="FFFFFF"/>
          <w:lang w:eastAsia="en-GB"/>
        </w:rPr>
        <w:t xml:space="preserve"> and </w:t>
      </w:r>
      <w:proofErr w:type="spellStart"/>
      <w:r w:rsidRPr="00A42868">
        <w:rPr>
          <w:rFonts w:ascii="Times New Roman" w:eastAsia="Times New Roman" w:hAnsi="Times New Roman" w:cs="Times New Roman"/>
          <w:color w:val="000000" w:themeColor="text1"/>
          <w:sz w:val="22"/>
          <w:szCs w:val="22"/>
          <w:shd w:val="clear" w:color="auto" w:fill="FFFFFF"/>
          <w:lang w:eastAsia="en-GB"/>
        </w:rPr>
        <w:t>Oncode</w:t>
      </w:r>
      <w:proofErr w:type="spellEnd"/>
      <w:r w:rsidRPr="00A42868">
        <w:rPr>
          <w:rFonts w:ascii="Times New Roman" w:eastAsia="Times New Roman" w:hAnsi="Times New Roman" w:cs="Times New Roman"/>
          <w:color w:val="000000" w:themeColor="text1"/>
          <w:sz w:val="22"/>
          <w:szCs w:val="22"/>
          <w:shd w:val="clear" w:color="auto" w:fill="FFFFFF"/>
          <w:lang w:eastAsia="en-GB"/>
        </w:rPr>
        <w:t xml:space="preserve"> Institute</w:t>
      </w:r>
      <w:r w:rsidRPr="00A42868">
        <w:rPr>
          <w:rFonts w:ascii="Times New Roman" w:eastAsia="Times New Roman" w:hAnsi="Times New Roman" w:cs="Times New Roman"/>
          <w:color w:val="000000" w:themeColor="text1"/>
          <w:sz w:val="22"/>
          <w:szCs w:val="22"/>
          <w:shd w:val="clear" w:color="auto" w:fill="FFFFFF"/>
          <w:lang w:val="en-NL" w:eastAsia="en-GB"/>
        </w:rPr>
        <w:t>,</w:t>
      </w:r>
      <w:r w:rsidRPr="00A42868">
        <w:rPr>
          <w:rFonts w:ascii="Times New Roman" w:eastAsia="Times New Roman" w:hAnsi="Times New Roman" w:cs="Times New Roman"/>
          <w:color w:val="000000" w:themeColor="text1"/>
          <w:sz w:val="22"/>
          <w:szCs w:val="22"/>
          <w:shd w:val="clear" w:color="auto" w:fill="FFFFFF"/>
          <w:lang w:eastAsia="en-GB"/>
        </w:rPr>
        <w:t xml:space="preserve"> </w:t>
      </w:r>
      <w:proofErr w:type="spellStart"/>
      <w:r w:rsidRPr="00A42868">
        <w:rPr>
          <w:rFonts w:ascii="Times New Roman" w:eastAsia="Times New Roman" w:hAnsi="Times New Roman" w:cs="Times New Roman"/>
          <w:color w:val="000000" w:themeColor="text1"/>
          <w:sz w:val="22"/>
          <w:szCs w:val="22"/>
          <w:shd w:val="clear" w:color="auto" w:fill="FFFFFF"/>
          <w:lang w:eastAsia="en-GB"/>
        </w:rPr>
        <w:t>Heidelberglaan</w:t>
      </w:r>
      <w:proofErr w:type="spellEnd"/>
      <w:r w:rsidRPr="00A42868">
        <w:rPr>
          <w:rFonts w:ascii="Times New Roman" w:eastAsia="Times New Roman" w:hAnsi="Times New Roman" w:cs="Times New Roman"/>
          <w:color w:val="000000" w:themeColor="text1"/>
          <w:sz w:val="22"/>
          <w:szCs w:val="22"/>
          <w:shd w:val="clear" w:color="auto" w:fill="FFFFFF"/>
          <w:lang w:eastAsia="en-GB"/>
        </w:rPr>
        <w:t xml:space="preserve"> 25, 3584CS</w:t>
      </w:r>
      <w:r w:rsidRPr="00A42868">
        <w:rPr>
          <w:rFonts w:ascii="Times New Roman" w:eastAsia="Times New Roman" w:hAnsi="Times New Roman" w:cs="Times New Roman"/>
          <w:color w:val="000000" w:themeColor="text1"/>
          <w:sz w:val="22"/>
          <w:szCs w:val="22"/>
          <w:shd w:val="clear" w:color="auto" w:fill="FFFFFF"/>
          <w:lang w:val="en-NL" w:eastAsia="en-GB"/>
        </w:rPr>
        <w:t xml:space="preserve"> Utrecht, The Netherlands</w:t>
      </w:r>
    </w:p>
    <w:p w14:paraId="0089730A" w14:textId="77777777" w:rsidR="00A42868" w:rsidRPr="00A42868" w:rsidRDefault="00A42868" w:rsidP="00A42868">
      <w:pPr>
        <w:pStyle w:val="NoSpacing"/>
        <w:spacing w:line="360" w:lineRule="auto"/>
        <w:ind w:left="720"/>
        <w:rPr>
          <w:rFonts w:ascii="Times New Roman" w:hAnsi="Times New Roman" w:cs="Times New Roman"/>
          <w:color w:val="000000" w:themeColor="text1"/>
          <w:sz w:val="22"/>
          <w:szCs w:val="22"/>
        </w:rPr>
      </w:pPr>
    </w:p>
    <w:p w14:paraId="340EFB9C" w14:textId="77777777" w:rsidR="00A42868" w:rsidRPr="00A42868" w:rsidRDefault="00A42868" w:rsidP="00A42868">
      <w:pPr>
        <w:spacing w:line="360" w:lineRule="auto"/>
        <w:rPr>
          <w:rFonts w:ascii="Times New Roman" w:hAnsi="Times New Roman" w:cs="Times New Roman"/>
          <w:sz w:val="22"/>
          <w:szCs w:val="22"/>
          <w:lang w:val="en-US"/>
        </w:rPr>
      </w:pPr>
      <w:r w:rsidRPr="00A42868">
        <w:rPr>
          <w:rFonts w:ascii="Times New Roman" w:hAnsi="Times New Roman" w:cs="Times New Roman"/>
          <w:sz w:val="22"/>
          <w:szCs w:val="22"/>
          <w:lang w:val="en-US"/>
        </w:rPr>
        <w:t>Corresponding author:</w:t>
      </w:r>
    </w:p>
    <w:p w14:paraId="3DD75342" w14:textId="77777777" w:rsidR="00A42868" w:rsidRPr="00A42868" w:rsidRDefault="00A42868" w:rsidP="00A42868">
      <w:pPr>
        <w:spacing w:line="360" w:lineRule="auto"/>
        <w:rPr>
          <w:rFonts w:ascii="Times New Roman" w:hAnsi="Times New Roman" w:cs="Times New Roman"/>
          <w:sz w:val="22"/>
          <w:szCs w:val="22"/>
          <w:lang w:val="en-US"/>
        </w:rPr>
      </w:pPr>
      <w:r w:rsidRPr="00A42868">
        <w:rPr>
          <w:rFonts w:ascii="Times New Roman" w:hAnsi="Times New Roman" w:cs="Times New Roman"/>
          <w:sz w:val="22"/>
          <w:szCs w:val="22"/>
          <w:lang w:val="en-US"/>
        </w:rPr>
        <w:t xml:space="preserve">Ruben van </w:t>
      </w:r>
      <w:proofErr w:type="spellStart"/>
      <w:r w:rsidRPr="00A42868">
        <w:rPr>
          <w:rFonts w:ascii="Times New Roman" w:hAnsi="Times New Roman" w:cs="Times New Roman"/>
          <w:sz w:val="22"/>
          <w:szCs w:val="22"/>
          <w:lang w:val="en-US"/>
        </w:rPr>
        <w:t>Boxtel</w:t>
      </w:r>
      <w:proofErr w:type="spellEnd"/>
      <w:r w:rsidRPr="00A42868">
        <w:rPr>
          <w:rFonts w:ascii="Times New Roman" w:hAnsi="Times New Roman" w:cs="Times New Roman"/>
          <w:sz w:val="22"/>
          <w:szCs w:val="22"/>
          <w:lang w:val="en-US"/>
        </w:rPr>
        <w:t>, PhD</w:t>
      </w:r>
    </w:p>
    <w:p w14:paraId="08A1EA2D" w14:textId="05C28351" w:rsidR="00A42868" w:rsidRPr="00A42868" w:rsidRDefault="007E4D70" w:rsidP="00A42868">
      <w:pPr>
        <w:spacing w:line="360" w:lineRule="auto"/>
        <w:rPr>
          <w:rStyle w:val="Hyperlink"/>
          <w:rFonts w:ascii="Times New Roman" w:hAnsi="Times New Roman" w:cs="Times New Roman"/>
          <w:sz w:val="22"/>
          <w:szCs w:val="22"/>
          <w:lang w:val="en-US"/>
        </w:rPr>
      </w:pPr>
      <w:hyperlink r:id="rId5" w:history="1">
        <w:r w:rsidR="00A42868" w:rsidRPr="00A42868">
          <w:rPr>
            <w:rStyle w:val="Hyperlink"/>
            <w:rFonts w:ascii="Times New Roman" w:hAnsi="Times New Roman" w:cs="Times New Roman"/>
            <w:sz w:val="22"/>
            <w:szCs w:val="22"/>
            <w:lang w:val="en-US"/>
          </w:rPr>
          <w:t>R.vanBoxtel@prinsesmaximacentrum.nl</w:t>
        </w:r>
      </w:hyperlink>
    </w:p>
    <w:p w14:paraId="123461FE" w14:textId="11030B66" w:rsidR="00A42868" w:rsidRPr="00A42868" w:rsidRDefault="00A42868" w:rsidP="00A42868">
      <w:pPr>
        <w:spacing w:line="360" w:lineRule="auto"/>
        <w:rPr>
          <w:rStyle w:val="Hyperlink"/>
          <w:rFonts w:ascii="Times New Roman" w:hAnsi="Times New Roman" w:cs="Times New Roman"/>
          <w:bCs/>
          <w:sz w:val="22"/>
          <w:szCs w:val="22"/>
          <w:lang w:val="en-US"/>
        </w:rPr>
      </w:pPr>
    </w:p>
    <w:p w14:paraId="122CEDEB" w14:textId="77777777" w:rsidR="00A42868" w:rsidRDefault="00A42868" w:rsidP="00A42868">
      <w:pPr>
        <w:spacing w:after="200" w:line="276" w:lineRule="auto"/>
        <w:rPr>
          <w:rFonts w:ascii="Times New Roman" w:hAnsi="Times New Roman" w:cs="Times New Roman"/>
          <w:b/>
          <w:sz w:val="22"/>
          <w:szCs w:val="22"/>
        </w:rPr>
      </w:pPr>
    </w:p>
    <w:p w14:paraId="2B613A11" w14:textId="170E1449" w:rsidR="00A42868" w:rsidRPr="00A42868" w:rsidRDefault="00A42868" w:rsidP="00A42868">
      <w:pPr>
        <w:spacing w:after="200" w:line="276" w:lineRule="auto"/>
        <w:rPr>
          <w:rFonts w:ascii="Times New Roman" w:hAnsi="Times New Roman" w:cs="Times New Roman"/>
          <w:b/>
          <w:sz w:val="22"/>
          <w:szCs w:val="22"/>
        </w:rPr>
      </w:pPr>
      <w:r w:rsidRPr="00A42868">
        <w:rPr>
          <w:rFonts w:ascii="Times New Roman" w:hAnsi="Times New Roman" w:cs="Times New Roman"/>
          <w:b/>
          <w:sz w:val="22"/>
          <w:szCs w:val="22"/>
        </w:rPr>
        <w:t>Supplementary Information includes:</w:t>
      </w:r>
    </w:p>
    <w:p w14:paraId="55202C91" w14:textId="69943C00" w:rsidR="00A42868" w:rsidRPr="00BA779F" w:rsidRDefault="00A42868" w:rsidP="00A42868">
      <w:pPr>
        <w:rPr>
          <w:rFonts w:ascii="Times New Roman" w:hAnsi="Times New Roman" w:cs="Times New Roman"/>
          <w:bCs/>
          <w:sz w:val="22"/>
          <w:szCs w:val="22"/>
          <w:lang w:val="en-US"/>
        </w:rPr>
      </w:pPr>
      <w:r w:rsidRPr="00A42868">
        <w:rPr>
          <w:rFonts w:ascii="Times New Roman" w:hAnsi="Times New Roman" w:cs="Times New Roman"/>
          <w:bCs/>
          <w:sz w:val="22"/>
          <w:szCs w:val="22"/>
        </w:rPr>
        <w:t>Supplementary Figures S1-S</w:t>
      </w:r>
      <w:r w:rsidR="00BA779F">
        <w:rPr>
          <w:rFonts w:ascii="Times New Roman" w:hAnsi="Times New Roman" w:cs="Times New Roman"/>
          <w:bCs/>
          <w:sz w:val="22"/>
          <w:szCs w:val="22"/>
          <w:lang w:val="en-US"/>
        </w:rPr>
        <w:t>6</w:t>
      </w:r>
    </w:p>
    <w:p w14:paraId="4E5A89FF" w14:textId="77777777" w:rsidR="00A42868" w:rsidRPr="00A42868" w:rsidRDefault="00A42868" w:rsidP="00A42868">
      <w:pPr>
        <w:rPr>
          <w:rFonts w:ascii="Times New Roman" w:hAnsi="Times New Roman" w:cs="Times New Roman"/>
          <w:bCs/>
          <w:sz w:val="22"/>
          <w:szCs w:val="22"/>
        </w:rPr>
      </w:pPr>
    </w:p>
    <w:p w14:paraId="026CD4E1" w14:textId="723869B4" w:rsidR="00A42868" w:rsidRPr="00BA779F" w:rsidRDefault="00A42868" w:rsidP="00A42868">
      <w:pPr>
        <w:rPr>
          <w:rFonts w:ascii="Times New Roman" w:hAnsi="Times New Roman" w:cs="Times New Roman"/>
          <w:bCs/>
          <w:sz w:val="22"/>
          <w:szCs w:val="22"/>
          <w:lang w:val="en-US"/>
        </w:rPr>
      </w:pPr>
      <w:r w:rsidRPr="00A42868">
        <w:rPr>
          <w:rFonts w:ascii="Times New Roman" w:hAnsi="Times New Roman" w:cs="Times New Roman"/>
          <w:bCs/>
          <w:sz w:val="22"/>
          <w:szCs w:val="22"/>
        </w:rPr>
        <w:t>Figures Legends for Supplementary Figures S1-S</w:t>
      </w:r>
      <w:r w:rsidR="00BA779F">
        <w:rPr>
          <w:rFonts w:ascii="Times New Roman" w:hAnsi="Times New Roman" w:cs="Times New Roman"/>
          <w:bCs/>
          <w:sz w:val="22"/>
          <w:szCs w:val="22"/>
          <w:lang w:val="en-US"/>
        </w:rPr>
        <w:t>6</w:t>
      </w:r>
    </w:p>
    <w:p w14:paraId="242F7C07" w14:textId="77777777" w:rsidR="00A42868" w:rsidRPr="00A42868" w:rsidRDefault="00A42868" w:rsidP="00A42868">
      <w:pPr>
        <w:rPr>
          <w:rFonts w:ascii="Times New Roman" w:hAnsi="Times New Roman" w:cs="Times New Roman"/>
          <w:bCs/>
          <w:sz w:val="22"/>
          <w:szCs w:val="22"/>
        </w:rPr>
      </w:pPr>
    </w:p>
    <w:p w14:paraId="4CB5EC8A" w14:textId="0FBE6AA6" w:rsidR="00A42868" w:rsidRPr="00A42868" w:rsidRDefault="00A42868" w:rsidP="00A42868">
      <w:pPr>
        <w:rPr>
          <w:rFonts w:ascii="Times New Roman" w:hAnsi="Times New Roman" w:cs="Times New Roman"/>
          <w:bCs/>
          <w:sz w:val="22"/>
          <w:szCs w:val="22"/>
          <w:lang w:val="en-US"/>
        </w:rPr>
      </w:pPr>
      <w:r w:rsidRPr="00A42868">
        <w:rPr>
          <w:rFonts w:ascii="Times New Roman" w:hAnsi="Times New Roman" w:cs="Times New Roman"/>
          <w:bCs/>
          <w:sz w:val="22"/>
          <w:szCs w:val="22"/>
        </w:rPr>
        <w:t>Supplementary Tables S1-S1</w:t>
      </w:r>
      <w:r w:rsidRPr="00A42868">
        <w:rPr>
          <w:rFonts w:ascii="Times New Roman" w:hAnsi="Times New Roman" w:cs="Times New Roman"/>
          <w:bCs/>
          <w:sz w:val="22"/>
          <w:szCs w:val="22"/>
          <w:lang w:val="en-US"/>
        </w:rPr>
        <w:t>0</w:t>
      </w:r>
    </w:p>
    <w:p w14:paraId="5ABF9DA1" w14:textId="60B00917" w:rsidR="00A42868" w:rsidRDefault="00A42868">
      <w:pPr>
        <w:rPr>
          <w:rFonts w:ascii="Times New Roman" w:hAnsi="Times New Roman" w:cs="Times New Roman"/>
          <w:sz w:val="22"/>
          <w:szCs w:val="22"/>
          <w:lang w:val="en-US"/>
        </w:rPr>
      </w:pPr>
      <w:r>
        <w:rPr>
          <w:rFonts w:ascii="Times New Roman" w:hAnsi="Times New Roman" w:cs="Times New Roman"/>
          <w:sz w:val="22"/>
          <w:szCs w:val="22"/>
          <w:lang w:val="en-US"/>
        </w:rPr>
        <w:br w:type="page"/>
      </w:r>
    </w:p>
    <w:p w14:paraId="57E8434A" w14:textId="053801B0" w:rsidR="00576063" w:rsidRDefault="00576063" w:rsidP="00A42868">
      <w:pPr>
        <w:spacing w:line="360" w:lineRule="auto"/>
        <w:jc w:val="both"/>
        <w:rPr>
          <w:rFonts w:ascii="Times New Roman" w:hAnsi="Times New Roman" w:cs="Times New Roman"/>
          <w:b/>
          <w:bCs/>
          <w:sz w:val="22"/>
          <w:szCs w:val="22"/>
          <w:lang w:val="en-US"/>
        </w:rPr>
      </w:pPr>
      <w:r>
        <w:rPr>
          <w:rFonts w:ascii="Times New Roman" w:hAnsi="Times New Roman" w:cs="Times New Roman"/>
          <w:b/>
          <w:bCs/>
          <w:sz w:val="22"/>
          <w:szCs w:val="22"/>
          <w:lang w:val="en-US"/>
        </w:rPr>
        <w:lastRenderedPageBreak/>
        <w:t>Supplementary Figure</w:t>
      </w:r>
      <w:r w:rsidR="005D4701">
        <w:rPr>
          <w:rFonts w:ascii="Times New Roman" w:hAnsi="Times New Roman" w:cs="Times New Roman"/>
          <w:b/>
          <w:bCs/>
          <w:sz w:val="22"/>
          <w:szCs w:val="22"/>
          <w:lang w:val="en-US"/>
        </w:rPr>
        <w:t xml:space="preserve"> Legends</w:t>
      </w:r>
    </w:p>
    <w:p w14:paraId="7626E08E" w14:textId="11DFA1D3" w:rsidR="005D4701" w:rsidRDefault="005D4701">
      <w:pPr>
        <w:rPr>
          <w:rFonts w:ascii="Times New Roman" w:hAnsi="Times New Roman" w:cs="Times New Roman"/>
          <w:b/>
          <w:bCs/>
          <w:sz w:val="22"/>
          <w:szCs w:val="22"/>
          <w:lang w:val="en-US"/>
        </w:rPr>
      </w:pPr>
    </w:p>
    <w:p w14:paraId="0F3EA93A" w14:textId="50A57283" w:rsidR="0012157B" w:rsidRDefault="0012157B" w:rsidP="00A42868">
      <w:pPr>
        <w:spacing w:line="360" w:lineRule="auto"/>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Supplementary Figure </w:t>
      </w:r>
      <w:r w:rsidR="00786B5D">
        <w:rPr>
          <w:rFonts w:ascii="Times New Roman" w:hAnsi="Times New Roman" w:cs="Times New Roman"/>
          <w:b/>
          <w:bCs/>
          <w:sz w:val="22"/>
          <w:szCs w:val="22"/>
          <w:lang w:val="en-US"/>
        </w:rPr>
        <w:t>S</w:t>
      </w:r>
      <w:r w:rsidRPr="00D27BFF">
        <w:rPr>
          <w:rFonts w:ascii="Times New Roman" w:hAnsi="Times New Roman" w:cs="Times New Roman"/>
          <w:b/>
          <w:bCs/>
          <w:sz w:val="22"/>
          <w:szCs w:val="22"/>
          <w:lang w:val="en-US"/>
        </w:rPr>
        <w:t xml:space="preserve">1. </w:t>
      </w:r>
      <w:r>
        <w:rPr>
          <w:rFonts w:ascii="Times New Roman" w:hAnsi="Times New Roman" w:cs="Times New Roman"/>
          <w:b/>
          <w:bCs/>
          <w:sz w:val="22"/>
          <w:szCs w:val="22"/>
          <w:lang w:val="en-US"/>
        </w:rPr>
        <w:t>VAF plots and whole genome sequencing metrics</w:t>
      </w:r>
    </w:p>
    <w:p w14:paraId="4391A9C4" w14:textId="582EDBFA" w:rsidR="0012157B" w:rsidRPr="0012157B" w:rsidRDefault="0012157B" w:rsidP="00A42868">
      <w:pPr>
        <w:spacing w:line="360" w:lineRule="auto"/>
        <w:jc w:val="both"/>
        <w:rPr>
          <w:rFonts w:ascii="Times New Roman" w:hAnsi="Times New Roman" w:cs="Times New Roman"/>
          <w:sz w:val="22"/>
          <w:szCs w:val="22"/>
          <w:lang w:val="en-US"/>
        </w:rPr>
      </w:pPr>
      <w:r w:rsidRPr="006B530D">
        <w:rPr>
          <w:rFonts w:ascii="Times New Roman" w:hAnsi="Times New Roman" w:cs="Times New Roman"/>
          <w:sz w:val="22"/>
          <w:szCs w:val="22"/>
        </w:rPr>
        <w:t>(</w:t>
      </w:r>
      <w:r w:rsidRPr="006B530D">
        <w:rPr>
          <w:rFonts w:ascii="Times New Roman" w:hAnsi="Times New Roman" w:cs="Times New Roman"/>
          <w:sz w:val="22"/>
          <w:szCs w:val="22"/>
          <w:lang w:val="en-US"/>
        </w:rPr>
        <w:t>A</w:t>
      </w:r>
      <w:r w:rsidRPr="006B530D">
        <w:rPr>
          <w:rFonts w:ascii="Times New Roman" w:hAnsi="Times New Roman" w:cs="Times New Roman"/>
          <w:sz w:val="22"/>
          <w:szCs w:val="22"/>
        </w:rPr>
        <w:t xml:space="preserve">) </w:t>
      </w:r>
      <w:r w:rsidRPr="006B530D">
        <w:rPr>
          <w:rFonts w:ascii="Times New Roman" w:hAnsi="Times New Roman" w:cs="Times New Roman"/>
          <w:sz w:val="22"/>
          <w:szCs w:val="22"/>
          <w:lang w:val="en-US"/>
        </w:rPr>
        <w:t>Statistical modeling of</w:t>
      </w:r>
      <w:r>
        <w:rPr>
          <w:rFonts w:ascii="Times New Roman" w:hAnsi="Times New Roman" w:cs="Times New Roman"/>
          <w:sz w:val="22"/>
          <w:szCs w:val="22"/>
          <w:lang w:val="en-US"/>
        </w:rPr>
        <w:t xml:space="preserve"> the distribution of clonal and sub</w:t>
      </w:r>
      <w:r w:rsidR="006B530D">
        <w:rPr>
          <w:rFonts w:ascii="Times New Roman" w:hAnsi="Times New Roman" w:cs="Times New Roman"/>
          <w:sz w:val="22"/>
          <w:szCs w:val="22"/>
          <w:lang w:val="en-US"/>
        </w:rPr>
        <w:t>-</w:t>
      </w:r>
      <w:r>
        <w:rPr>
          <w:rFonts w:ascii="Times New Roman" w:hAnsi="Times New Roman" w:cs="Times New Roman"/>
          <w:sz w:val="22"/>
          <w:szCs w:val="22"/>
          <w:lang w:val="en-US"/>
        </w:rPr>
        <w:t>clonal mutations by a Bayesian Dirichlet process of two HSPC clones. The empiric histogram of mutations is shown in grey, with the fitted distribution as a black line. The 95% posterior confidence intervals for the fitted distribution are shown in pale pink and dashed red line indicates a v</w:t>
      </w:r>
      <w:r w:rsidRPr="001311B0">
        <w:rPr>
          <w:rFonts w:ascii="Times New Roman" w:hAnsi="Times New Roman" w:cs="Times New Roman"/>
          <w:sz w:val="22"/>
          <w:szCs w:val="22"/>
          <w:lang w:val="en-US"/>
        </w:rPr>
        <w:t xml:space="preserve">ariant allele frequency (VAF) </w:t>
      </w:r>
      <w:r>
        <w:rPr>
          <w:rFonts w:ascii="Times New Roman" w:hAnsi="Times New Roman" w:cs="Times New Roman"/>
          <w:sz w:val="22"/>
          <w:szCs w:val="22"/>
          <w:lang w:val="en-US"/>
        </w:rPr>
        <w:t xml:space="preserve">cutoff of 0.3. </w:t>
      </w:r>
      <w:r w:rsidRPr="001311B0">
        <w:rPr>
          <w:rFonts w:ascii="Times New Roman" w:hAnsi="Times New Roman" w:cs="Times New Roman"/>
          <w:sz w:val="22"/>
          <w:szCs w:val="22"/>
          <w:lang w:val="en-US"/>
        </w:rPr>
        <w:t xml:space="preserve">plot for one example HSPC. </w:t>
      </w:r>
      <w:r>
        <w:rPr>
          <w:rFonts w:ascii="Times New Roman" w:hAnsi="Times New Roman" w:cs="Times New Roman"/>
          <w:sz w:val="22"/>
          <w:szCs w:val="22"/>
          <w:lang w:val="en-US"/>
        </w:rPr>
        <w:t>(B) Schematic representation of the HSPC clonal culture and AML</w:t>
      </w:r>
      <w:r w:rsidR="00BA779F">
        <w:rPr>
          <w:rFonts w:ascii="Times New Roman" w:hAnsi="Times New Roman" w:cs="Times New Roman"/>
          <w:sz w:val="22"/>
          <w:szCs w:val="22"/>
          <w:lang w:val="en-US"/>
        </w:rPr>
        <w:t xml:space="preserve"> a simplified model of</w:t>
      </w:r>
      <w:r>
        <w:rPr>
          <w:rFonts w:ascii="Times New Roman" w:hAnsi="Times New Roman" w:cs="Times New Roman"/>
          <w:sz w:val="22"/>
          <w:szCs w:val="22"/>
          <w:lang w:val="en-US"/>
        </w:rPr>
        <w:t xml:space="preserve"> clonal evolution </w:t>
      </w:r>
      <w:r w:rsidR="00BA779F">
        <w:rPr>
          <w:rFonts w:ascii="Times New Roman" w:hAnsi="Times New Roman" w:cs="Times New Roman"/>
          <w:sz w:val="22"/>
          <w:szCs w:val="22"/>
          <w:lang w:val="en-US"/>
        </w:rPr>
        <w:t xml:space="preserve">from the most common recent ancestor (MRCA) </w:t>
      </w:r>
      <w:r>
        <w:rPr>
          <w:rFonts w:ascii="Times New Roman" w:hAnsi="Times New Roman" w:cs="Times New Roman"/>
          <w:sz w:val="22"/>
          <w:szCs w:val="22"/>
          <w:lang w:val="en-US"/>
        </w:rPr>
        <w:t xml:space="preserve">resulting in whole genome sequencing (WGS) data and VAF plots. </w:t>
      </w:r>
      <w:r w:rsidRPr="001311B0">
        <w:rPr>
          <w:rFonts w:ascii="Times New Roman" w:hAnsi="Times New Roman" w:cs="Times New Roman"/>
          <w:sz w:val="22"/>
          <w:szCs w:val="22"/>
          <w:lang w:val="en-US"/>
        </w:rPr>
        <w:t>(</w:t>
      </w:r>
      <w:proofErr w:type="gramStart"/>
      <w:r w:rsidRPr="001311B0">
        <w:rPr>
          <w:rFonts w:ascii="Times New Roman" w:hAnsi="Times New Roman" w:cs="Times New Roman"/>
          <w:sz w:val="22"/>
          <w:szCs w:val="22"/>
          <w:lang w:val="en-US"/>
        </w:rPr>
        <w:t>C</w:t>
      </w:r>
      <w:r w:rsidR="00BA779F">
        <w:rPr>
          <w:rFonts w:ascii="Times New Roman" w:hAnsi="Times New Roman" w:cs="Times New Roman"/>
          <w:sz w:val="22"/>
          <w:szCs w:val="22"/>
          <w:lang w:val="en-US"/>
        </w:rPr>
        <w:t>,D</w:t>
      </w:r>
      <w:proofErr w:type="gramEnd"/>
      <w:r w:rsidRPr="001311B0">
        <w:rPr>
          <w:rFonts w:ascii="Times New Roman" w:hAnsi="Times New Roman" w:cs="Times New Roman"/>
          <w:sz w:val="22"/>
          <w:szCs w:val="22"/>
        </w:rPr>
        <w:t>)</w:t>
      </w:r>
      <w:r>
        <w:rPr>
          <w:rFonts w:ascii="Times New Roman" w:hAnsi="Times New Roman" w:cs="Times New Roman"/>
          <w:sz w:val="22"/>
          <w:szCs w:val="22"/>
          <w:lang w:val="en-US"/>
        </w:rPr>
        <w:t xml:space="preserve"> Violin plot</w:t>
      </w:r>
      <w:r w:rsidR="00BA779F">
        <w:rPr>
          <w:rFonts w:ascii="Times New Roman" w:hAnsi="Times New Roman" w:cs="Times New Roman"/>
          <w:sz w:val="22"/>
          <w:szCs w:val="22"/>
          <w:lang w:val="en-US"/>
        </w:rPr>
        <w:t>s</w:t>
      </w:r>
      <w:r>
        <w:rPr>
          <w:rFonts w:ascii="Times New Roman" w:hAnsi="Times New Roman" w:cs="Times New Roman"/>
          <w:sz w:val="22"/>
          <w:szCs w:val="22"/>
          <w:lang w:val="en-US"/>
        </w:rPr>
        <w:t xml:space="preserve"> of the total genome coverage </w:t>
      </w:r>
      <w:r w:rsidR="00BA779F">
        <w:rPr>
          <w:rFonts w:ascii="Times New Roman" w:hAnsi="Times New Roman" w:cs="Times New Roman"/>
          <w:sz w:val="22"/>
          <w:szCs w:val="22"/>
          <w:lang w:val="en-US"/>
        </w:rPr>
        <w:t xml:space="preserve">(C) or genome coverage </w:t>
      </w:r>
      <w:r w:rsidR="00BA779F">
        <w:rPr>
          <w:rFonts w:ascii="Times New Roman" w:hAnsi="Times New Roman" w:cs="Times New Roman"/>
          <w:sz w:val="22"/>
          <w:szCs w:val="22"/>
          <w:lang w:val="en-US"/>
        </w:rPr>
        <w:sym w:font="Symbol" w:char="F0B3"/>
      </w:r>
      <w:r w:rsidR="00BA779F">
        <w:rPr>
          <w:rFonts w:ascii="Times New Roman" w:hAnsi="Times New Roman" w:cs="Times New Roman"/>
          <w:sz w:val="22"/>
          <w:szCs w:val="22"/>
          <w:lang w:val="en-US"/>
        </w:rPr>
        <w:t xml:space="preserve">5 (minimum of 5 reads per position) (D) </w:t>
      </w:r>
      <w:r>
        <w:rPr>
          <w:rFonts w:ascii="Times New Roman" w:hAnsi="Times New Roman" w:cs="Times New Roman"/>
          <w:sz w:val="22"/>
          <w:szCs w:val="22"/>
          <w:lang w:val="en-US"/>
        </w:rPr>
        <w:t xml:space="preserve">of all WGS data in this manuscript comparing samples sequenced at 15X or 30X genome coverage. As expected, the </w:t>
      </w:r>
      <w:r w:rsidRPr="006A32E7">
        <w:rPr>
          <w:rFonts w:ascii="Times New Roman" w:hAnsi="Times New Roman" w:cs="Times New Roman"/>
          <w:sz w:val="22"/>
          <w:szCs w:val="22"/>
        </w:rPr>
        <w:t xml:space="preserve">p value indicates a </w:t>
      </w:r>
      <w:r>
        <w:rPr>
          <w:rFonts w:ascii="Times New Roman" w:hAnsi="Times New Roman" w:cs="Times New Roman"/>
          <w:sz w:val="22"/>
          <w:szCs w:val="22"/>
          <w:lang w:val="en-US"/>
        </w:rPr>
        <w:t>significant</w:t>
      </w:r>
      <w:r w:rsidRPr="006A32E7">
        <w:rPr>
          <w:rFonts w:ascii="Times New Roman" w:hAnsi="Times New Roman" w:cs="Times New Roman"/>
          <w:sz w:val="22"/>
          <w:szCs w:val="22"/>
        </w:rPr>
        <w:t xml:space="preserve"> difference between </w:t>
      </w:r>
      <w:r>
        <w:rPr>
          <w:rFonts w:ascii="Times New Roman" w:hAnsi="Times New Roman" w:cs="Times New Roman"/>
          <w:sz w:val="22"/>
          <w:szCs w:val="22"/>
          <w:lang w:val="en-US"/>
        </w:rPr>
        <w:t>15X and 30X samples (two-sided t test). (</w:t>
      </w:r>
      <w:proofErr w:type="gramStart"/>
      <w:r>
        <w:rPr>
          <w:rFonts w:ascii="Times New Roman" w:hAnsi="Times New Roman" w:cs="Times New Roman"/>
          <w:sz w:val="22"/>
          <w:szCs w:val="22"/>
          <w:lang w:val="en-US"/>
        </w:rPr>
        <w:t>E</w:t>
      </w:r>
      <w:r w:rsidR="00BA779F">
        <w:rPr>
          <w:rFonts w:ascii="Times New Roman" w:hAnsi="Times New Roman" w:cs="Times New Roman"/>
          <w:sz w:val="22"/>
          <w:szCs w:val="22"/>
          <w:lang w:val="en-US"/>
        </w:rPr>
        <w:t>,F</w:t>
      </w:r>
      <w:proofErr w:type="gramEnd"/>
      <w:r>
        <w:rPr>
          <w:rFonts w:ascii="Times New Roman" w:hAnsi="Times New Roman" w:cs="Times New Roman"/>
          <w:sz w:val="22"/>
          <w:szCs w:val="22"/>
          <w:lang w:val="en-US"/>
        </w:rPr>
        <w:t xml:space="preserve">) Comparison of the number of base substitutions </w:t>
      </w:r>
      <w:r w:rsidR="00BA779F">
        <w:rPr>
          <w:rFonts w:ascii="Times New Roman" w:hAnsi="Times New Roman" w:cs="Times New Roman"/>
          <w:sz w:val="22"/>
          <w:szCs w:val="22"/>
          <w:lang w:val="en-US"/>
        </w:rPr>
        <w:t xml:space="preserve">(E) or indels (F) </w:t>
      </w:r>
      <w:r>
        <w:rPr>
          <w:rFonts w:ascii="Times New Roman" w:hAnsi="Times New Roman" w:cs="Times New Roman"/>
          <w:sz w:val="22"/>
          <w:szCs w:val="22"/>
          <w:lang w:val="en-US"/>
        </w:rPr>
        <w:t xml:space="preserve">per genome of HSPCs sequenced at 15X or 30X genome coverage. </w:t>
      </w:r>
      <w:r w:rsidRPr="006A32E7">
        <w:rPr>
          <w:rFonts w:ascii="Times New Roman" w:hAnsi="Times New Roman" w:cs="Times New Roman"/>
          <w:sz w:val="22"/>
          <w:szCs w:val="22"/>
        </w:rPr>
        <w:t xml:space="preserve">p value indicates a </w:t>
      </w:r>
      <w:r>
        <w:rPr>
          <w:rFonts w:ascii="Times New Roman" w:hAnsi="Times New Roman" w:cs="Times New Roman"/>
          <w:sz w:val="22"/>
          <w:szCs w:val="22"/>
          <w:lang w:val="en-US"/>
        </w:rPr>
        <w:t>non-significant</w:t>
      </w:r>
      <w:r w:rsidRPr="006A32E7">
        <w:rPr>
          <w:rFonts w:ascii="Times New Roman" w:hAnsi="Times New Roman" w:cs="Times New Roman"/>
          <w:sz w:val="22"/>
          <w:szCs w:val="22"/>
        </w:rPr>
        <w:t xml:space="preserve"> difference between </w:t>
      </w:r>
      <w:r>
        <w:rPr>
          <w:rFonts w:ascii="Times New Roman" w:hAnsi="Times New Roman" w:cs="Times New Roman"/>
          <w:sz w:val="22"/>
          <w:szCs w:val="22"/>
          <w:lang w:val="en-US"/>
        </w:rPr>
        <w:t>15X and 30X samples (two-sided t test).</w:t>
      </w:r>
      <w:r w:rsidRPr="0012157B">
        <w:rPr>
          <w:rFonts w:ascii="Times New Roman" w:hAnsi="Times New Roman" w:cs="Times New Roman"/>
          <w:sz w:val="22"/>
          <w:szCs w:val="22"/>
          <w:lang w:val="en-US"/>
        </w:rPr>
        <w:t xml:space="preserve"> </w:t>
      </w:r>
      <w:r>
        <w:rPr>
          <w:rFonts w:ascii="Times New Roman" w:hAnsi="Times New Roman" w:cs="Times New Roman"/>
          <w:sz w:val="22"/>
          <w:szCs w:val="22"/>
          <w:lang w:val="en-US"/>
        </w:rPr>
        <w:t>(G) Boxplot depicting the number of base substitutions per genome for HSPCs of PMC</w:t>
      </w:r>
      <w:r w:rsidR="0012058C">
        <w:rPr>
          <w:rFonts w:ascii="Times New Roman" w:hAnsi="Times New Roman" w:cs="Times New Roman"/>
          <w:sz w:val="22"/>
          <w:szCs w:val="22"/>
          <w:lang w:val="en-US"/>
        </w:rPr>
        <w:t xml:space="preserve">16332 </w:t>
      </w:r>
      <w:r>
        <w:rPr>
          <w:rFonts w:ascii="Times New Roman" w:hAnsi="Times New Roman" w:cs="Times New Roman"/>
          <w:sz w:val="22"/>
          <w:szCs w:val="22"/>
          <w:lang w:val="en-US"/>
        </w:rPr>
        <w:t>comparing 15X (n=</w:t>
      </w:r>
      <w:r w:rsidR="0012058C">
        <w:rPr>
          <w:rFonts w:ascii="Times New Roman" w:hAnsi="Times New Roman" w:cs="Times New Roman"/>
          <w:sz w:val="22"/>
          <w:szCs w:val="22"/>
          <w:lang w:val="en-US"/>
        </w:rPr>
        <w:t>7</w:t>
      </w:r>
      <w:r>
        <w:rPr>
          <w:rFonts w:ascii="Times New Roman" w:hAnsi="Times New Roman" w:cs="Times New Roman"/>
          <w:sz w:val="22"/>
          <w:szCs w:val="22"/>
          <w:lang w:val="en-US"/>
        </w:rPr>
        <w:t>) with 30X (n=</w:t>
      </w:r>
      <w:r w:rsidR="0012058C">
        <w:rPr>
          <w:rFonts w:ascii="Times New Roman" w:hAnsi="Times New Roman" w:cs="Times New Roman"/>
          <w:sz w:val="22"/>
          <w:szCs w:val="22"/>
          <w:lang w:val="en-US"/>
        </w:rPr>
        <w:t>3</w:t>
      </w:r>
      <w:r>
        <w:rPr>
          <w:rFonts w:ascii="Times New Roman" w:hAnsi="Times New Roman" w:cs="Times New Roman"/>
          <w:sz w:val="22"/>
          <w:szCs w:val="22"/>
          <w:lang w:val="en-US"/>
        </w:rPr>
        <w:t xml:space="preserve">) genome coverage clones. In addition, the 30X HSPC clones were randomly </w:t>
      </w:r>
      <w:r w:rsidR="00BA779F">
        <w:rPr>
          <w:rFonts w:ascii="Times New Roman" w:hAnsi="Times New Roman" w:cs="Times New Roman"/>
          <w:sz w:val="22"/>
          <w:szCs w:val="22"/>
          <w:lang w:val="en-US"/>
        </w:rPr>
        <w:t>down sampled</w:t>
      </w:r>
      <w:r>
        <w:rPr>
          <w:rFonts w:ascii="Times New Roman" w:hAnsi="Times New Roman" w:cs="Times New Roman"/>
          <w:sz w:val="22"/>
          <w:szCs w:val="22"/>
          <w:lang w:val="en-US"/>
        </w:rPr>
        <w:t xml:space="preserve"> (DS) to 15X genome coverage (only half of the reads were used) and the number of identified base substitutions depicted. </w:t>
      </w:r>
      <w:r w:rsidRPr="006A32E7">
        <w:rPr>
          <w:rFonts w:ascii="Times New Roman" w:hAnsi="Times New Roman" w:cs="Times New Roman"/>
          <w:sz w:val="22"/>
          <w:szCs w:val="22"/>
        </w:rPr>
        <w:t xml:space="preserve">p value indicates </w:t>
      </w:r>
      <w:r>
        <w:rPr>
          <w:rFonts w:ascii="Times New Roman" w:hAnsi="Times New Roman" w:cs="Times New Roman"/>
          <w:sz w:val="22"/>
          <w:szCs w:val="22"/>
          <w:lang w:val="en-US"/>
        </w:rPr>
        <w:t>non-significant</w:t>
      </w:r>
      <w:r w:rsidRPr="006A32E7">
        <w:rPr>
          <w:rFonts w:ascii="Times New Roman" w:hAnsi="Times New Roman" w:cs="Times New Roman"/>
          <w:sz w:val="22"/>
          <w:szCs w:val="22"/>
        </w:rPr>
        <w:t xml:space="preserve"> difference</w:t>
      </w:r>
      <w:r>
        <w:rPr>
          <w:rFonts w:ascii="Times New Roman" w:hAnsi="Times New Roman" w:cs="Times New Roman"/>
          <w:sz w:val="22"/>
          <w:szCs w:val="22"/>
          <w:lang w:val="en-US"/>
        </w:rPr>
        <w:t>s</w:t>
      </w:r>
      <w:r w:rsidRPr="006A32E7">
        <w:rPr>
          <w:rFonts w:ascii="Times New Roman" w:hAnsi="Times New Roman" w:cs="Times New Roman"/>
          <w:sz w:val="22"/>
          <w:szCs w:val="22"/>
        </w:rPr>
        <w:t xml:space="preserve"> between </w:t>
      </w:r>
      <w:r>
        <w:rPr>
          <w:rFonts w:ascii="Times New Roman" w:hAnsi="Times New Roman" w:cs="Times New Roman"/>
          <w:sz w:val="22"/>
          <w:szCs w:val="22"/>
          <w:lang w:val="en-US"/>
        </w:rPr>
        <w:t>15X, 15X-DS and 30X samples (</w:t>
      </w:r>
      <w:r>
        <w:rPr>
          <w:rFonts w:ascii="Times New Roman" w:hAnsi="Times New Roman" w:cs="Times New Roman"/>
          <w:sz w:val="22"/>
          <w:szCs w:val="22"/>
        </w:rPr>
        <w:t>Wilcoxon Mann-Whitney test</w:t>
      </w:r>
      <w:r>
        <w:rPr>
          <w:rFonts w:ascii="Times New Roman" w:hAnsi="Times New Roman" w:cs="Times New Roman"/>
          <w:sz w:val="22"/>
          <w:szCs w:val="22"/>
          <w:lang w:val="en-US"/>
        </w:rPr>
        <w:t>).</w:t>
      </w:r>
    </w:p>
    <w:p w14:paraId="6E08752F" w14:textId="462AA6E2" w:rsidR="0012157B" w:rsidRPr="0012157B" w:rsidRDefault="0012157B" w:rsidP="009F5F34">
      <w:pPr>
        <w:spacing w:line="276" w:lineRule="auto"/>
        <w:jc w:val="both"/>
        <w:rPr>
          <w:rFonts w:ascii="Times New Roman" w:hAnsi="Times New Roman" w:cs="Times New Roman"/>
          <w:sz w:val="22"/>
          <w:szCs w:val="22"/>
          <w:lang w:val="en-US"/>
        </w:rPr>
      </w:pPr>
    </w:p>
    <w:p w14:paraId="6A3A5F0C" w14:textId="70413D75" w:rsidR="005D4701" w:rsidRDefault="005D4701">
      <w:pPr>
        <w:rPr>
          <w:rFonts w:ascii="Times New Roman" w:hAnsi="Times New Roman" w:cs="Times New Roman"/>
          <w:b/>
          <w:bCs/>
          <w:sz w:val="22"/>
          <w:szCs w:val="22"/>
          <w:lang w:val="en-US"/>
        </w:rPr>
      </w:pPr>
    </w:p>
    <w:p w14:paraId="30481F4A" w14:textId="19A857BB" w:rsidR="00BA65E5" w:rsidRDefault="00BA65E5" w:rsidP="00A42868">
      <w:pPr>
        <w:pStyle w:val="NoSpacing"/>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Supplementary Figure </w:t>
      </w:r>
      <w:r w:rsidR="00786B5D">
        <w:rPr>
          <w:rFonts w:ascii="Times New Roman" w:hAnsi="Times New Roman" w:cs="Times New Roman"/>
          <w:b/>
          <w:bCs/>
          <w:sz w:val="22"/>
          <w:szCs w:val="22"/>
        </w:rPr>
        <w:t>S</w:t>
      </w:r>
      <w:r w:rsidR="00BA779F">
        <w:rPr>
          <w:rFonts w:ascii="Times New Roman" w:hAnsi="Times New Roman" w:cs="Times New Roman"/>
          <w:b/>
          <w:bCs/>
          <w:sz w:val="22"/>
          <w:szCs w:val="22"/>
        </w:rPr>
        <w:t>2</w:t>
      </w:r>
      <w:r w:rsidRPr="009E6C5A">
        <w:rPr>
          <w:rFonts w:ascii="Times New Roman" w:hAnsi="Times New Roman" w:cs="Times New Roman"/>
          <w:b/>
          <w:bCs/>
          <w:sz w:val="22"/>
          <w:szCs w:val="22"/>
        </w:rPr>
        <w:t xml:space="preserve">. </w:t>
      </w:r>
      <w:r w:rsidR="00BA779F">
        <w:rPr>
          <w:rFonts w:ascii="Times New Roman" w:hAnsi="Times New Roman" w:cs="Times New Roman"/>
          <w:b/>
          <w:bCs/>
          <w:sz w:val="22"/>
          <w:szCs w:val="22"/>
        </w:rPr>
        <w:t>Flow cytometry sorting strategy</w:t>
      </w:r>
      <w:r w:rsidRPr="009E6C5A">
        <w:rPr>
          <w:rFonts w:ascii="Times New Roman" w:hAnsi="Times New Roman" w:cs="Times New Roman"/>
          <w:b/>
          <w:bCs/>
          <w:sz w:val="22"/>
          <w:szCs w:val="22"/>
        </w:rPr>
        <w:t xml:space="preserve"> </w:t>
      </w:r>
      <w:r>
        <w:rPr>
          <w:rFonts w:ascii="Times New Roman" w:hAnsi="Times New Roman" w:cs="Times New Roman"/>
          <w:b/>
          <w:bCs/>
          <w:sz w:val="22"/>
          <w:szCs w:val="22"/>
        </w:rPr>
        <w:t>and n</w:t>
      </w:r>
      <w:r w:rsidRPr="00D27BFF">
        <w:rPr>
          <w:rFonts w:ascii="Times New Roman" w:hAnsi="Times New Roman" w:cs="Times New Roman"/>
          <w:b/>
          <w:bCs/>
          <w:sz w:val="22"/>
          <w:szCs w:val="22"/>
        </w:rPr>
        <w:t>eutrophil recovery after chemotherapy</w:t>
      </w:r>
    </w:p>
    <w:p w14:paraId="53A3EA22" w14:textId="51E6F0B2" w:rsidR="00A3118E" w:rsidRDefault="00BA65E5" w:rsidP="00576063">
      <w:pPr>
        <w:spacing w:line="360" w:lineRule="auto"/>
        <w:jc w:val="both"/>
        <w:rPr>
          <w:rFonts w:ascii="Times New Roman" w:hAnsi="Times New Roman" w:cs="Times New Roman"/>
          <w:sz w:val="22"/>
          <w:szCs w:val="22"/>
        </w:rPr>
      </w:pPr>
      <w:r>
        <w:rPr>
          <w:rFonts w:ascii="Times New Roman" w:hAnsi="Times New Roman" w:cs="Times New Roman"/>
          <w:sz w:val="22"/>
          <w:szCs w:val="22"/>
        </w:rPr>
        <w:t>(</w:t>
      </w:r>
      <w:r w:rsidR="00BA779F">
        <w:rPr>
          <w:rFonts w:ascii="Times New Roman" w:hAnsi="Times New Roman" w:cs="Times New Roman"/>
          <w:sz w:val="22"/>
          <w:szCs w:val="22"/>
          <w:lang w:val="en-US"/>
        </w:rPr>
        <w:t>A</w:t>
      </w:r>
      <w:r>
        <w:rPr>
          <w:rFonts w:ascii="Times New Roman" w:hAnsi="Times New Roman" w:cs="Times New Roman"/>
          <w:sz w:val="22"/>
          <w:szCs w:val="22"/>
        </w:rPr>
        <w:t xml:space="preserve">) Representative FACS plot for purifying AML blasts and HSC and MPP from pAML mononuclear bone marrow cells at diagnosis. Singlet Lin-CD34+CD38-CD45RA- (MPP) or Lin-CD34+CD38-CD45RA-CD90+ (HSC) were identified, as well as Lin-CD33+CD38+ AML blasts for PMC22813. </w:t>
      </w:r>
      <w:r>
        <w:rPr>
          <w:rFonts w:ascii="Times New Roman" w:hAnsi="Times New Roman" w:cs="Times New Roman"/>
          <w:sz w:val="22"/>
          <w:szCs w:val="22"/>
          <w:lang w:val="en-US"/>
        </w:rPr>
        <w:t>(</w:t>
      </w:r>
      <w:r w:rsidR="00BA779F">
        <w:rPr>
          <w:rFonts w:ascii="Times New Roman" w:hAnsi="Times New Roman" w:cs="Times New Roman"/>
          <w:sz w:val="22"/>
          <w:szCs w:val="22"/>
          <w:lang w:val="en-US"/>
        </w:rPr>
        <w:t>B</w:t>
      </w:r>
      <w:r>
        <w:rPr>
          <w:rFonts w:ascii="Times New Roman" w:hAnsi="Times New Roman" w:cs="Times New Roman"/>
          <w:sz w:val="22"/>
          <w:szCs w:val="22"/>
          <w:lang w:val="en-US"/>
        </w:rPr>
        <w:t>) Statistical modeling of the distribution of clonal and sub</w:t>
      </w:r>
      <w:r w:rsidR="006B530D">
        <w:rPr>
          <w:rFonts w:ascii="Times New Roman" w:hAnsi="Times New Roman" w:cs="Times New Roman"/>
          <w:sz w:val="22"/>
          <w:szCs w:val="22"/>
          <w:lang w:val="en-US"/>
        </w:rPr>
        <w:t>-</w:t>
      </w:r>
      <w:r>
        <w:rPr>
          <w:rFonts w:ascii="Times New Roman" w:hAnsi="Times New Roman" w:cs="Times New Roman"/>
          <w:sz w:val="22"/>
          <w:szCs w:val="22"/>
          <w:lang w:val="en-US"/>
        </w:rPr>
        <w:t>clonal mutations by a Bayesian Dirichlet process of example HSPC clones and the corresponding AML blasts. The empiric histogram of mutations is shown in grey, with the fitted distribution as a black line. The 95% posterior confidence intervals for the fitted distribution are shown in pale pink and dashed red line indicates a v</w:t>
      </w:r>
      <w:r w:rsidRPr="001311B0">
        <w:rPr>
          <w:rFonts w:ascii="Times New Roman" w:hAnsi="Times New Roman" w:cs="Times New Roman"/>
          <w:sz w:val="22"/>
          <w:szCs w:val="22"/>
          <w:lang w:val="en-US"/>
        </w:rPr>
        <w:t xml:space="preserve">ariant allele frequency (VAF) </w:t>
      </w:r>
      <w:r>
        <w:rPr>
          <w:rFonts w:ascii="Times New Roman" w:hAnsi="Times New Roman" w:cs="Times New Roman"/>
          <w:sz w:val="22"/>
          <w:szCs w:val="22"/>
          <w:lang w:val="en-US"/>
        </w:rPr>
        <w:t>cutoff of 0.3</w:t>
      </w:r>
      <w:r w:rsidR="006B530D">
        <w:rPr>
          <w:rFonts w:ascii="Times New Roman" w:hAnsi="Times New Roman" w:cs="Times New Roman"/>
          <w:sz w:val="22"/>
          <w:szCs w:val="22"/>
          <w:lang w:val="en-US"/>
        </w:rPr>
        <w:t xml:space="preserve"> for clonal mutations</w:t>
      </w:r>
      <w:r>
        <w:rPr>
          <w:rFonts w:ascii="Times New Roman" w:hAnsi="Times New Roman" w:cs="Times New Roman"/>
          <w:sz w:val="22"/>
          <w:szCs w:val="22"/>
          <w:lang w:val="en-US"/>
        </w:rPr>
        <w:t xml:space="preserve">. </w:t>
      </w:r>
      <w:r w:rsidRPr="009E6C5A">
        <w:rPr>
          <w:rFonts w:ascii="Times New Roman" w:hAnsi="Times New Roman" w:cs="Times New Roman"/>
          <w:sz w:val="22"/>
          <w:szCs w:val="22"/>
        </w:rPr>
        <w:t>(</w:t>
      </w:r>
      <w:r w:rsidR="00BA779F">
        <w:rPr>
          <w:rFonts w:ascii="Times New Roman" w:hAnsi="Times New Roman" w:cs="Times New Roman"/>
          <w:sz w:val="22"/>
          <w:szCs w:val="22"/>
          <w:lang w:val="en-US"/>
        </w:rPr>
        <w:t>C</w:t>
      </w:r>
      <w:r>
        <w:rPr>
          <w:rFonts w:ascii="Times New Roman" w:hAnsi="Times New Roman" w:cs="Times New Roman"/>
          <w:sz w:val="22"/>
          <w:szCs w:val="22"/>
        </w:rPr>
        <w:t xml:space="preserve">) Outgrowth of single cell HSPC clones sorted from </w:t>
      </w:r>
      <w:r>
        <w:rPr>
          <w:rFonts w:ascii="Times New Roman" w:hAnsi="Times New Roman" w:cs="Times New Roman"/>
          <w:sz w:val="22"/>
          <w:szCs w:val="22"/>
          <w:lang w:val="en-US"/>
        </w:rPr>
        <w:t>6</w:t>
      </w:r>
      <w:r>
        <w:rPr>
          <w:rFonts w:ascii="Times New Roman" w:hAnsi="Times New Roman" w:cs="Times New Roman"/>
          <w:sz w:val="22"/>
          <w:szCs w:val="22"/>
        </w:rPr>
        <w:t xml:space="preserve"> pAML diagnosis bone marrow. t(8;21)</w:t>
      </w:r>
      <w:r>
        <w:rPr>
          <w:rFonts w:ascii="Times New Roman" w:hAnsi="Times New Roman" w:cs="Times New Roman"/>
          <w:sz w:val="22"/>
          <w:szCs w:val="22"/>
          <w:lang w:val="en-US"/>
        </w:rPr>
        <w:t xml:space="preserve"> (n=3)</w:t>
      </w:r>
      <w:r>
        <w:rPr>
          <w:rFonts w:ascii="Times New Roman" w:hAnsi="Times New Roman" w:cs="Times New Roman"/>
          <w:sz w:val="22"/>
          <w:szCs w:val="22"/>
        </w:rPr>
        <w:t xml:space="preserve"> and ‘rest’ </w:t>
      </w:r>
      <w:r>
        <w:rPr>
          <w:rFonts w:ascii="Times New Roman" w:hAnsi="Times New Roman" w:cs="Times New Roman"/>
          <w:sz w:val="22"/>
          <w:szCs w:val="22"/>
          <w:lang w:val="en-US"/>
        </w:rPr>
        <w:t xml:space="preserve">(n=3) </w:t>
      </w:r>
      <w:r>
        <w:rPr>
          <w:rFonts w:ascii="Times New Roman" w:hAnsi="Times New Roman" w:cs="Times New Roman"/>
          <w:sz w:val="22"/>
          <w:szCs w:val="22"/>
        </w:rPr>
        <w:t>AML (1 cytogenetic normal, 1 MLL-rearranged, 1 NUP98-NSD1) samples were analyzed. p value indicates a statistical difference between the clonal outgrowth of HSPCs from t(8;21) pAML and rest (two-sided t test). (</w:t>
      </w:r>
      <w:r w:rsidR="00BA779F">
        <w:rPr>
          <w:rFonts w:ascii="Times New Roman" w:hAnsi="Times New Roman" w:cs="Times New Roman"/>
          <w:sz w:val="22"/>
          <w:szCs w:val="22"/>
          <w:lang w:val="en-US"/>
        </w:rPr>
        <w:t>D</w:t>
      </w:r>
      <w:r>
        <w:rPr>
          <w:rFonts w:ascii="Times New Roman" w:hAnsi="Times New Roman" w:cs="Times New Roman"/>
          <w:sz w:val="22"/>
          <w:szCs w:val="22"/>
        </w:rPr>
        <w:t>) Overview of treatment protocols for cohort of 273 pAML cases diagnoses in the Netherlands between 2005 and 2019. (</w:t>
      </w:r>
      <w:r w:rsidR="00BA779F">
        <w:rPr>
          <w:rFonts w:ascii="Times New Roman" w:hAnsi="Times New Roman" w:cs="Times New Roman"/>
          <w:sz w:val="22"/>
          <w:szCs w:val="22"/>
          <w:lang w:val="en-US"/>
        </w:rPr>
        <w:t>E</w:t>
      </w:r>
      <w:r>
        <w:rPr>
          <w:rFonts w:ascii="Times New Roman" w:hAnsi="Times New Roman" w:cs="Times New Roman"/>
          <w:sz w:val="22"/>
          <w:szCs w:val="22"/>
        </w:rPr>
        <w:t>) Risk group stratification and AML subtype per age group is depicted for pAML cases in (</w:t>
      </w:r>
      <w:r w:rsidR="00BA779F">
        <w:rPr>
          <w:rFonts w:ascii="Times New Roman" w:hAnsi="Times New Roman" w:cs="Times New Roman"/>
          <w:sz w:val="22"/>
          <w:szCs w:val="22"/>
          <w:lang w:val="en-US"/>
        </w:rPr>
        <w:t>D</w:t>
      </w:r>
      <w:r>
        <w:rPr>
          <w:rFonts w:ascii="Times New Roman" w:hAnsi="Times New Roman" w:cs="Times New Roman"/>
          <w:sz w:val="22"/>
          <w:szCs w:val="22"/>
        </w:rPr>
        <w:t xml:space="preserve">). </w:t>
      </w:r>
      <w:r>
        <w:rPr>
          <w:rFonts w:ascii="Times New Roman" w:hAnsi="Times New Roman" w:cs="Times New Roman"/>
          <w:sz w:val="22"/>
          <w:szCs w:val="22"/>
        </w:rPr>
        <w:lastRenderedPageBreak/>
        <w:t>(</w:t>
      </w:r>
      <w:r>
        <w:rPr>
          <w:rFonts w:ascii="Times New Roman" w:hAnsi="Times New Roman" w:cs="Times New Roman"/>
          <w:sz w:val="22"/>
          <w:szCs w:val="22"/>
          <w:lang w:val="en-US"/>
        </w:rPr>
        <w:t>G</w:t>
      </w:r>
      <w:r w:rsidR="00BA779F">
        <w:rPr>
          <w:rFonts w:ascii="Times New Roman" w:hAnsi="Times New Roman" w:cs="Times New Roman"/>
          <w:sz w:val="22"/>
          <w:szCs w:val="22"/>
          <w:lang w:val="en-US"/>
        </w:rPr>
        <w:t>,H</w:t>
      </w:r>
      <w:r>
        <w:rPr>
          <w:rFonts w:ascii="Times New Roman" w:hAnsi="Times New Roman" w:cs="Times New Roman"/>
          <w:sz w:val="22"/>
          <w:szCs w:val="22"/>
        </w:rPr>
        <w:t>) Neutrophil recovery time in days after start first course</w:t>
      </w:r>
      <w:r w:rsidR="00BA779F">
        <w:rPr>
          <w:rFonts w:ascii="Times New Roman" w:hAnsi="Times New Roman" w:cs="Times New Roman"/>
          <w:sz w:val="22"/>
          <w:szCs w:val="22"/>
          <w:lang w:val="en-US"/>
        </w:rPr>
        <w:t xml:space="preserve"> (G) or second course (H)</w:t>
      </w:r>
      <w:r>
        <w:rPr>
          <w:rFonts w:ascii="Times New Roman" w:hAnsi="Times New Roman" w:cs="Times New Roman"/>
          <w:sz w:val="22"/>
          <w:szCs w:val="22"/>
        </w:rPr>
        <w:t xml:space="preserve"> of chemotherapy, measured as the interval between start of chemotherapy and absolute neutrophil count &gt;</w:t>
      </w:r>
      <w:r w:rsidRPr="00B36A16">
        <w:rPr>
          <w:rFonts w:ascii="Times New Roman" w:hAnsi="Times New Roman" w:cs="Times New Roman"/>
          <w:sz w:val="22"/>
          <w:szCs w:val="22"/>
        </w:rPr>
        <w:t xml:space="preserve">0.5 </w:t>
      </w:r>
      <w:r w:rsidRPr="00B36A16">
        <w:rPr>
          <w:rFonts w:ascii="Times New Roman" w:hAnsi="Times New Roman" w:cs="Times New Roman"/>
          <w:sz w:val="22"/>
          <w:szCs w:val="22"/>
          <w:shd w:val="clear" w:color="auto" w:fill="FFFFFF"/>
        </w:rPr>
        <w:t>× 10</w:t>
      </w:r>
      <w:r w:rsidRPr="00B36A16">
        <w:rPr>
          <w:rFonts w:ascii="Times New Roman" w:hAnsi="Times New Roman" w:cs="Times New Roman"/>
          <w:sz w:val="22"/>
          <w:szCs w:val="22"/>
          <w:shd w:val="clear" w:color="auto" w:fill="FFFFFF"/>
          <w:vertAlign w:val="superscript"/>
        </w:rPr>
        <w:t>9</w:t>
      </w:r>
      <w:r w:rsidRPr="00B36A16">
        <w:rPr>
          <w:rFonts w:ascii="Times New Roman" w:hAnsi="Times New Roman" w:cs="Times New Roman"/>
          <w:sz w:val="22"/>
          <w:szCs w:val="22"/>
          <w:shd w:val="clear" w:color="auto" w:fill="FFFFFF"/>
        </w:rPr>
        <w:t>/L</w:t>
      </w:r>
      <w:r>
        <w:rPr>
          <w:rFonts w:ascii="Times New Roman" w:hAnsi="Times New Roman" w:cs="Times New Roman"/>
          <w:sz w:val="22"/>
          <w:szCs w:val="22"/>
          <w:shd w:val="clear" w:color="auto" w:fill="FFFFFF"/>
        </w:rPr>
        <w:t xml:space="preserve">. CN, cytogenetic normal, </w:t>
      </w:r>
      <w:r>
        <w:rPr>
          <w:rFonts w:ascii="Times New Roman" w:hAnsi="Times New Roman" w:cs="Times New Roman"/>
          <w:sz w:val="22"/>
          <w:szCs w:val="22"/>
          <w:shd w:val="clear" w:color="auto" w:fill="FFFFFF"/>
        </w:rPr>
        <w:softHyphen/>
      </w:r>
      <w:r>
        <w:rPr>
          <w:rFonts w:ascii="Times New Roman" w:hAnsi="Times New Roman" w:cs="Times New Roman"/>
          <w:sz w:val="22"/>
          <w:szCs w:val="22"/>
          <w:shd w:val="clear" w:color="auto" w:fill="FFFFFF"/>
        </w:rPr>
        <w:softHyphen/>
        <w:t>inv(16), inversion in chromosome 16, other, AML subtypes not categorized by any of the other groups.</w:t>
      </w:r>
      <w:r>
        <w:rPr>
          <w:rFonts w:ascii="Times New Roman" w:hAnsi="Times New Roman" w:cs="Times New Roman"/>
          <w:sz w:val="22"/>
          <w:szCs w:val="22"/>
        </w:rPr>
        <w:t xml:space="preserve"> </w:t>
      </w:r>
    </w:p>
    <w:p w14:paraId="08C392E4" w14:textId="4B4FD9EB" w:rsidR="00A42868" w:rsidRPr="00A3118E" w:rsidRDefault="00A42868" w:rsidP="00A3118E">
      <w:pPr>
        <w:rPr>
          <w:rFonts w:ascii="Times New Roman" w:hAnsi="Times New Roman" w:cs="Times New Roman"/>
          <w:sz w:val="22"/>
          <w:szCs w:val="22"/>
        </w:rPr>
      </w:pPr>
    </w:p>
    <w:p w14:paraId="6E14EF40" w14:textId="4A50D235" w:rsidR="00BA65E5" w:rsidRDefault="00BA65E5" w:rsidP="00A42868">
      <w:pPr>
        <w:spacing w:line="360" w:lineRule="auto"/>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Supplementary Figure </w:t>
      </w:r>
      <w:r w:rsidR="00786B5D">
        <w:rPr>
          <w:rFonts w:ascii="Times New Roman" w:hAnsi="Times New Roman" w:cs="Times New Roman"/>
          <w:b/>
          <w:bCs/>
          <w:sz w:val="22"/>
          <w:szCs w:val="22"/>
          <w:lang w:val="en-US"/>
        </w:rPr>
        <w:t>S</w:t>
      </w:r>
      <w:r w:rsidR="00BA779F">
        <w:rPr>
          <w:rFonts w:ascii="Times New Roman" w:hAnsi="Times New Roman" w:cs="Times New Roman"/>
          <w:b/>
          <w:bCs/>
          <w:sz w:val="22"/>
          <w:szCs w:val="22"/>
          <w:lang w:val="en-US"/>
        </w:rPr>
        <w:t>3</w:t>
      </w:r>
      <w:r w:rsidRPr="00D27BFF">
        <w:rPr>
          <w:rFonts w:ascii="Times New Roman" w:hAnsi="Times New Roman" w:cs="Times New Roman"/>
          <w:b/>
          <w:bCs/>
          <w:sz w:val="22"/>
          <w:szCs w:val="22"/>
          <w:lang w:val="en-US"/>
        </w:rPr>
        <w:t>.</w:t>
      </w:r>
      <w:r w:rsidR="00A9211B">
        <w:rPr>
          <w:rFonts w:ascii="Times New Roman" w:hAnsi="Times New Roman" w:cs="Times New Roman"/>
          <w:b/>
          <w:bCs/>
          <w:sz w:val="22"/>
          <w:szCs w:val="22"/>
          <w:lang w:val="en-US"/>
        </w:rPr>
        <w:t xml:space="preserve"> </w:t>
      </w:r>
      <w:r w:rsidR="00BA779F">
        <w:rPr>
          <w:rFonts w:ascii="Times New Roman" w:hAnsi="Times New Roman" w:cs="Times New Roman"/>
          <w:b/>
          <w:bCs/>
          <w:sz w:val="22"/>
          <w:szCs w:val="22"/>
          <w:lang w:val="en-US"/>
        </w:rPr>
        <w:t>MIP analysis of PMC22813 and PCR analysis of PMC21636</w:t>
      </w:r>
    </w:p>
    <w:p w14:paraId="237A512E" w14:textId="69EE2C54" w:rsidR="00A00705" w:rsidRPr="00AC65A6" w:rsidRDefault="00BA65E5" w:rsidP="00A42868">
      <w:pPr>
        <w:spacing w:line="360" w:lineRule="auto"/>
        <w:jc w:val="both"/>
        <w:rPr>
          <w:sz w:val="22"/>
          <w:szCs w:val="22"/>
          <w:lang w:val="en-US"/>
        </w:rPr>
      </w:pPr>
      <w:r>
        <w:rPr>
          <w:rFonts w:ascii="Times New Roman" w:hAnsi="Times New Roman" w:cs="Times New Roman"/>
          <w:sz w:val="22"/>
          <w:szCs w:val="22"/>
          <w:lang w:val="en-US"/>
        </w:rPr>
        <w:t xml:space="preserve">(A) Correlation between variant allele frequency (VAF) of whole genome sequencing (WGS) and molecular inversion probes (MIP) analyses performed on PMC22813AML DNA on 87 positions. Dashed lines indicate VAF cutoff of 0.1. </w:t>
      </w:r>
      <w:r w:rsidR="00A00705">
        <w:rPr>
          <w:rFonts w:ascii="Times New Roman" w:hAnsi="Times New Roman" w:cs="Times New Roman"/>
          <w:color w:val="000000" w:themeColor="text1"/>
          <w:sz w:val="22"/>
          <w:szCs w:val="22"/>
          <w:lang w:val="en-US"/>
        </w:rPr>
        <w:t>(</w:t>
      </w:r>
      <w:r w:rsidR="00BA779F">
        <w:rPr>
          <w:rFonts w:ascii="Times New Roman" w:hAnsi="Times New Roman" w:cs="Times New Roman"/>
          <w:color w:val="000000" w:themeColor="text1"/>
          <w:sz w:val="22"/>
          <w:szCs w:val="22"/>
          <w:lang w:val="en-US"/>
        </w:rPr>
        <w:t>B</w:t>
      </w:r>
      <w:r w:rsidR="00A00705">
        <w:rPr>
          <w:rFonts w:ascii="Times New Roman" w:hAnsi="Times New Roman" w:cs="Times New Roman"/>
          <w:color w:val="000000" w:themeColor="text1"/>
          <w:sz w:val="22"/>
          <w:szCs w:val="22"/>
          <w:lang w:val="en-US"/>
        </w:rPr>
        <w:t xml:space="preserve">) PCR analysis for MLL-fusion specific product (F) or wild-type MLL specific product (WT) in DNA of AML blasts or n=15 HSPC clones of PMC21636. Data are representative of n=92 HSPCs analyzed in total. Only the AML blasts show the fusion-specific band at 201 bp, while all samples show the WT band, indicating that none of the HSPCs analyzed share the MLL-fusion driver event with the AML blasts. Numbers on the left indicate the </w:t>
      </w:r>
      <w:r w:rsidR="0076704B">
        <w:rPr>
          <w:rFonts w:ascii="Times New Roman" w:hAnsi="Times New Roman" w:cs="Times New Roman"/>
          <w:color w:val="000000" w:themeColor="text1"/>
          <w:sz w:val="22"/>
          <w:szCs w:val="22"/>
          <w:lang w:val="en-US"/>
        </w:rPr>
        <w:t>size of the marker bands in base pairs.</w:t>
      </w:r>
    </w:p>
    <w:p w14:paraId="4C6D91B4" w14:textId="5167E409" w:rsidR="00A3118E" w:rsidRDefault="00A3118E">
      <w:pPr>
        <w:rPr>
          <w:rFonts w:ascii="Times New Roman" w:hAnsi="Times New Roman" w:cs="Times New Roman"/>
          <w:b/>
          <w:bCs/>
          <w:sz w:val="22"/>
          <w:szCs w:val="22"/>
          <w:lang w:val="en-US"/>
        </w:rPr>
      </w:pPr>
    </w:p>
    <w:p w14:paraId="59C45B1F" w14:textId="409425BF" w:rsidR="00D61620" w:rsidRDefault="00D61620" w:rsidP="00A42868">
      <w:pPr>
        <w:pStyle w:val="NoSpacing"/>
        <w:spacing w:line="360" w:lineRule="auto"/>
        <w:jc w:val="both"/>
        <w:rPr>
          <w:rFonts w:ascii="Times New Roman" w:hAnsi="Times New Roman" w:cs="Times New Roman"/>
          <w:b/>
          <w:bCs/>
          <w:sz w:val="22"/>
          <w:szCs w:val="22"/>
        </w:rPr>
      </w:pPr>
      <w:r>
        <w:rPr>
          <w:rFonts w:ascii="Times New Roman" w:hAnsi="Times New Roman" w:cs="Times New Roman"/>
          <w:b/>
          <w:bCs/>
          <w:sz w:val="22"/>
          <w:szCs w:val="22"/>
        </w:rPr>
        <w:t xml:space="preserve">Supplementary Figure </w:t>
      </w:r>
      <w:r w:rsidR="00786B5D">
        <w:rPr>
          <w:rFonts w:ascii="Times New Roman" w:hAnsi="Times New Roman" w:cs="Times New Roman"/>
          <w:b/>
          <w:bCs/>
          <w:sz w:val="22"/>
          <w:szCs w:val="22"/>
        </w:rPr>
        <w:t>S</w:t>
      </w:r>
      <w:r w:rsidR="00BA779F">
        <w:rPr>
          <w:rFonts w:ascii="Times New Roman" w:hAnsi="Times New Roman" w:cs="Times New Roman"/>
          <w:b/>
          <w:bCs/>
          <w:sz w:val="22"/>
          <w:szCs w:val="22"/>
        </w:rPr>
        <w:t>4</w:t>
      </w:r>
      <w:r w:rsidRPr="009E6C5A">
        <w:rPr>
          <w:rFonts w:ascii="Times New Roman" w:hAnsi="Times New Roman" w:cs="Times New Roman"/>
          <w:b/>
          <w:bCs/>
          <w:sz w:val="22"/>
          <w:szCs w:val="22"/>
        </w:rPr>
        <w:t xml:space="preserve">. </w:t>
      </w:r>
      <w:r>
        <w:rPr>
          <w:rFonts w:ascii="Times New Roman" w:hAnsi="Times New Roman" w:cs="Times New Roman"/>
          <w:b/>
          <w:bCs/>
          <w:sz w:val="22"/>
          <w:szCs w:val="22"/>
        </w:rPr>
        <w:t xml:space="preserve">Mutations in </w:t>
      </w:r>
      <w:proofErr w:type="spellStart"/>
      <w:r>
        <w:rPr>
          <w:rFonts w:ascii="Times New Roman" w:hAnsi="Times New Roman" w:cs="Times New Roman"/>
          <w:b/>
          <w:bCs/>
          <w:sz w:val="22"/>
          <w:szCs w:val="22"/>
        </w:rPr>
        <w:t>pAML</w:t>
      </w:r>
      <w:proofErr w:type="spellEnd"/>
    </w:p>
    <w:p w14:paraId="5CE89D16" w14:textId="58D6BF5D" w:rsidR="00A3118E" w:rsidRDefault="00D61620" w:rsidP="00A42868">
      <w:pPr>
        <w:spacing w:line="360" w:lineRule="auto"/>
        <w:jc w:val="both"/>
        <w:rPr>
          <w:rFonts w:ascii="Times New Roman" w:eastAsiaTheme="majorEastAsia" w:hAnsi="Times New Roman" w:cs="Times New Roman"/>
          <w:bCs/>
          <w:color w:val="000000" w:themeColor="text1"/>
          <w:sz w:val="22"/>
          <w:szCs w:val="22"/>
          <w:lang w:val="en-US" w:eastAsia="en-GB"/>
        </w:rPr>
      </w:pPr>
      <w:r>
        <w:rPr>
          <w:rFonts w:ascii="Times New Roman" w:hAnsi="Times New Roman" w:cs="Times New Roman"/>
          <w:sz w:val="22"/>
          <w:szCs w:val="22"/>
        </w:rPr>
        <w:t>(</w:t>
      </w:r>
      <w:r w:rsidR="00A9211B">
        <w:rPr>
          <w:rFonts w:ascii="Times New Roman" w:hAnsi="Times New Roman" w:cs="Times New Roman"/>
          <w:sz w:val="22"/>
          <w:szCs w:val="22"/>
          <w:lang w:val="en-US"/>
        </w:rPr>
        <w:t>A</w:t>
      </w:r>
      <w:r w:rsidR="00BA779F">
        <w:rPr>
          <w:rFonts w:ascii="Times New Roman" w:hAnsi="Times New Roman" w:cs="Times New Roman"/>
          <w:sz w:val="22"/>
          <w:szCs w:val="22"/>
          <w:lang w:val="en-US"/>
        </w:rPr>
        <w:t>,B</w:t>
      </w:r>
      <w:r>
        <w:rPr>
          <w:rFonts w:ascii="Times New Roman" w:hAnsi="Times New Roman" w:cs="Times New Roman"/>
          <w:sz w:val="22"/>
          <w:szCs w:val="22"/>
        </w:rPr>
        <w:t>) Ratio between the observed and expected number of base substitutions</w:t>
      </w:r>
      <w:r w:rsidR="00BA779F">
        <w:rPr>
          <w:rFonts w:ascii="Times New Roman" w:hAnsi="Times New Roman" w:cs="Times New Roman"/>
          <w:sz w:val="22"/>
          <w:szCs w:val="22"/>
          <w:lang w:val="en-US"/>
        </w:rPr>
        <w:t xml:space="preserve"> (A) or indels (B)</w:t>
      </w:r>
      <w:r>
        <w:rPr>
          <w:rFonts w:ascii="Times New Roman" w:hAnsi="Times New Roman" w:cs="Times New Roman"/>
          <w:sz w:val="22"/>
          <w:szCs w:val="22"/>
        </w:rPr>
        <w:t xml:space="preserve"> per genome. Expected number is extrapolated from the linear mixed model in </w:t>
      </w:r>
      <w:r w:rsidR="00BA779F">
        <w:rPr>
          <w:rFonts w:ascii="Times New Roman" w:hAnsi="Times New Roman" w:cs="Times New Roman"/>
          <w:sz w:val="22"/>
          <w:szCs w:val="22"/>
          <w:lang w:val="en-US"/>
        </w:rPr>
        <w:t>Fig. 1</w:t>
      </w:r>
      <w:proofErr w:type="gramStart"/>
      <w:r w:rsidR="00BA779F">
        <w:rPr>
          <w:rFonts w:ascii="Times New Roman" w:hAnsi="Times New Roman" w:cs="Times New Roman"/>
          <w:sz w:val="22"/>
          <w:szCs w:val="22"/>
          <w:lang w:val="en-US"/>
        </w:rPr>
        <w:t>B,C</w:t>
      </w:r>
      <w:r>
        <w:rPr>
          <w:rFonts w:ascii="Times New Roman" w:hAnsi="Times New Roman" w:cs="Times New Roman"/>
          <w:sz w:val="22"/>
          <w:szCs w:val="22"/>
        </w:rPr>
        <w:t>.</w:t>
      </w:r>
      <w:proofErr w:type="gramEnd"/>
      <w:r>
        <w:rPr>
          <w:rFonts w:ascii="Times New Roman" w:hAnsi="Times New Roman" w:cs="Times New Roman"/>
          <w:sz w:val="22"/>
          <w:szCs w:val="22"/>
        </w:rPr>
        <w:t xml:space="preserve"> p value indicates a statistical difference between AML and patient-matched normal HSPCs (HSPC) </w:t>
      </w:r>
      <w:r w:rsidRPr="002531E9">
        <w:rPr>
          <w:rFonts w:ascii="Times New Roman" w:hAnsi="Times New Roman" w:cs="Times New Roman"/>
          <w:sz w:val="22"/>
          <w:szCs w:val="22"/>
        </w:rPr>
        <w:t>(Mann-Whitney test</w:t>
      </w:r>
      <w:r>
        <w:rPr>
          <w:rFonts w:ascii="Times New Roman" w:hAnsi="Times New Roman" w:cs="Times New Roman"/>
          <w:sz w:val="22"/>
          <w:szCs w:val="22"/>
        </w:rPr>
        <w:t xml:space="preserve">). </w:t>
      </w:r>
      <w:r w:rsidR="00A9211B">
        <w:rPr>
          <w:rFonts w:ascii="Times New Roman" w:hAnsi="Times New Roman" w:cs="Times New Roman"/>
          <w:sz w:val="22"/>
          <w:szCs w:val="22"/>
        </w:rPr>
        <w:t>(</w:t>
      </w:r>
      <w:r w:rsidR="00A9211B">
        <w:rPr>
          <w:rFonts w:ascii="Times New Roman" w:hAnsi="Times New Roman" w:cs="Times New Roman"/>
          <w:sz w:val="22"/>
          <w:szCs w:val="22"/>
          <w:lang w:val="en-US"/>
        </w:rPr>
        <w:t>C</w:t>
      </w:r>
      <w:r w:rsidR="00A9211B">
        <w:rPr>
          <w:rFonts w:ascii="Times New Roman" w:hAnsi="Times New Roman" w:cs="Times New Roman"/>
          <w:sz w:val="22"/>
          <w:szCs w:val="22"/>
        </w:rPr>
        <w:t xml:space="preserve">) </w:t>
      </w:r>
      <w:r w:rsidR="00A9211B" w:rsidRPr="00BA4F5C">
        <w:rPr>
          <w:rFonts w:ascii="Times New Roman" w:eastAsiaTheme="majorEastAsia" w:hAnsi="Times New Roman" w:cs="Times New Roman"/>
          <w:bCs/>
          <w:color w:val="000000" w:themeColor="text1"/>
          <w:sz w:val="22"/>
          <w:szCs w:val="22"/>
          <w:lang w:eastAsia="en-GB"/>
        </w:rPr>
        <w:t xml:space="preserve">96-trinucleotide spectrum for all mutations in </w:t>
      </w:r>
      <w:r w:rsidR="00A9211B">
        <w:rPr>
          <w:rFonts w:ascii="Times New Roman" w:eastAsiaTheme="majorEastAsia" w:hAnsi="Times New Roman" w:cs="Times New Roman"/>
          <w:bCs/>
          <w:color w:val="000000" w:themeColor="text1"/>
          <w:sz w:val="22"/>
          <w:szCs w:val="22"/>
          <w:lang w:eastAsia="en-GB"/>
        </w:rPr>
        <w:t xml:space="preserve">AML </w:t>
      </w:r>
      <w:r w:rsidR="00A9211B">
        <w:rPr>
          <w:rFonts w:ascii="Times New Roman" w:eastAsiaTheme="majorEastAsia" w:hAnsi="Times New Roman" w:cs="Times New Roman"/>
          <w:bCs/>
          <w:color w:val="000000" w:themeColor="text1"/>
          <w:sz w:val="22"/>
          <w:szCs w:val="22"/>
          <w:lang w:val="en-US" w:eastAsia="en-GB"/>
        </w:rPr>
        <w:t xml:space="preserve">of each PMC </w:t>
      </w:r>
      <w:proofErr w:type="spellStart"/>
      <w:r w:rsidR="00A9211B">
        <w:rPr>
          <w:rFonts w:ascii="Times New Roman" w:eastAsiaTheme="majorEastAsia" w:hAnsi="Times New Roman" w:cs="Times New Roman"/>
          <w:bCs/>
          <w:color w:val="000000" w:themeColor="text1"/>
          <w:sz w:val="22"/>
          <w:szCs w:val="22"/>
          <w:lang w:val="en-US" w:eastAsia="en-GB"/>
        </w:rPr>
        <w:t>pAML</w:t>
      </w:r>
      <w:proofErr w:type="spellEnd"/>
      <w:r w:rsidR="00A9211B">
        <w:rPr>
          <w:rFonts w:ascii="Times New Roman" w:eastAsiaTheme="majorEastAsia" w:hAnsi="Times New Roman" w:cs="Times New Roman"/>
          <w:bCs/>
          <w:color w:val="000000" w:themeColor="text1"/>
          <w:sz w:val="22"/>
          <w:szCs w:val="22"/>
          <w:lang w:val="en-US" w:eastAsia="en-GB"/>
        </w:rPr>
        <w:t xml:space="preserve"> patient.</w:t>
      </w:r>
    </w:p>
    <w:p w14:paraId="41783039" w14:textId="19A41B0B" w:rsidR="00A3118E" w:rsidRDefault="00A3118E">
      <w:pPr>
        <w:rPr>
          <w:rFonts w:ascii="Times New Roman" w:eastAsiaTheme="majorEastAsia" w:hAnsi="Times New Roman" w:cs="Times New Roman"/>
          <w:bCs/>
          <w:color w:val="000000" w:themeColor="text1"/>
          <w:sz w:val="22"/>
          <w:szCs w:val="22"/>
          <w:lang w:val="en-US" w:eastAsia="en-GB"/>
        </w:rPr>
      </w:pPr>
    </w:p>
    <w:p w14:paraId="794509B8" w14:textId="20A85DC6" w:rsidR="00D61620" w:rsidRDefault="00D61620" w:rsidP="00A42868">
      <w:pPr>
        <w:spacing w:line="360" w:lineRule="auto"/>
        <w:jc w:val="both"/>
        <w:rPr>
          <w:rFonts w:ascii="Times New Roman" w:hAnsi="Times New Roman" w:cs="Times New Roman"/>
          <w:b/>
          <w:bCs/>
          <w:sz w:val="22"/>
          <w:szCs w:val="22"/>
          <w:lang w:val="en-US"/>
        </w:rPr>
      </w:pPr>
      <w:r>
        <w:rPr>
          <w:rFonts w:ascii="Times New Roman" w:hAnsi="Times New Roman" w:cs="Times New Roman"/>
          <w:b/>
          <w:bCs/>
          <w:sz w:val="22"/>
          <w:szCs w:val="22"/>
          <w:lang w:val="en-US"/>
        </w:rPr>
        <w:t xml:space="preserve">Supplementary Figure </w:t>
      </w:r>
      <w:r w:rsidR="00786B5D">
        <w:rPr>
          <w:rFonts w:ascii="Times New Roman" w:hAnsi="Times New Roman" w:cs="Times New Roman"/>
          <w:b/>
          <w:bCs/>
          <w:sz w:val="22"/>
          <w:szCs w:val="22"/>
          <w:lang w:val="en-US"/>
        </w:rPr>
        <w:t>S</w:t>
      </w:r>
      <w:r w:rsidR="00BA779F">
        <w:rPr>
          <w:rFonts w:ascii="Times New Roman" w:hAnsi="Times New Roman" w:cs="Times New Roman"/>
          <w:b/>
          <w:bCs/>
          <w:sz w:val="22"/>
          <w:szCs w:val="22"/>
          <w:lang w:val="en-US"/>
        </w:rPr>
        <w:t>5</w:t>
      </w:r>
      <w:r w:rsidRPr="008332FD">
        <w:rPr>
          <w:rFonts w:ascii="Times New Roman" w:hAnsi="Times New Roman" w:cs="Times New Roman"/>
          <w:b/>
          <w:bCs/>
          <w:sz w:val="22"/>
          <w:szCs w:val="22"/>
          <w:lang w:val="en-US"/>
        </w:rPr>
        <w:t xml:space="preserve">. </w:t>
      </w:r>
      <w:r w:rsidR="00B81FF0">
        <w:rPr>
          <w:rFonts w:ascii="Times New Roman" w:hAnsi="Times New Roman" w:cs="Times New Roman"/>
          <w:b/>
          <w:bCs/>
          <w:sz w:val="22"/>
          <w:szCs w:val="22"/>
          <w:lang w:val="en-US"/>
        </w:rPr>
        <w:t xml:space="preserve">Somatic mutations in </w:t>
      </w:r>
      <w:proofErr w:type="spellStart"/>
      <w:r w:rsidR="00B81FF0">
        <w:rPr>
          <w:rFonts w:ascii="Times New Roman" w:hAnsi="Times New Roman" w:cs="Times New Roman"/>
          <w:b/>
          <w:bCs/>
          <w:sz w:val="22"/>
          <w:szCs w:val="22"/>
          <w:lang w:val="en-US"/>
        </w:rPr>
        <w:t>pAML</w:t>
      </w:r>
      <w:proofErr w:type="spellEnd"/>
      <w:r w:rsidR="00B81FF0">
        <w:rPr>
          <w:rFonts w:ascii="Times New Roman" w:hAnsi="Times New Roman" w:cs="Times New Roman"/>
          <w:b/>
          <w:bCs/>
          <w:sz w:val="22"/>
          <w:szCs w:val="22"/>
          <w:lang w:val="en-US"/>
        </w:rPr>
        <w:t xml:space="preserve"> and survival analysis</w:t>
      </w:r>
    </w:p>
    <w:p w14:paraId="6892E05C" w14:textId="46CCA7A3" w:rsidR="00D61620" w:rsidRDefault="00D61620" w:rsidP="00A42868">
      <w:pPr>
        <w:pStyle w:val="NoSpacing"/>
        <w:spacing w:line="360" w:lineRule="auto"/>
        <w:jc w:val="both"/>
        <w:rPr>
          <w:rFonts w:ascii="Times New Roman" w:hAnsi="Times New Roman" w:cs="Times New Roman"/>
          <w:sz w:val="22"/>
          <w:szCs w:val="22"/>
          <w:highlight w:val="yellow"/>
        </w:rPr>
      </w:pPr>
      <w:r w:rsidRPr="008332FD">
        <w:rPr>
          <w:rFonts w:ascii="Times New Roman" w:hAnsi="Times New Roman" w:cs="Times New Roman"/>
          <w:sz w:val="22"/>
          <w:szCs w:val="22"/>
        </w:rPr>
        <w:t xml:space="preserve">(A) </w:t>
      </w:r>
      <w:r>
        <w:rPr>
          <w:rFonts w:ascii="Times New Roman" w:hAnsi="Times New Roman" w:cs="Times New Roman"/>
          <w:sz w:val="22"/>
          <w:szCs w:val="22"/>
        </w:rPr>
        <w:t xml:space="preserve">Comparison between number of AML drivers in </w:t>
      </w:r>
      <w:r w:rsidR="00A9211B">
        <w:rPr>
          <w:rFonts w:ascii="Times New Roman" w:hAnsi="Times New Roman" w:cs="Times New Roman"/>
          <w:sz w:val="22"/>
          <w:szCs w:val="22"/>
        </w:rPr>
        <w:t>“</w:t>
      </w:r>
      <w:r>
        <w:rPr>
          <w:rFonts w:ascii="Times New Roman" w:hAnsi="Times New Roman" w:cs="Times New Roman"/>
          <w:sz w:val="22"/>
          <w:szCs w:val="22"/>
        </w:rPr>
        <w:t>above</w:t>
      </w:r>
      <w:r w:rsidR="00A9211B">
        <w:rPr>
          <w:rFonts w:ascii="Times New Roman" w:hAnsi="Times New Roman" w:cs="Times New Roman"/>
          <w:sz w:val="22"/>
          <w:szCs w:val="22"/>
        </w:rPr>
        <w:t xml:space="preserve">” baseline </w:t>
      </w:r>
      <w:r>
        <w:rPr>
          <w:rFonts w:ascii="Times New Roman" w:hAnsi="Times New Roman" w:cs="Times New Roman"/>
          <w:sz w:val="22"/>
          <w:szCs w:val="22"/>
        </w:rPr>
        <w:t xml:space="preserve">and </w:t>
      </w:r>
      <w:r w:rsidR="00A9211B">
        <w:rPr>
          <w:rFonts w:ascii="Times New Roman" w:hAnsi="Times New Roman" w:cs="Times New Roman"/>
          <w:sz w:val="22"/>
          <w:szCs w:val="22"/>
        </w:rPr>
        <w:t>“</w:t>
      </w:r>
      <w:r>
        <w:rPr>
          <w:rFonts w:ascii="Times New Roman" w:hAnsi="Times New Roman" w:cs="Times New Roman"/>
          <w:sz w:val="22"/>
          <w:szCs w:val="22"/>
        </w:rPr>
        <w:t>on</w:t>
      </w:r>
      <w:r w:rsidR="00A9211B">
        <w:rPr>
          <w:rFonts w:ascii="Times New Roman" w:hAnsi="Times New Roman" w:cs="Times New Roman"/>
          <w:sz w:val="22"/>
          <w:szCs w:val="22"/>
        </w:rPr>
        <w:t>” base</w:t>
      </w:r>
      <w:r>
        <w:rPr>
          <w:rFonts w:ascii="Times New Roman" w:hAnsi="Times New Roman" w:cs="Times New Roman"/>
          <w:sz w:val="22"/>
          <w:szCs w:val="22"/>
        </w:rPr>
        <w:t xml:space="preserve">line’ </w:t>
      </w:r>
      <w:proofErr w:type="spellStart"/>
      <w:r>
        <w:rPr>
          <w:rFonts w:ascii="Times New Roman" w:hAnsi="Times New Roman" w:cs="Times New Roman"/>
          <w:sz w:val="22"/>
          <w:szCs w:val="22"/>
        </w:rPr>
        <w:t>pAML</w:t>
      </w:r>
      <w:proofErr w:type="spellEnd"/>
      <w:r w:rsidR="00BA779F">
        <w:rPr>
          <w:rFonts w:ascii="Times New Roman" w:hAnsi="Times New Roman" w:cs="Times New Roman"/>
          <w:sz w:val="22"/>
          <w:szCs w:val="22"/>
        </w:rPr>
        <w:t xml:space="preserve"> of TARGET-21 and PMC patients combined</w:t>
      </w:r>
      <w:r>
        <w:rPr>
          <w:rFonts w:ascii="Times New Roman" w:hAnsi="Times New Roman" w:cs="Times New Roman"/>
          <w:sz w:val="22"/>
          <w:szCs w:val="22"/>
        </w:rPr>
        <w:t>.</w:t>
      </w:r>
      <w:r w:rsidRPr="007573F6">
        <w:rPr>
          <w:rFonts w:ascii="Times New Roman" w:hAnsi="Times New Roman" w:cs="Times New Roman"/>
          <w:sz w:val="22"/>
          <w:szCs w:val="22"/>
        </w:rPr>
        <w:t xml:space="preserve"> </w:t>
      </w:r>
      <w:r>
        <w:rPr>
          <w:rFonts w:ascii="Times New Roman" w:hAnsi="Times New Roman" w:cs="Times New Roman"/>
          <w:sz w:val="22"/>
          <w:szCs w:val="22"/>
        </w:rPr>
        <w:t xml:space="preserve">p value indicates a significant difference between </w:t>
      </w:r>
      <w:r w:rsidR="00A9211B">
        <w:rPr>
          <w:rFonts w:ascii="Times New Roman" w:hAnsi="Times New Roman" w:cs="Times New Roman"/>
          <w:sz w:val="22"/>
          <w:szCs w:val="22"/>
        </w:rPr>
        <w:t>“</w:t>
      </w:r>
      <w:r>
        <w:rPr>
          <w:rFonts w:ascii="Times New Roman" w:hAnsi="Times New Roman" w:cs="Times New Roman"/>
          <w:sz w:val="22"/>
          <w:szCs w:val="22"/>
        </w:rPr>
        <w:t>above</w:t>
      </w:r>
      <w:r w:rsidR="00A9211B">
        <w:rPr>
          <w:rFonts w:ascii="Times New Roman" w:hAnsi="Times New Roman" w:cs="Times New Roman"/>
          <w:sz w:val="22"/>
          <w:szCs w:val="22"/>
        </w:rPr>
        <w:t>”</w:t>
      </w:r>
      <w:r>
        <w:rPr>
          <w:rFonts w:ascii="Times New Roman" w:hAnsi="Times New Roman" w:cs="Times New Roman"/>
          <w:sz w:val="22"/>
          <w:szCs w:val="22"/>
        </w:rPr>
        <w:t xml:space="preserve"> and </w:t>
      </w:r>
      <w:r w:rsidR="00A9211B">
        <w:rPr>
          <w:rFonts w:ascii="Times New Roman" w:hAnsi="Times New Roman" w:cs="Times New Roman"/>
          <w:sz w:val="22"/>
          <w:szCs w:val="22"/>
        </w:rPr>
        <w:t>“</w:t>
      </w:r>
      <w:r>
        <w:rPr>
          <w:rFonts w:ascii="Times New Roman" w:hAnsi="Times New Roman" w:cs="Times New Roman"/>
          <w:sz w:val="22"/>
          <w:szCs w:val="22"/>
        </w:rPr>
        <w:t>on</w:t>
      </w:r>
      <w:r w:rsidR="00A9211B">
        <w:rPr>
          <w:rFonts w:ascii="Times New Roman" w:hAnsi="Times New Roman" w:cs="Times New Roman"/>
          <w:sz w:val="22"/>
          <w:szCs w:val="22"/>
        </w:rPr>
        <w:t xml:space="preserve">” baseline </w:t>
      </w:r>
      <w:r>
        <w:rPr>
          <w:rFonts w:ascii="Times New Roman" w:hAnsi="Times New Roman" w:cs="Times New Roman"/>
          <w:sz w:val="22"/>
          <w:szCs w:val="22"/>
        </w:rPr>
        <w:t>patients (Mann-Whitney test).</w:t>
      </w:r>
      <w:r>
        <w:rPr>
          <w:rFonts w:ascii="Times New Roman" w:hAnsi="Times New Roman" w:cs="Times New Roman"/>
          <w:color w:val="000000" w:themeColor="text1"/>
          <w:sz w:val="22"/>
          <w:szCs w:val="22"/>
        </w:rPr>
        <w:t xml:space="preserve"> </w:t>
      </w:r>
      <w:r>
        <w:rPr>
          <w:rFonts w:ascii="Times New Roman" w:hAnsi="Times New Roman" w:cs="Times New Roman"/>
          <w:sz w:val="22"/>
          <w:szCs w:val="22"/>
        </w:rPr>
        <w:t>(</w:t>
      </w:r>
      <w:proofErr w:type="gramStart"/>
      <w:r w:rsidR="00BA779F">
        <w:rPr>
          <w:rFonts w:ascii="Times New Roman" w:hAnsi="Times New Roman" w:cs="Times New Roman"/>
          <w:sz w:val="22"/>
          <w:szCs w:val="22"/>
        </w:rPr>
        <w:t>B,C</w:t>
      </w:r>
      <w:proofErr w:type="gramEnd"/>
      <w:r>
        <w:rPr>
          <w:rFonts w:ascii="Times New Roman" w:hAnsi="Times New Roman" w:cs="Times New Roman"/>
          <w:sz w:val="22"/>
          <w:szCs w:val="22"/>
        </w:rPr>
        <w:t xml:space="preserve">) </w:t>
      </w:r>
      <w:r w:rsidR="00BA779F">
        <w:rPr>
          <w:rFonts w:ascii="Times New Roman" w:hAnsi="Times New Roman" w:cs="Times New Roman"/>
          <w:sz w:val="22"/>
          <w:szCs w:val="22"/>
        </w:rPr>
        <w:t>Kaplan-Meier survival curves for 5-year event-free (B) and overall (C) survival of</w:t>
      </w:r>
      <w:r>
        <w:rPr>
          <w:rFonts w:ascii="Times New Roman" w:hAnsi="Times New Roman" w:cs="Times New Roman"/>
          <w:sz w:val="22"/>
          <w:szCs w:val="22"/>
        </w:rPr>
        <w:t xml:space="preserve"> </w:t>
      </w:r>
      <w:proofErr w:type="spellStart"/>
      <w:r>
        <w:rPr>
          <w:rFonts w:ascii="Times New Roman" w:hAnsi="Times New Roman" w:cs="Times New Roman"/>
          <w:sz w:val="22"/>
          <w:szCs w:val="22"/>
        </w:rPr>
        <w:t>pAML</w:t>
      </w:r>
      <w:proofErr w:type="spellEnd"/>
      <w:r>
        <w:rPr>
          <w:rFonts w:ascii="Times New Roman" w:hAnsi="Times New Roman" w:cs="Times New Roman"/>
          <w:sz w:val="22"/>
          <w:szCs w:val="22"/>
        </w:rPr>
        <w:t xml:space="preserve"> patients classified as </w:t>
      </w:r>
      <w:r w:rsidR="00A9211B">
        <w:rPr>
          <w:rFonts w:ascii="Times New Roman" w:hAnsi="Times New Roman" w:cs="Times New Roman"/>
          <w:sz w:val="22"/>
          <w:szCs w:val="22"/>
        </w:rPr>
        <w:t>“</w:t>
      </w:r>
      <w:r>
        <w:rPr>
          <w:rFonts w:ascii="Times New Roman" w:hAnsi="Times New Roman" w:cs="Times New Roman"/>
          <w:sz w:val="22"/>
          <w:szCs w:val="22"/>
        </w:rPr>
        <w:t>above</w:t>
      </w:r>
      <w:r w:rsidR="00A9211B">
        <w:rPr>
          <w:rFonts w:ascii="Times New Roman" w:hAnsi="Times New Roman" w:cs="Times New Roman"/>
          <w:sz w:val="22"/>
          <w:szCs w:val="22"/>
        </w:rPr>
        <w:t xml:space="preserve">” </w:t>
      </w:r>
      <w:r>
        <w:rPr>
          <w:rFonts w:ascii="Times New Roman" w:hAnsi="Times New Roman" w:cs="Times New Roman"/>
          <w:sz w:val="22"/>
          <w:szCs w:val="22"/>
        </w:rPr>
        <w:t xml:space="preserve">or </w:t>
      </w:r>
      <w:r w:rsidR="00A9211B">
        <w:rPr>
          <w:rFonts w:ascii="Times New Roman" w:hAnsi="Times New Roman" w:cs="Times New Roman"/>
          <w:sz w:val="22"/>
          <w:szCs w:val="22"/>
        </w:rPr>
        <w:t>“</w:t>
      </w:r>
      <w:r>
        <w:rPr>
          <w:rFonts w:ascii="Times New Roman" w:hAnsi="Times New Roman" w:cs="Times New Roman"/>
          <w:sz w:val="22"/>
          <w:szCs w:val="22"/>
        </w:rPr>
        <w:t>on</w:t>
      </w:r>
      <w:r w:rsidR="00A9211B">
        <w:rPr>
          <w:rFonts w:ascii="Times New Roman" w:hAnsi="Times New Roman" w:cs="Times New Roman"/>
          <w:sz w:val="22"/>
          <w:szCs w:val="22"/>
        </w:rPr>
        <w:t>”</w:t>
      </w:r>
      <w:r>
        <w:rPr>
          <w:rFonts w:ascii="Times New Roman" w:hAnsi="Times New Roman" w:cs="Times New Roman"/>
          <w:sz w:val="22"/>
          <w:szCs w:val="22"/>
        </w:rPr>
        <w:t xml:space="preserve"> healthy baseline</w:t>
      </w:r>
      <w:r w:rsidR="00BA779F">
        <w:rPr>
          <w:rFonts w:ascii="Times New Roman" w:hAnsi="Times New Roman" w:cs="Times New Roman"/>
          <w:sz w:val="22"/>
          <w:szCs w:val="22"/>
        </w:rPr>
        <w:t xml:space="preserve"> in the TARGET-21 and PMC cohorts combined</w:t>
      </w:r>
      <w:r>
        <w:rPr>
          <w:rFonts w:ascii="Times New Roman" w:hAnsi="Times New Roman" w:cs="Times New Roman"/>
          <w:sz w:val="22"/>
          <w:szCs w:val="22"/>
        </w:rPr>
        <w:t xml:space="preserve">. p value indicates a </w:t>
      </w:r>
      <w:r w:rsidR="00A9211B">
        <w:rPr>
          <w:rFonts w:ascii="Times New Roman" w:hAnsi="Times New Roman" w:cs="Times New Roman"/>
          <w:sz w:val="22"/>
          <w:szCs w:val="22"/>
        </w:rPr>
        <w:t xml:space="preserve">trend towards </w:t>
      </w:r>
      <w:r>
        <w:rPr>
          <w:rFonts w:ascii="Times New Roman" w:hAnsi="Times New Roman" w:cs="Times New Roman"/>
          <w:sz w:val="22"/>
          <w:szCs w:val="22"/>
        </w:rPr>
        <w:t>significan</w:t>
      </w:r>
      <w:r w:rsidR="00A9211B">
        <w:rPr>
          <w:rFonts w:ascii="Times New Roman" w:hAnsi="Times New Roman" w:cs="Times New Roman"/>
          <w:sz w:val="22"/>
          <w:szCs w:val="22"/>
        </w:rPr>
        <w:t>ce</w:t>
      </w:r>
      <w:r w:rsidR="0087410F">
        <w:rPr>
          <w:rFonts w:ascii="Times New Roman" w:hAnsi="Times New Roman" w:cs="Times New Roman"/>
          <w:sz w:val="22"/>
          <w:szCs w:val="22"/>
        </w:rPr>
        <w:t xml:space="preserve"> (B) or no significant difference (C)</w:t>
      </w:r>
      <w:r w:rsidR="00A9211B">
        <w:rPr>
          <w:rFonts w:ascii="Times New Roman" w:hAnsi="Times New Roman" w:cs="Times New Roman"/>
          <w:sz w:val="22"/>
          <w:szCs w:val="22"/>
        </w:rPr>
        <w:t xml:space="preserve"> </w:t>
      </w:r>
      <w:r>
        <w:rPr>
          <w:rFonts w:ascii="Times New Roman" w:hAnsi="Times New Roman" w:cs="Times New Roman"/>
          <w:sz w:val="22"/>
          <w:szCs w:val="22"/>
        </w:rPr>
        <w:t xml:space="preserve">between </w:t>
      </w:r>
      <w:r w:rsidR="00A9211B">
        <w:rPr>
          <w:rFonts w:ascii="Times New Roman" w:hAnsi="Times New Roman" w:cs="Times New Roman"/>
          <w:sz w:val="22"/>
          <w:szCs w:val="22"/>
        </w:rPr>
        <w:t>“</w:t>
      </w:r>
      <w:r>
        <w:rPr>
          <w:rFonts w:ascii="Times New Roman" w:hAnsi="Times New Roman" w:cs="Times New Roman"/>
          <w:sz w:val="22"/>
          <w:szCs w:val="22"/>
        </w:rPr>
        <w:t>above</w:t>
      </w:r>
      <w:r w:rsidR="00A9211B">
        <w:rPr>
          <w:rFonts w:ascii="Times New Roman" w:hAnsi="Times New Roman" w:cs="Times New Roman"/>
          <w:sz w:val="22"/>
          <w:szCs w:val="22"/>
        </w:rPr>
        <w:t>”</w:t>
      </w:r>
      <w:r>
        <w:rPr>
          <w:rFonts w:ascii="Times New Roman" w:hAnsi="Times New Roman" w:cs="Times New Roman"/>
          <w:sz w:val="22"/>
          <w:szCs w:val="22"/>
        </w:rPr>
        <w:t xml:space="preserve"> and </w:t>
      </w:r>
      <w:r w:rsidR="00A9211B">
        <w:rPr>
          <w:rFonts w:ascii="Times New Roman" w:hAnsi="Times New Roman" w:cs="Times New Roman"/>
          <w:sz w:val="22"/>
          <w:szCs w:val="22"/>
        </w:rPr>
        <w:t>“</w:t>
      </w:r>
      <w:r>
        <w:rPr>
          <w:rFonts w:ascii="Times New Roman" w:hAnsi="Times New Roman" w:cs="Times New Roman"/>
          <w:sz w:val="22"/>
          <w:szCs w:val="22"/>
        </w:rPr>
        <w:t>on</w:t>
      </w:r>
      <w:r w:rsidR="00A9211B">
        <w:rPr>
          <w:rFonts w:ascii="Times New Roman" w:hAnsi="Times New Roman" w:cs="Times New Roman"/>
          <w:sz w:val="22"/>
          <w:szCs w:val="22"/>
        </w:rPr>
        <w:t>”</w:t>
      </w:r>
      <w:r>
        <w:rPr>
          <w:rFonts w:ascii="Times New Roman" w:hAnsi="Times New Roman" w:cs="Times New Roman"/>
          <w:sz w:val="22"/>
          <w:szCs w:val="22"/>
        </w:rPr>
        <w:t xml:space="preserve"> baseline patients (Log-rank Mantel-Cox test).</w:t>
      </w:r>
      <w:r w:rsidR="0087410F">
        <w:rPr>
          <w:rFonts w:ascii="Times New Roman" w:hAnsi="Times New Roman" w:cs="Times New Roman"/>
          <w:sz w:val="22"/>
          <w:szCs w:val="22"/>
        </w:rPr>
        <w:t xml:space="preserve"> (D) </w:t>
      </w:r>
      <w:r w:rsidR="0087410F" w:rsidRPr="006A32E7">
        <w:rPr>
          <w:rFonts w:ascii="Times New Roman" w:hAnsi="Times New Roman" w:cs="Times New Roman"/>
          <w:sz w:val="22"/>
          <w:szCs w:val="22"/>
        </w:rPr>
        <w:t>Correlation of the number of base substitutions accumulated per genome with age of the assessed patients.</w:t>
      </w:r>
      <w:r w:rsidR="0087410F">
        <w:rPr>
          <w:rFonts w:ascii="Times New Roman" w:hAnsi="Times New Roman" w:cs="Times New Roman"/>
          <w:sz w:val="22"/>
          <w:szCs w:val="22"/>
        </w:rPr>
        <w:t xml:space="preserve"> Data from 103 </w:t>
      </w:r>
      <w:proofErr w:type="spellStart"/>
      <w:r w:rsidR="0087410F">
        <w:rPr>
          <w:rFonts w:ascii="Times New Roman" w:hAnsi="Times New Roman" w:cs="Times New Roman"/>
          <w:sz w:val="22"/>
          <w:szCs w:val="22"/>
        </w:rPr>
        <w:t>pAML</w:t>
      </w:r>
      <w:proofErr w:type="spellEnd"/>
      <w:r w:rsidR="0087410F">
        <w:rPr>
          <w:rFonts w:ascii="Times New Roman" w:hAnsi="Times New Roman" w:cs="Times New Roman"/>
          <w:sz w:val="22"/>
          <w:szCs w:val="22"/>
        </w:rPr>
        <w:t xml:space="preserve"> patients of the TARGET-20 cohort are depicted. Each data point represents a single bulk AML sample. </w:t>
      </w:r>
      <w:r w:rsidR="0087410F" w:rsidRPr="0012157B">
        <w:rPr>
          <w:rFonts w:ascii="Times New Roman" w:hAnsi="Times New Roman" w:cs="Times New Roman"/>
          <w:sz w:val="22"/>
          <w:szCs w:val="22"/>
        </w:rPr>
        <w:t xml:space="preserve">Dotted line indicates </w:t>
      </w:r>
      <w:r w:rsidR="0087410F">
        <w:rPr>
          <w:rFonts w:ascii="Times New Roman" w:hAnsi="Times New Roman" w:cs="Times New Roman"/>
          <w:sz w:val="22"/>
          <w:szCs w:val="22"/>
        </w:rPr>
        <w:t>the mutation accumulation in healthy individuals, defined by the linear mixed model in Fig. 1B</w:t>
      </w:r>
      <w:r w:rsidR="0087410F" w:rsidRPr="0012157B">
        <w:rPr>
          <w:rFonts w:ascii="Times New Roman" w:hAnsi="Times New Roman" w:cs="Times New Roman"/>
          <w:sz w:val="22"/>
          <w:szCs w:val="22"/>
        </w:rPr>
        <w:t>. The 95% probability interval of the linear mixed model is depicted in gray</w:t>
      </w:r>
      <w:r w:rsidR="0087410F">
        <w:rPr>
          <w:rFonts w:ascii="Times New Roman" w:hAnsi="Times New Roman" w:cs="Times New Roman"/>
          <w:sz w:val="22"/>
          <w:szCs w:val="22"/>
        </w:rPr>
        <w:t xml:space="preserve">. Samples above this 95% probability interval are classified as “above” </w:t>
      </w:r>
      <w:proofErr w:type="spellStart"/>
      <w:r w:rsidR="0087410F">
        <w:rPr>
          <w:rFonts w:ascii="Times New Roman" w:hAnsi="Times New Roman" w:cs="Times New Roman"/>
          <w:sz w:val="22"/>
          <w:szCs w:val="22"/>
        </w:rPr>
        <w:t>pAML</w:t>
      </w:r>
      <w:proofErr w:type="spellEnd"/>
      <w:r w:rsidR="0087410F">
        <w:rPr>
          <w:rFonts w:ascii="Times New Roman" w:hAnsi="Times New Roman" w:cs="Times New Roman"/>
          <w:sz w:val="22"/>
          <w:szCs w:val="22"/>
        </w:rPr>
        <w:t>.</w:t>
      </w:r>
    </w:p>
    <w:p w14:paraId="2FEA490B" w14:textId="30949A69" w:rsidR="00A42868" w:rsidRDefault="00A42868" w:rsidP="00A42868">
      <w:pPr>
        <w:spacing w:line="360" w:lineRule="auto"/>
        <w:jc w:val="both"/>
        <w:rPr>
          <w:rFonts w:ascii="Times New Roman" w:hAnsi="Times New Roman" w:cs="Times New Roman"/>
          <w:b/>
          <w:bCs/>
          <w:sz w:val="22"/>
          <w:szCs w:val="22"/>
          <w:lang w:val="en-US"/>
        </w:rPr>
      </w:pPr>
    </w:p>
    <w:p w14:paraId="708DBD2F" w14:textId="77777777" w:rsidR="005D4701" w:rsidRDefault="005D4701">
      <w:pPr>
        <w:rPr>
          <w:rFonts w:ascii="Times New Roman" w:hAnsi="Times New Roman" w:cs="Times New Roman"/>
          <w:b/>
          <w:bCs/>
          <w:sz w:val="22"/>
          <w:szCs w:val="22"/>
          <w:lang w:val="en-US"/>
        </w:rPr>
      </w:pPr>
      <w:r>
        <w:rPr>
          <w:rFonts w:ascii="Times New Roman" w:hAnsi="Times New Roman" w:cs="Times New Roman"/>
          <w:b/>
          <w:bCs/>
          <w:sz w:val="22"/>
          <w:szCs w:val="22"/>
          <w:lang w:val="en-US"/>
        </w:rPr>
        <w:br w:type="page"/>
      </w:r>
    </w:p>
    <w:p w14:paraId="598F5900" w14:textId="4FF47733" w:rsidR="00A42868" w:rsidRDefault="00D61620" w:rsidP="00A42868">
      <w:pPr>
        <w:spacing w:line="360" w:lineRule="auto"/>
        <w:jc w:val="both"/>
        <w:rPr>
          <w:rFonts w:ascii="Times New Roman" w:hAnsi="Times New Roman" w:cs="Times New Roman"/>
          <w:b/>
          <w:bCs/>
          <w:sz w:val="22"/>
          <w:szCs w:val="22"/>
          <w:lang w:val="en-US"/>
        </w:rPr>
      </w:pPr>
      <w:r>
        <w:rPr>
          <w:rFonts w:ascii="Times New Roman" w:hAnsi="Times New Roman" w:cs="Times New Roman"/>
          <w:b/>
          <w:bCs/>
          <w:sz w:val="22"/>
          <w:szCs w:val="22"/>
          <w:lang w:val="en-US"/>
        </w:rPr>
        <w:lastRenderedPageBreak/>
        <w:t xml:space="preserve">Supplementary Figure </w:t>
      </w:r>
      <w:r w:rsidR="00786B5D">
        <w:rPr>
          <w:rFonts w:ascii="Times New Roman" w:hAnsi="Times New Roman" w:cs="Times New Roman"/>
          <w:b/>
          <w:bCs/>
          <w:sz w:val="22"/>
          <w:szCs w:val="22"/>
          <w:lang w:val="en-US"/>
        </w:rPr>
        <w:t>S</w:t>
      </w:r>
      <w:r w:rsidR="0087410F">
        <w:rPr>
          <w:rFonts w:ascii="Times New Roman" w:hAnsi="Times New Roman" w:cs="Times New Roman"/>
          <w:b/>
          <w:bCs/>
          <w:sz w:val="22"/>
          <w:szCs w:val="22"/>
          <w:lang w:val="en-US"/>
        </w:rPr>
        <w:t>6</w:t>
      </w:r>
      <w:r>
        <w:rPr>
          <w:rFonts w:ascii="Times New Roman" w:hAnsi="Times New Roman" w:cs="Times New Roman"/>
          <w:b/>
          <w:bCs/>
          <w:sz w:val="22"/>
          <w:szCs w:val="22"/>
          <w:lang w:val="en-US"/>
        </w:rPr>
        <w:t xml:space="preserve">. Survival analyses of TARGET-20 </w:t>
      </w:r>
      <w:r w:rsidR="00A9211B">
        <w:rPr>
          <w:rFonts w:ascii="Times New Roman" w:hAnsi="Times New Roman" w:cs="Times New Roman"/>
          <w:b/>
          <w:bCs/>
          <w:sz w:val="22"/>
          <w:szCs w:val="22"/>
          <w:lang w:val="en-US"/>
        </w:rPr>
        <w:t xml:space="preserve">and gene expression analyses of TARGET-21 </w:t>
      </w:r>
      <w:proofErr w:type="spellStart"/>
      <w:r w:rsidR="00A9211B">
        <w:rPr>
          <w:rFonts w:ascii="Times New Roman" w:hAnsi="Times New Roman" w:cs="Times New Roman"/>
          <w:b/>
          <w:bCs/>
          <w:sz w:val="22"/>
          <w:szCs w:val="22"/>
          <w:lang w:val="en-US"/>
        </w:rPr>
        <w:t>pAML</w:t>
      </w:r>
      <w:proofErr w:type="spellEnd"/>
      <w:r w:rsidR="00A9211B">
        <w:rPr>
          <w:rFonts w:ascii="Times New Roman" w:hAnsi="Times New Roman" w:cs="Times New Roman"/>
          <w:b/>
          <w:bCs/>
          <w:sz w:val="22"/>
          <w:szCs w:val="22"/>
          <w:lang w:val="en-US"/>
        </w:rPr>
        <w:t xml:space="preserve"> patients</w:t>
      </w:r>
    </w:p>
    <w:p w14:paraId="7FF48205" w14:textId="1D31241D" w:rsidR="00D61620" w:rsidRPr="00A42868" w:rsidRDefault="00D61620" w:rsidP="00A42868">
      <w:pPr>
        <w:spacing w:line="360" w:lineRule="auto"/>
        <w:jc w:val="both"/>
        <w:rPr>
          <w:rFonts w:ascii="Times New Roman" w:hAnsi="Times New Roman" w:cs="Times New Roman"/>
          <w:b/>
          <w:bCs/>
          <w:sz w:val="22"/>
          <w:szCs w:val="22"/>
          <w:lang w:val="en-US"/>
        </w:rPr>
      </w:pPr>
      <w:r>
        <w:rPr>
          <w:rFonts w:ascii="Times New Roman" w:hAnsi="Times New Roman" w:cs="Times New Roman"/>
          <w:sz w:val="22"/>
          <w:szCs w:val="22"/>
          <w:lang w:val="en-US"/>
        </w:rPr>
        <w:t xml:space="preserve">(A) </w:t>
      </w:r>
      <w:proofErr w:type="spellStart"/>
      <w:r>
        <w:rPr>
          <w:rFonts w:ascii="Times New Roman" w:hAnsi="Times New Roman" w:cs="Times New Roman"/>
          <w:sz w:val="22"/>
          <w:szCs w:val="22"/>
          <w:lang w:val="en-US"/>
        </w:rPr>
        <w:t>pAML</w:t>
      </w:r>
      <w:proofErr w:type="spellEnd"/>
      <w:r>
        <w:rPr>
          <w:rFonts w:ascii="Times New Roman" w:hAnsi="Times New Roman" w:cs="Times New Roman"/>
          <w:sz w:val="22"/>
          <w:szCs w:val="22"/>
          <w:lang w:val="en-US"/>
        </w:rPr>
        <w:t xml:space="preserve"> subtypes of </w:t>
      </w:r>
      <w:r w:rsidRPr="00D0121A">
        <w:rPr>
          <w:rFonts w:ascii="Times New Roman" w:hAnsi="Times New Roman" w:cs="Times New Roman"/>
          <w:sz w:val="22"/>
          <w:szCs w:val="22"/>
        </w:rPr>
        <w:t xml:space="preserve">103 TARGET-20 patients classified as </w:t>
      </w:r>
      <w:r w:rsidR="00A9211B">
        <w:rPr>
          <w:rFonts w:ascii="Times New Roman" w:hAnsi="Times New Roman" w:cs="Times New Roman"/>
          <w:sz w:val="22"/>
          <w:szCs w:val="22"/>
          <w:lang w:val="en-US"/>
        </w:rPr>
        <w:t>“</w:t>
      </w:r>
      <w:r w:rsidRPr="00D0121A">
        <w:rPr>
          <w:rFonts w:ascii="Times New Roman" w:hAnsi="Times New Roman" w:cs="Times New Roman"/>
          <w:sz w:val="22"/>
          <w:szCs w:val="22"/>
        </w:rPr>
        <w:t>above</w:t>
      </w:r>
      <w:r w:rsidR="00A9211B">
        <w:rPr>
          <w:rFonts w:ascii="Times New Roman" w:hAnsi="Times New Roman" w:cs="Times New Roman"/>
          <w:sz w:val="22"/>
          <w:szCs w:val="22"/>
          <w:lang w:val="en-US"/>
        </w:rPr>
        <w:t>”</w:t>
      </w:r>
      <w:r>
        <w:rPr>
          <w:rFonts w:ascii="Times New Roman" w:hAnsi="Times New Roman" w:cs="Times New Roman"/>
          <w:sz w:val="22"/>
          <w:szCs w:val="22"/>
          <w:lang w:val="en-US"/>
        </w:rPr>
        <w:t xml:space="preserve"> (n=25)</w:t>
      </w:r>
      <w:r w:rsidRPr="00D0121A">
        <w:rPr>
          <w:rFonts w:ascii="Times New Roman" w:hAnsi="Times New Roman" w:cs="Times New Roman"/>
          <w:sz w:val="22"/>
          <w:szCs w:val="22"/>
        </w:rPr>
        <w:t xml:space="preserve"> or </w:t>
      </w:r>
      <w:r w:rsidR="00A9211B">
        <w:rPr>
          <w:rFonts w:ascii="Times New Roman" w:hAnsi="Times New Roman" w:cs="Times New Roman"/>
          <w:sz w:val="22"/>
          <w:szCs w:val="22"/>
          <w:lang w:val="en-US"/>
        </w:rPr>
        <w:t>“</w:t>
      </w:r>
      <w:r w:rsidRPr="00D0121A">
        <w:rPr>
          <w:rFonts w:ascii="Times New Roman" w:hAnsi="Times New Roman" w:cs="Times New Roman"/>
          <w:sz w:val="22"/>
          <w:szCs w:val="22"/>
        </w:rPr>
        <w:t>on</w:t>
      </w:r>
      <w:r w:rsidR="00A9211B">
        <w:rPr>
          <w:rFonts w:ascii="Times New Roman" w:hAnsi="Times New Roman" w:cs="Times New Roman"/>
          <w:sz w:val="22"/>
          <w:szCs w:val="22"/>
          <w:lang w:val="en-US"/>
        </w:rPr>
        <w:t>”</w:t>
      </w:r>
      <w:r w:rsidRPr="00D0121A">
        <w:rPr>
          <w:rFonts w:ascii="Times New Roman" w:hAnsi="Times New Roman" w:cs="Times New Roman"/>
          <w:sz w:val="22"/>
          <w:szCs w:val="22"/>
        </w:rPr>
        <w:t xml:space="preserve"> </w:t>
      </w:r>
      <w:r>
        <w:rPr>
          <w:rFonts w:ascii="Times New Roman" w:hAnsi="Times New Roman" w:cs="Times New Roman"/>
          <w:sz w:val="22"/>
          <w:szCs w:val="22"/>
          <w:lang w:val="en-US"/>
        </w:rPr>
        <w:t xml:space="preserve">(n=78) </w:t>
      </w:r>
      <w:r w:rsidRPr="00D0121A">
        <w:rPr>
          <w:rFonts w:ascii="Times New Roman" w:hAnsi="Times New Roman" w:cs="Times New Roman"/>
          <w:sz w:val="22"/>
          <w:szCs w:val="22"/>
        </w:rPr>
        <w:t>healthy baseline.</w:t>
      </w:r>
      <w:r w:rsidRPr="00D0121A">
        <w:rPr>
          <w:rFonts w:ascii="Times New Roman" w:hAnsi="Times New Roman" w:cs="Times New Roman"/>
          <w:sz w:val="22"/>
          <w:szCs w:val="22"/>
          <w:lang w:val="en-US"/>
        </w:rPr>
        <w:t xml:space="preserve"> (B) </w:t>
      </w:r>
      <w:r>
        <w:rPr>
          <w:rFonts w:ascii="Times New Roman" w:hAnsi="Times New Roman" w:cs="Times New Roman"/>
          <w:sz w:val="22"/>
          <w:szCs w:val="22"/>
          <w:lang w:val="en-US"/>
        </w:rPr>
        <w:t xml:space="preserve">Multivariable models for event-free and overall survival of above and on healthy baseline </w:t>
      </w:r>
      <w:proofErr w:type="spellStart"/>
      <w:r>
        <w:rPr>
          <w:rFonts w:ascii="Times New Roman" w:hAnsi="Times New Roman" w:cs="Times New Roman"/>
          <w:sz w:val="22"/>
          <w:szCs w:val="22"/>
          <w:lang w:val="en-US"/>
        </w:rPr>
        <w:t>pAML</w:t>
      </w:r>
      <w:proofErr w:type="spellEnd"/>
      <w:r>
        <w:rPr>
          <w:rFonts w:ascii="Times New Roman" w:hAnsi="Times New Roman" w:cs="Times New Roman"/>
          <w:sz w:val="22"/>
          <w:szCs w:val="22"/>
          <w:lang w:val="en-US"/>
        </w:rPr>
        <w:t xml:space="preserve">. Hazard ratios and p values are derived from the Cox proportional hazard model using 103 TARGET-20 </w:t>
      </w:r>
      <w:proofErr w:type="spellStart"/>
      <w:r>
        <w:rPr>
          <w:rFonts w:ascii="Times New Roman" w:hAnsi="Times New Roman" w:cs="Times New Roman"/>
          <w:sz w:val="22"/>
          <w:szCs w:val="22"/>
          <w:lang w:val="en-US"/>
        </w:rPr>
        <w:t>pAML</w:t>
      </w:r>
      <w:proofErr w:type="spellEnd"/>
      <w:r>
        <w:rPr>
          <w:rFonts w:ascii="Times New Roman" w:hAnsi="Times New Roman" w:cs="Times New Roman"/>
          <w:sz w:val="22"/>
          <w:szCs w:val="22"/>
          <w:lang w:val="en-US"/>
        </w:rPr>
        <w:t xml:space="preserve"> patients. Gray symbols </w:t>
      </w:r>
      <w:r w:rsidR="00A9211B">
        <w:rPr>
          <w:rFonts w:ascii="Times New Roman" w:hAnsi="Times New Roman" w:cs="Times New Roman"/>
          <w:sz w:val="22"/>
          <w:szCs w:val="22"/>
          <w:lang w:val="en-US"/>
        </w:rPr>
        <w:t>indicate</w:t>
      </w:r>
      <w:r>
        <w:rPr>
          <w:rFonts w:ascii="Times New Roman" w:hAnsi="Times New Roman" w:cs="Times New Roman"/>
          <w:sz w:val="22"/>
          <w:szCs w:val="22"/>
          <w:lang w:val="en-US"/>
        </w:rPr>
        <w:t xml:space="preserve"> reference levels. *: p &lt; 0.05; **: p &lt; 0.01. (</w:t>
      </w:r>
      <w:proofErr w:type="gramStart"/>
      <w:r>
        <w:rPr>
          <w:rFonts w:ascii="Times New Roman" w:hAnsi="Times New Roman" w:cs="Times New Roman"/>
          <w:sz w:val="22"/>
          <w:szCs w:val="22"/>
          <w:lang w:val="en-US"/>
        </w:rPr>
        <w:t>C</w:t>
      </w:r>
      <w:r w:rsidR="0087410F">
        <w:rPr>
          <w:rFonts w:ascii="Times New Roman" w:hAnsi="Times New Roman" w:cs="Times New Roman"/>
          <w:sz w:val="22"/>
          <w:szCs w:val="22"/>
          <w:lang w:val="en-US"/>
        </w:rPr>
        <w:t>,D</w:t>
      </w:r>
      <w:proofErr w:type="gramEnd"/>
      <w:r>
        <w:rPr>
          <w:rFonts w:ascii="Times New Roman" w:hAnsi="Times New Roman" w:cs="Times New Roman"/>
          <w:sz w:val="22"/>
          <w:szCs w:val="22"/>
          <w:lang w:val="en-US"/>
        </w:rPr>
        <w:t xml:space="preserve">) </w:t>
      </w:r>
      <w:r>
        <w:rPr>
          <w:rFonts w:ascii="Times New Roman" w:hAnsi="Times New Roman" w:cs="Times New Roman"/>
          <w:sz w:val="22"/>
          <w:szCs w:val="22"/>
        </w:rPr>
        <w:t xml:space="preserve">Kaplan-Meier </w:t>
      </w:r>
      <w:r w:rsidR="0087410F">
        <w:rPr>
          <w:rFonts w:ascii="Times New Roman" w:hAnsi="Times New Roman" w:cs="Times New Roman"/>
          <w:sz w:val="22"/>
          <w:szCs w:val="22"/>
          <w:lang w:val="en-US"/>
        </w:rPr>
        <w:t xml:space="preserve">survival curves for </w:t>
      </w:r>
      <w:r>
        <w:rPr>
          <w:rFonts w:ascii="Times New Roman" w:hAnsi="Times New Roman" w:cs="Times New Roman"/>
          <w:sz w:val="22"/>
          <w:szCs w:val="22"/>
        </w:rPr>
        <w:t>event-free</w:t>
      </w:r>
      <w:r w:rsidR="0087410F">
        <w:rPr>
          <w:rFonts w:ascii="Times New Roman" w:hAnsi="Times New Roman" w:cs="Times New Roman"/>
          <w:sz w:val="22"/>
          <w:szCs w:val="22"/>
          <w:lang w:val="en-US"/>
        </w:rPr>
        <w:t xml:space="preserve"> (C) and overall (D)</w:t>
      </w:r>
      <w:r>
        <w:rPr>
          <w:rFonts w:ascii="Times New Roman" w:hAnsi="Times New Roman" w:cs="Times New Roman"/>
          <w:sz w:val="22"/>
          <w:szCs w:val="22"/>
        </w:rPr>
        <w:t xml:space="preserve"> survival in </w:t>
      </w:r>
      <w:r>
        <w:rPr>
          <w:rFonts w:ascii="Times New Roman" w:hAnsi="Times New Roman" w:cs="Times New Roman"/>
          <w:sz w:val="22"/>
          <w:szCs w:val="22"/>
          <w:lang w:val="en-US"/>
        </w:rPr>
        <w:t>87</w:t>
      </w:r>
      <w:r>
        <w:rPr>
          <w:rFonts w:ascii="Times New Roman" w:hAnsi="Times New Roman" w:cs="Times New Roman"/>
          <w:sz w:val="22"/>
          <w:szCs w:val="22"/>
        </w:rPr>
        <w:t xml:space="preserve"> TARGET-20 pAML patients classified as </w:t>
      </w:r>
      <w:r w:rsidR="00A9211B">
        <w:rPr>
          <w:rFonts w:ascii="Times New Roman" w:hAnsi="Times New Roman" w:cs="Times New Roman"/>
          <w:sz w:val="22"/>
          <w:szCs w:val="22"/>
          <w:lang w:val="en-US"/>
        </w:rPr>
        <w:t>“</w:t>
      </w:r>
      <w:r>
        <w:rPr>
          <w:rFonts w:ascii="Times New Roman" w:hAnsi="Times New Roman" w:cs="Times New Roman"/>
          <w:sz w:val="22"/>
          <w:szCs w:val="22"/>
        </w:rPr>
        <w:t>above</w:t>
      </w:r>
      <w:r w:rsidR="00A9211B">
        <w:rPr>
          <w:rFonts w:ascii="Times New Roman" w:hAnsi="Times New Roman" w:cs="Times New Roman"/>
          <w:sz w:val="22"/>
          <w:szCs w:val="22"/>
          <w:lang w:val="en-US"/>
        </w:rPr>
        <w:t>”</w:t>
      </w:r>
      <w:r>
        <w:rPr>
          <w:rFonts w:ascii="Times New Roman" w:hAnsi="Times New Roman" w:cs="Times New Roman"/>
          <w:sz w:val="22"/>
          <w:szCs w:val="22"/>
        </w:rPr>
        <w:t xml:space="preserve"> or </w:t>
      </w:r>
      <w:r w:rsidR="00A9211B">
        <w:rPr>
          <w:rFonts w:ascii="Times New Roman" w:hAnsi="Times New Roman" w:cs="Times New Roman"/>
          <w:sz w:val="22"/>
          <w:szCs w:val="22"/>
          <w:lang w:val="en-US"/>
        </w:rPr>
        <w:t>“</w:t>
      </w:r>
      <w:r>
        <w:rPr>
          <w:rFonts w:ascii="Times New Roman" w:hAnsi="Times New Roman" w:cs="Times New Roman"/>
          <w:sz w:val="22"/>
          <w:szCs w:val="22"/>
        </w:rPr>
        <w:t>on</w:t>
      </w:r>
      <w:r w:rsidR="00A9211B">
        <w:rPr>
          <w:rFonts w:ascii="Times New Roman" w:hAnsi="Times New Roman" w:cs="Times New Roman"/>
          <w:sz w:val="22"/>
          <w:szCs w:val="22"/>
          <w:lang w:val="en-US"/>
        </w:rPr>
        <w:t>”</w:t>
      </w:r>
      <w:r>
        <w:rPr>
          <w:rFonts w:ascii="Times New Roman" w:hAnsi="Times New Roman" w:cs="Times New Roman"/>
          <w:sz w:val="22"/>
          <w:szCs w:val="22"/>
        </w:rPr>
        <w:t xml:space="preserve"> healthy baseline</w:t>
      </w:r>
      <w:r>
        <w:rPr>
          <w:rFonts w:ascii="Times New Roman" w:hAnsi="Times New Roman" w:cs="Times New Roman"/>
          <w:sz w:val="22"/>
          <w:szCs w:val="22"/>
          <w:lang w:val="en-US"/>
        </w:rPr>
        <w:t xml:space="preserve">, excluding t(8;21) </w:t>
      </w:r>
      <w:proofErr w:type="spellStart"/>
      <w:r>
        <w:rPr>
          <w:rFonts w:ascii="Times New Roman" w:hAnsi="Times New Roman" w:cs="Times New Roman"/>
          <w:sz w:val="22"/>
          <w:szCs w:val="22"/>
          <w:lang w:val="en-US"/>
        </w:rPr>
        <w:t>pAML</w:t>
      </w:r>
      <w:proofErr w:type="spellEnd"/>
      <w:r>
        <w:rPr>
          <w:rFonts w:ascii="Times New Roman" w:hAnsi="Times New Roman" w:cs="Times New Roman"/>
          <w:sz w:val="22"/>
          <w:szCs w:val="22"/>
        </w:rPr>
        <w:t xml:space="preserve">. p value indicates a significant difference between </w:t>
      </w:r>
      <w:r w:rsidR="00A9211B">
        <w:rPr>
          <w:rFonts w:ascii="Times New Roman" w:hAnsi="Times New Roman" w:cs="Times New Roman"/>
          <w:sz w:val="22"/>
          <w:szCs w:val="22"/>
          <w:lang w:val="en-US"/>
        </w:rPr>
        <w:t>“</w:t>
      </w:r>
      <w:r>
        <w:rPr>
          <w:rFonts w:ascii="Times New Roman" w:hAnsi="Times New Roman" w:cs="Times New Roman"/>
          <w:sz w:val="22"/>
          <w:szCs w:val="22"/>
        </w:rPr>
        <w:t>above</w:t>
      </w:r>
      <w:r w:rsidR="00A9211B">
        <w:rPr>
          <w:rFonts w:ascii="Times New Roman" w:hAnsi="Times New Roman" w:cs="Times New Roman"/>
          <w:sz w:val="22"/>
          <w:szCs w:val="22"/>
          <w:lang w:val="en-US"/>
        </w:rPr>
        <w:t>”</w:t>
      </w:r>
      <w:r>
        <w:rPr>
          <w:rFonts w:ascii="Times New Roman" w:hAnsi="Times New Roman" w:cs="Times New Roman"/>
          <w:sz w:val="22"/>
          <w:szCs w:val="22"/>
        </w:rPr>
        <w:t xml:space="preserve"> and </w:t>
      </w:r>
      <w:r w:rsidR="00A9211B">
        <w:rPr>
          <w:rFonts w:ascii="Times New Roman" w:hAnsi="Times New Roman" w:cs="Times New Roman"/>
          <w:sz w:val="22"/>
          <w:szCs w:val="22"/>
          <w:lang w:val="en-US"/>
        </w:rPr>
        <w:t>“</w:t>
      </w:r>
      <w:r>
        <w:rPr>
          <w:rFonts w:ascii="Times New Roman" w:hAnsi="Times New Roman" w:cs="Times New Roman"/>
          <w:sz w:val="22"/>
          <w:szCs w:val="22"/>
        </w:rPr>
        <w:t>on</w:t>
      </w:r>
      <w:r w:rsidR="00A9211B">
        <w:rPr>
          <w:rFonts w:ascii="Times New Roman" w:hAnsi="Times New Roman" w:cs="Times New Roman"/>
          <w:sz w:val="22"/>
          <w:szCs w:val="22"/>
          <w:lang w:val="en-US"/>
        </w:rPr>
        <w:t>”</w:t>
      </w:r>
      <w:r>
        <w:rPr>
          <w:rFonts w:ascii="Times New Roman" w:hAnsi="Times New Roman" w:cs="Times New Roman"/>
          <w:sz w:val="22"/>
          <w:szCs w:val="22"/>
        </w:rPr>
        <w:t xml:space="preserve"> baseline patients (Log-rank Mantel-Cox test). (</w:t>
      </w:r>
      <w:r w:rsidR="009F5F34">
        <w:rPr>
          <w:rFonts w:ascii="Times New Roman" w:hAnsi="Times New Roman" w:cs="Times New Roman"/>
          <w:sz w:val="22"/>
          <w:szCs w:val="22"/>
        </w:rPr>
        <w:t>E</w:t>
      </w:r>
      <w:r>
        <w:rPr>
          <w:rFonts w:ascii="Times New Roman" w:hAnsi="Times New Roman" w:cs="Times New Roman"/>
          <w:sz w:val="22"/>
          <w:szCs w:val="22"/>
        </w:rPr>
        <w:t>) Confusion matrix of the random forest model trained on healthy HSC and MPP somatic mutation data. Class error depicts the out-of-bag error of the model. (</w:t>
      </w:r>
      <w:r w:rsidR="009F5F34">
        <w:rPr>
          <w:rFonts w:ascii="Times New Roman" w:hAnsi="Times New Roman" w:cs="Times New Roman"/>
          <w:sz w:val="22"/>
          <w:szCs w:val="22"/>
          <w:lang w:val="en-US"/>
        </w:rPr>
        <w:t>F</w:t>
      </w:r>
      <w:r w:rsidRPr="00D0121A">
        <w:rPr>
          <w:rFonts w:ascii="Times New Roman" w:hAnsi="Times New Roman" w:cs="Times New Roman"/>
          <w:sz w:val="22"/>
          <w:szCs w:val="22"/>
        </w:rPr>
        <w:t xml:space="preserve">). </w:t>
      </w:r>
      <w:r w:rsidR="009F5F34">
        <w:rPr>
          <w:rFonts w:ascii="Times New Roman" w:hAnsi="Times New Roman" w:cs="Times New Roman"/>
          <w:sz w:val="22"/>
          <w:szCs w:val="22"/>
          <w:lang w:val="en-US"/>
        </w:rPr>
        <w:t>Linear r</w:t>
      </w:r>
      <w:r w:rsidRPr="00D0121A">
        <w:rPr>
          <w:rFonts w:ascii="Times New Roman" w:hAnsi="Times New Roman" w:cs="Times New Roman"/>
          <w:sz w:val="22"/>
          <w:szCs w:val="22"/>
        </w:rPr>
        <w:t xml:space="preserve">egression model </w:t>
      </w:r>
      <w:r>
        <w:rPr>
          <w:rFonts w:ascii="Times New Roman" w:hAnsi="Times New Roman" w:cs="Times New Roman"/>
          <w:sz w:val="22"/>
          <w:szCs w:val="22"/>
        </w:rPr>
        <w:t xml:space="preserve">was </w:t>
      </w:r>
      <w:r w:rsidRPr="00D0121A">
        <w:rPr>
          <w:rFonts w:ascii="Times New Roman" w:hAnsi="Times New Roman" w:cs="Times New Roman"/>
          <w:sz w:val="22"/>
          <w:szCs w:val="22"/>
        </w:rPr>
        <w:t>trained</w:t>
      </w:r>
      <w:r w:rsidR="009F5F34">
        <w:rPr>
          <w:rFonts w:ascii="Times New Roman" w:hAnsi="Times New Roman" w:cs="Times New Roman"/>
          <w:sz w:val="22"/>
          <w:szCs w:val="22"/>
          <w:lang w:val="en-US"/>
        </w:rPr>
        <w:t xml:space="preserve"> on 75% of the TARGET </w:t>
      </w:r>
      <w:proofErr w:type="spellStart"/>
      <w:r w:rsidR="009F5F34">
        <w:rPr>
          <w:rFonts w:ascii="Times New Roman" w:hAnsi="Times New Roman" w:cs="Times New Roman"/>
          <w:sz w:val="22"/>
          <w:szCs w:val="22"/>
          <w:lang w:val="en-US"/>
        </w:rPr>
        <w:t>pAML</w:t>
      </w:r>
      <w:proofErr w:type="spellEnd"/>
      <w:r w:rsidR="009F5F34">
        <w:rPr>
          <w:rFonts w:ascii="Times New Roman" w:hAnsi="Times New Roman" w:cs="Times New Roman"/>
          <w:sz w:val="22"/>
          <w:szCs w:val="22"/>
          <w:lang w:val="en-US"/>
        </w:rPr>
        <w:t xml:space="preserve"> data</w:t>
      </w:r>
      <w:r w:rsidRPr="00D0121A">
        <w:rPr>
          <w:rFonts w:ascii="Times New Roman" w:hAnsi="Times New Roman" w:cs="Times New Roman"/>
          <w:sz w:val="22"/>
          <w:szCs w:val="22"/>
        </w:rPr>
        <w:t xml:space="preserve">, and its performance assessed using </w:t>
      </w:r>
      <w:r w:rsidR="009F5F34">
        <w:rPr>
          <w:rFonts w:ascii="Times New Roman" w:hAnsi="Times New Roman" w:cs="Times New Roman"/>
          <w:sz w:val="22"/>
          <w:szCs w:val="22"/>
          <w:lang w:val="en-US"/>
        </w:rPr>
        <w:t xml:space="preserve">the last 25% of the TARGET and 6 PMC </w:t>
      </w:r>
      <w:proofErr w:type="spellStart"/>
      <w:r w:rsidR="009F5F34">
        <w:rPr>
          <w:rFonts w:ascii="Times New Roman" w:hAnsi="Times New Roman" w:cs="Times New Roman"/>
          <w:sz w:val="22"/>
          <w:szCs w:val="22"/>
          <w:lang w:val="en-US"/>
        </w:rPr>
        <w:t>pAML</w:t>
      </w:r>
      <w:proofErr w:type="spellEnd"/>
      <w:r w:rsidR="009F5F34">
        <w:rPr>
          <w:rFonts w:ascii="Times New Roman" w:hAnsi="Times New Roman" w:cs="Times New Roman"/>
          <w:sz w:val="22"/>
          <w:szCs w:val="22"/>
          <w:lang w:val="en-US"/>
        </w:rPr>
        <w:t xml:space="preserve"> patients. Pearson correlation indicates a significant correlation between the true and predicted ratio to healthy baseline. </w:t>
      </w:r>
      <w:r w:rsidR="006B530D">
        <w:rPr>
          <w:rFonts w:ascii="Times New Roman" w:hAnsi="Times New Roman" w:cs="Times New Roman"/>
          <w:sz w:val="22"/>
          <w:szCs w:val="22"/>
          <w:lang w:val="en-US"/>
        </w:rPr>
        <w:t xml:space="preserve">Selected features of the model are depicted in the inset. </w:t>
      </w:r>
      <w:r w:rsidRPr="00D0121A">
        <w:rPr>
          <w:rFonts w:ascii="Times New Roman" w:hAnsi="Times New Roman" w:cs="Times New Roman"/>
          <w:sz w:val="22"/>
          <w:szCs w:val="22"/>
        </w:rPr>
        <w:t>(</w:t>
      </w:r>
      <w:r w:rsidR="009F5F34">
        <w:rPr>
          <w:rFonts w:ascii="Times New Roman" w:hAnsi="Times New Roman" w:cs="Times New Roman"/>
          <w:sz w:val="22"/>
          <w:szCs w:val="22"/>
          <w:lang w:val="en-US"/>
        </w:rPr>
        <w:t>G</w:t>
      </w:r>
      <w:r w:rsidRPr="00D0121A">
        <w:rPr>
          <w:rFonts w:ascii="Times New Roman" w:hAnsi="Times New Roman" w:cs="Times New Roman"/>
          <w:sz w:val="22"/>
          <w:szCs w:val="22"/>
        </w:rPr>
        <w:t xml:space="preserve">) Differential gene expression of 15 TARGET-21 pAML patient classified as </w:t>
      </w:r>
      <w:r w:rsidR="009F5F34">
        <w:rPr>
          <w:rFonts w:ascii="Times New Roman" w:hAnsi="Times New Roman" w:cs="Times New Roman"/>
          <w:sz w:val="22"/>
          <w:szCs w:val="22"/>
          <w:lang w:val="en-US"/>
        </w:rPr>
        <w:t>“</w:t>
      </w:r>
      <w:r w:rsidRPr="00D0121A">
        <w:rPr>
          <w:rFonts w:ascii="Times New Roman" w:hAnsi="Times New Roman" w:cs="Times New Roman"/>
          <w:sz w:val="22"/>
          <w:szCs w:val="22"/>
        </w:rPr>
        <w:t>above</w:t>
      </w:r>
      <w:r w:rsidR="009F5F34">
        <w:rPr>
          <w:rFonts w:ascii="Times New Roman" w:hAnsi="Times New Roman" w:cs="Times New Roman"/>
          <w:sz w:val="22"/>
          <w:szCs w:val="22"/>
          <w:lang w:val="en-US"/>
        </w:rPr>
        <w:t>”</w:t>
      </w:r>
      <w:r w:rsidRPr="00D0121A">
        <w:rPr>
          <w:rFonts w:ascii="Times New Roman" w:hAnsi="Times New Roman" w:cs="Times New Roman"/>
          <w:sz w:val="22"/>
          <w:szCs w:val="22"/>
        </w:rPr>
        <w:t xml:space="preserve"> or </w:t>
      </w:r>
      <w:r w:rsidR="009F5F34">
        <w:rPr>
          <w:rFonts w:ascii="Times New Roman" w:hAnsi="Times New Roman" w:cs="Times New Roman"/>
          <w:sz w:val="22"/>
          <w:szCs w:val="22"/>
          <w:lang w:val="en-US"/>
        </w:rPr>
        <w:t>“</w:t>
      </w:r>
      <w:r w:rsidRPr="00D0121A">
        <w:rPr>
          <w:rFonts w:ascii="Times New Roman" w:hAnsi="Times New Roman" w:cs="Times New Roman"/>
          <w:sz w:val="22"/>
          <w:szCs w:val="22"/>
        </w:rPr>
        <w:t>on</w:t>
      </w:r>
      <w:r w:rsidR="009F5F34">
        <w:rPr>
          <w:rFonts w:ascii="Times New Roman" w:hAnsi="Times New Roman" w:cs="Times New Roman"/>
          <w:sz w:val="22"/>
          <w:szCs w:val="22"/>
          <w:lang w:val="en-US"/>
        </w:rPr>
        <w:t>”</w:t>
      </w:r>
      <w:r w:rsidRPr="00D0121A">
        <w:rPr>
          <w:rFonts w:ascii="Times New Roman" w:hAnsi="Times New Roman" w:cs="Times New Roman"/>
          <w:sz w:val="22"/>
          <w:szCs w:val="22"/>
        </w:rPr>
        <w:t xml:space="preserve"> healthy baseline</w:t>
      </w:r>
      <w:r w:rsidR="009F5F34">
        <w:rPr>
          <w:rFonts w:ascii="Times New Roman" w:hAnsi="Times New Roman" w:cs="Times New Roman"/>
          <w:sz w:val="22"/>
          <w:szCs w:val="22"/>
          <w:lang w:val="en-US"/>
        </w:rPr>
        <w:t>, where “a</w:t>
      </w:r>
      <w:r>
        <w:rPr>
          <w:rFonts w:ascii="Times New Roman" w:hAnsi="Times New Roman" w:cs="Times New Roman"/>
          <w:sz w:val="22"/>
          <w:szCs w:val="22"/>
        </w:rPr>
        <w:t>bove</w:t>
      </w:r>
      <w:r w:rsidR="009F5F34">
        <w:rPr>
          <w:rFonts w:ascii="Times New Roman" w:hAnsi="Times New Roman" w:cs="Times New Roman"/>
          <w:sz w:val="22"/>
          <w:szCs w:val="22"/>
          <w:lang w:val="en-US"/>
        </w:rPr>
        <w:t xml:space="preserve">” was compared to “on” </w:t>
      </w:r>
      <w:r>
        <w:rPr>
          <w:rFonts w:ascii="Times New Roman" w:hAnsi="Times New Roman" w:cs="Times New Roman"/>
          <w:sz w:val="22"/>
          <w:szCs w:val="22"/>
        </w:rPr>
        <w:t xml:space="preserve">as </w:t>
      </w:r>
      <w:r w:rsidR="009F5F34">
        <w:rPr>
          <w:rFonts w:ascii="Times New Roman" w:hAnsi="Times New Roman" w:cs="Times New Roman"/>
          <w:sz w:val="22"/>
          <w:szCs w:val="22"/>
          <w:lang w:val="en-US"/>
        </w:rPr>
        <w:t>the</w:t>
      </w:r>
      <w:r>
        <w:rPr>
          <w:rFonts w:ascii="Times New Roman" w:hAnsi="Times New Roman" w:cs="Times New Roman"/>
          <w:sz w:val="22"/>
          <w:szCs w:val="22"/>
        </w:rPr>
        <w:t xml:space="preserve"> reference. Blue indicates significantly up</w:t>
      </w:r>
      <w:r w:rsidR="009F5F34">
        <w:rPr>
          <w:rFonts w:ascii="Times New Roman" w:hAnsi="Times New Roman" w:cs="Times New Roman"/>
          <w:sz w:val="22"/>
          <w:szCs w:val="22"/>
          <w:lang w:val="en-US"/>
        </w:rPr>
        <w:t>-</w:t>
      </w:r>
      <w:r>
        <w:rPr>
          <w:rFonts w:ascii="Times New Roman" w:hAnsi="Times New Roman" w:cs="Times New Roman"/>
          <w:sz w:val="22"/>
          <w:szCs w:val="22"/>
        </w:rPr>
        <w:t xml:space="preserve"> (log2 fold change &gt; 0.585) or downregulated (log2 fold change &lt; -0.585) genes (padj &lt;0.05). (</w:t>
      </w:r>
      <w:r w:rsidR="009F5F34">
        <w:rPr>
          <w:rFonts w:ascii="Times New Roman" w:hAnsi="Times New Roman" w:cs="Times New Roman"/>
          <w:sz w:val="22"/>
          <w:szCs w:val="22"/>
          <w:lang w:val="en-US"/>
        </w:rPr>
        <w:t>H</w:t>
      </w:r>
      <w:r>
        <w:rPr>
          <w:rFonts w:ascii="Times New Roman" w:hAnsi="Times New Roman" w:cs="Times New Roman"/>
          <w:sz w:val="22"/>
          <w:szCs w:val="22"/>
        </w:rPr>
        <w:t xml:space="preserve">) Mean normalized expression of 19 </w:t>
      </w:r>
      <w:r w:rsidRPr="00541AE3">
        <w:rPr>
          <w:rFonts w:ascii="Times New Roman" w:hAnsi="Times New Roman" w:cs="Times New Roman"/>
          <w:i/>
          <w:iCs/>
          <w:sz w:val="22"/>
          <w:szCs w:val="22"/>
        </w:rPr>
        <w:t xml:space="preserve">HOX </w:t>
      </w:r>
      <w:r>
        <w:rPr>
          <w:rFonts w:ascii="Times New Roman" w:hAnsi="Times New Roman" w:cs="Times New Roman"/>
          <w:sz w:val="22"/>
          <w:szCs w:val="22"/>
        </w:rPr>
        <w:t>genes, depicted in (</w:t>
      </w:r>
      <w:r w:rsidR="0087410F">
        <w:rPr>
          <w:rFonts w:ascii="Times New Roman" w:hAnsi="Times New Roman" w:cs="Times New Roman"/>
          <w:sz w:val="22"/>
          <w:szCs w:val="22"/>
          <w:lang w:val="en-US"/>
        </w:rPr>
        <w:t>I</w:t>
      </w:r>
      <w:r>
        <w:rPr>
          <w:rFonts w:ascii="Times New Roman" w:hAnsi="Times New Roman" w:cs="Times New Roman"/>
          <w:sz w:val="22"/>
          <w:szCs w:val="22"/>
        </w:rPr>
        <w:t>), for each pAML sample</w:t>
      </w:r>
      <w:r w:rsidR="0087410F">
        <w:rPr>
          <w:rFonts w:ascii="Times New Roman" w:hAnsi="Times New Roman" w:cs="Times New Roman"/>
          <w:sz w:val="22"/>
          <w:szCs w:val="22"/>
          <w:lang w:val="en-US"/>
        </w:rPr>
        <w:t xml:space="preserve"> of the TARGET-21 cohort</w:t>
      </w:r>
      <w:r>
        <w:rPr>
          <w:rFonts w:ascii="Times New Roman" w:hAnsi="Times New Roman" w:cs="Times New Roman"/>
          <w:sz w:val="22"/>
          <w:szCs w:val="22"/>
        </w:rPr>
        <w:t xml:space="preserve">. p value indicates a significant difference between </w:t>
      </w:r>
      <w:r w:rsidR="009F5F34">
        <w:rPr>
          <w:rFonts w:ascii="Times New Roman" w:hAnsi="Times New Roman" w:cs="Times New Roman"/>
          <w:sz w:val="22"/>
          <w:szCs w:val="22"/>
          <w:lang w:val="en-US"/>
        </w:rPr>
        <w:t>“</w:t>
      </w:r>
      <w:r>
        <w:rPr>
          <w:rFonts w:ascii="Times New Roman" w:hAnsi="Times New Roman" w:cs="Times New Roman"/>
          <w:sz w:val="22"/>
          <w:szCs w:val="22"/>
        </w:rPr>
        <w:t>above</w:t>
      </w:r>
      <w:r w:rsidR="009F5F34">
        <w:rPr>
          <w:rFonts w:ascii="Times New Roman" w:hAnsi="Times New Roman" w:cs="Times New Roman"/>
          <w:sz w:val="22"/>
          <w:szCs w:val="22"/>
          <w:lang w:val="en-US"/>
        </w:rPr>
        <w:t>”</w:t>
      </w:r>
      <w:r>
        <w:rPr>
          <w:rFonts w:ascii="Times New Roman" w:hAnsi="Times New Roman" w:cs="Times New Roman"/>
          <w:sz w:val="22"/>
          <w:szCs w:val="22"/>
        </w:rPr>
        <w:t xml:space="preserve"> and </w:t>
      </w:r>
      <w:r w:rsidR="009F5F34">
        <w:rPr>
          <w:rFonts w:ascii="Times New Roman" w:hAnsi="Times New Roman" w:cs="Times New Roman"/>
          <w:sz w:val="22"/>
          <w:szCs w:val="22"/>
          <w:lang w:val="en-US"/>
        </w:rPr>
        <w:t>“</w:t>
      </w:r>
      <w:r>
        <w:rPr>
          <w:rFonts w:ascii="Times New Roman" w:hAnsi="Times New Roman" w:cs="Times New Roman"/>
          <w:sz w:val="22"/>
          <w:szCs w:val="22"/>
        </w:rPr>
        <w:t>on</w:t>
      </w:r>
      <w:r w:rsidR="009F5F34">
        <w:rPr>
          <w:rFonts w:ascii="Times New Roman" w:hAnsi="Times New Roman" w:cs="Times New Roman"/>
          <w:sz w:val="22"/>
          <w:szCs w:val="22"/>
          <w:lang w:val="en-US"/>
        </w:rPr>
        <w:t xml:space="preserve">” </w:t>
      </w:r>
      <w:r>
        <w:rPr>
          <w:rFonts w:ascii="Times New Roman" w:hAnsi="Times New Roman" w:cs="Times New Roman"/>
          <w:sz w:val="22"/>
          <w:szCs w:val="22"/>
        </w:rPr>
        <w:t>baseline patients (Mann-Whitney test). (</w:t>
      </w:r>
      <w:r w:rsidR="0087410F">
        <w:rPr>
          <w:rFonts w:ascii="Times New Roman" w:hAnsi="Times New Roman" w:cs="Times New Roman"/>
          <w:sz w:val="22"/>
          <w:szCs w:val="22"/>
          <w:lang w:val="en-US"/>
        </w:rPr>
        <w:t>I</w:t>
      </w:r>
      <w:r>
        <w:rPr>
          <w:rFonts w:ascii="Times New Roman" w:hAnsi="Times New Roman" w:cs="Times New Roman"/>
          <w:sz w:val="22"/>
          <w:szCs w:val="22"/>
        </w:rPr>
        <w:t xml:space="preserve">) Heatmap depicting the expression of 19 </w:t>
      </w:r>
      <w:r w:rsidRPr="00541AE3">
        <w:rPr>
          <w:rFonts w:ascii="Times New Roman" w:hAnsi="Times New Roman" w:cs="Times New Roman"/>
          <w:i/>
          <w:iCs/>
          <w:sz w:val="22"/>
          <w:szCs w:val="22"/>
        </w:rPr>
        <w:t>HOX</w:t>
      </w:r>
      <w:r>
        <w:rPr>
          <w:rFonts w:ascii="Times New Roman" w:hAnsi="Times New Roman" w:cs="Times New Roman"/>
          <w:sz w:val="22"/>
          <w:szCs w:val="22"/>
        </w:rPr>
        <w:t xml:space="preserve"> genes of TARGET-21 pAML patients, expression mean is normalized to 0. (</w:t>
      </w:r>
      <w:r w:rsidR="0087410F">
        <w:rPr>
          <w:rFonts w:ascii="Times New Roman" w:hAnsi="Times New Roman" w:cs="Times New Roman"/>
          <w:sz w:val="22"/>
          <w:szCs w:val="22"/>
          <w:lang w:val="en-US"/>
        </w:rPr>
        <w:t>J</w:t>
      </w:r>
      <w:r>
        <w:rPr>
          <w:rFonts w:ascii="Times New Roman" w:hAnsi="Times New Roman" w:cs="Times New Roman"/>
          <w:sz w:val="22"/>
          <w:szCs w:val="22"/>
        </w:rPr>
        <w:t xml:space="preserve">) Gene set enrichment plots of the indicated gene sets using log fold change shrinkage data. NES indicates the normalized enrichment score, which corrects for multiple testing. A negative NES indicates genes enriched in </w:t>
      </w:r>
      <w:r w:rsidR="009F5F34">
        <w:rPr>
          <w:rFonts w:ascii="Times New Roman" w:hAnsi="Times New Roman" w:cs="Times New Roman"/>
          <w:sz w:val="22"/>
          <w:szCs w:val="22"/>
          <w:lang w:val="en-US"/>
        </w:rPr>
        <w:t>“</w:t>
      </w:r>
      <w:r>
        <w:rPr>
          <w:rFonts w:ascii="Times New Roman" w:hAnsi="Times New Roman" w:cs="Times New Roman"/>
          <w:sz w:val="22"/>
          <w:szCs w:val="22"/>
        </w:rPr>
        <w:t>on</w:t>
      </w:r>
      <w:r w:rsidR="009F5F34">
        <w:rPr>
          <w:rFonts w:ascii="Times New Roman" w:hAnsi="Times New Roman" w:cs="Times New Roman"/>
          <w:sz w:val="22"/>
          <w:szCs w:val="22"/>
          <w:lang w:val="en-US"/>
        </w:rPr>
        <w:t>”</w:t>
      </w:r>
      <w:r>
        <w:rPr>
          <w:rFonts w:ascii="Times New Roman" w:hAnsi="Times New Roman" w:cs="Times New Roman"/>
          <w:sz w:val="22"/>
          <w:szCs w:val="22"/>
        </w:rPr>
        <w:t xml:space="preserve"> baseline pAML of TARGET-21, as these were used as reference.</w:t>
      </w:r>
      <w:r w:rsidR="0087410F" w:rsidRPr="0087410F">
        <w:rPr>
          <w:rFonts w:ascii="Times New Roman" w:hAnsi="Times New Roman" w:cs="Times New Roman"/>
          <w:sz w:val="22"/>
          <w:szCs w:val="22"/>
        </w:rPr>
        <w:t xml:space="preserve"> </w:t>
      </w:r>
      <w:r w:rsidR="0087410F">
        <w:rPr>
          <w:rFonts w:ascii="Times New Roman" w:hAnsi="Times New Roman" w:cs="Times New Roman"/>
          <w:sz w:val="22"/>
          <w:szCs w:val="22"/>
        </w:rPr>
        <w:t>(</w:t>
      </w:r>
      <w:r w:rsidR="0087410F">
        <w:rPr>
          <w:rFonts w:ascii="Times New Roman" w:hAnsi="Times New Roman" w:cs="Times New Roman"/>
          <w:sz w:val="22"/>
          <w:szCs w:val="22"/>
          <w:lang w:val="en-US"/>
        </w:rPr>
        <w:t>K</w:t>
      </w:r>
      <w:r w:rsidR="0087410F">
        <w:rPr>
          <w:rFonts w:ascii="Times New Roman" w:hAnsi="Times New Roman" w:cs="Times New Roman"/>
          <w:sz w:val="22"/>
          <w:szCs w:val="22"/>
        </w:rPr>
        <w:t xml:space="preserve">) Normalized expression of MEIS1 in of TARGET-20 pAML </w:t>
      </w:r>
      <w:r w:rsidR="0087410F">
        <w:rPr>
          <w:rFonts w:ascii="Times New Roman" w:hAnsi="Times New Roman" w:cs="Times New Roman"/>
          <w:sz w:val="22"/>
          <w:szCs w:val="22"/>
          <w:lang w:val="en-US"/>
        </w:rPr>
        <w:t>“</w:t>
      </w:r>
      <w:r w:rsidR="0087410F">
        <w:rPr>
          <w:rFonts w:ascii="Times New Roman" w:hAnsi="Times New Roman" w:cs="Times New Roman"/>
          <w:sz w:val="22"/>
          <w:szCs w:val="22"/>
        </w:rPr>
        <w:t>above</w:t>
      </w:r>
      <w:r w:rsidR="0087410F">
        <w:rPr>
          <w:rFonts w:ascii="Times New Roman" w:hAnsi="Times New Roman" w:cs="Times New Roman"/>
          <w:sz w:val="22"/>
          <w:szCs w:val="22"/>
          <w:lang w:val="en-US"/>
        </w:rPr>
        <w:t>”</w:t>
      </w:r>
      <w:r w:rsidR="0087410F">
        <w:rPr>
          <w:rFonts w:ascii="Times New Roman" w:hAnsi="Times New Roman" w:cs="Times New Roman"/>
          <w:sz w:val="22"/>
          <w:szCs w:val="22"/>
        </w:rPr>
        <w:t xml:space="preserve"> or </w:t>
      </w:r>
      <w:r w:rsidR="0087410F">
        <w:rPr>
          <w:rFonts w:ascii="Times New Roman" w:hAnsi="Times New Roman" w:cs="Times New Roman"/>
          <w:sz w:val="22"/>
          <w:szCs w:val="22"/>
          <w:lang w:val="en-US"/>
        </w:rPr>
        <w:t>“</w:t>
      </w:r>
      <w:r w:rsidR="0087410F">
        <w:rPr>
          <w:rFonts w:ascii="Times New Roman" w:hAnsi="Times New Roman" w:cs="Times New Roman"/>
          <w:sz w:val="22"/>
          <w:szCs w:val="22"/>
        </w:rPr>
        <w:t>on</w:t>
      </w:r>
      <w:r w:rsidR="0087410F">
        <w:rPr>
          <w:rFonts w:ascii="Times New Roman" w:hAnsi="Times New Roman" w:cs="Times New Roman"/>
          <w:sz w:val="22"/>
          <w:szCs w:val="22"/>
          <w:lang w:val="en-US"/>
        </w:rPr>
        <w:t>”</w:t>
      </w:r>
      <w:r w:rsidR="0087410F">
        <w:rPr>
          <w:rFonts w:ascii="Times New Roman" w:hAnsi="Times New Roman" w:cs="Times New Roman"/>
          <w:sz w:val="22"/>
          <w:szCs w:val="22"/>
        </w:rPr>
        <w:t xml:space="preserve"> healthy baseline. p value indicates a significant difference between </w:t>
      </w:r>
      <w:r w:rsidR="0087410F">
        <w:rPr>
          <w:rFonts w:ascii="Times New Roman" w:hAnsi="Times New Roman" w:cs="Times New Roman"/>
          <w:sz w:val="22"/>
          <w:szCs w:val="22"/>
          <w:lang w:val="en-US"/>
        </w:rPr>
        <w:t>“</w:t>
      </w:r>
      <w:r w:rsidR="0087410F">
        <w:rPr>
          <w:rFonts w:ascii="Times New Roman" w:hAnsi="Times New Roman" w:cs="Times New Roman"/>
          <w:sz w:val="22"/>
          <w:szCs w:val="22"/>
        </w:rPr>
        <w:t>above</w:t>
      </w:r>
      <w:r w:rsidR="0087410F">
        <w:rPr>
          <w:rFonts w:ascii="Times New Roman" w:hAnsi="Times New Roman" w:cs="Times New Roman"/>
          <w:sz w:val="22"/>
          <w:szCs w:val="22"/>
          <w:lang w:val="en-US"/>
        </w:rPr>
        <w:t>”</w:t>
      </w:r>
      <w:r w:rsidR="0087410F">
        <w:rPr>
          <w:rFonts w:ascii="Times New Roman" w:hAnsi="Times New Roman" w:cs="Times New Roman"/>
          <w:sz w:val="22"/>
          <w:szCs w:val="22"/>
        </w:rPr>
        <w:t xml:space="preserve"> and </w:t>
      </w:r>
      <w:r w:rsidR="0087410F">
        <w:rPr>
          <w:rFonts w:ascii="Times New Roman" w:hAnsi="Times New Roman" w:cs="Times New Roman"/>
          <w:sz w:val="22"/>
          <w:szCs w:val="22"/>
          <w:lang w:val="en-US"/>
        </w:rPr>
        <w:t>“</w:t>
      </w:r>
      <w:r w:rsidR="0087410F">
        <w:rPr>
          <w:rFonts w:ascii="Times New Roman" w:hAnsi="Times New Roman" w:cs="Times New Roman"/>
          <w:sz w:val="22"/>
          <w:szCs w:val="22"/>
        </w:rPr>
        <w:t>on</w:t>
      </w:r>
      <w:r w:rsidR="0087410F">
        <w:rPr>
          <w:rFonts w:ascii="Times New Roman" w:hAnsi="Times New Roman" w:cs="Times New Roman"/>
          <w:sz w:val="22"/>
          <w:szCs w:val="22"/>
          <w:lang w:val="en-US"/>
        </w:rPr>
        <w:t>”</w:t>
      </w:r>
      <w:r w:rsidR="0087410F">
        <w:rPr>
          <w:rFonts w:ascii="Times New Roman" w:hAnsi="Times New Roman" w:cs="Times New Roman"/>
          <w:sz w:val="22"/>
          <w:szCs w:val="22"/>
        </w:rPr>
        <w:t xml:space="preserve"> baseline patients (Mann-Whitney test).</w:t>
      </w:r>
    </w:p>
    <w:p w14:paraId="622D06FB" w14:textId="77777777" w:rsidR="00D61620" w:rsidRPr="004D507F" w:rsidRDefault="00D61620" w:rsidP="00A42868">
      <w:pPr>
        <w:spacing w:line="360" w:lineRule="auto"/>
        <w:jc w:val="both"/>
        <w:rPr>
          <w:rFonts w:ascii="Times New Roman" w:eastAsiaTheme="majorEastAsia" w:hAnsi="Times New Roman" w:cs="Times New Roman"/>
          <w:bCs/>
          <w:color w:val="000000" w:themeColor="text1"/>
          <w:sz w:val="22"/>
          <w:szCs w:val="22"/>
          <w:lang w:val="en-US" w:eastAsia="en-GB"/>
        </w:rPr>
      </w:pPr>
    </w:p>
    <w:p w14:paraId="6B593584" w14:textId="77777777" w:rsidR="00D61620" w:rsidRDefault="00D61620" w:rsidP="009F5F34">
      <w:pPr>
        <w:spacing w:line="276" w:lineRule="auto"/>
        <w:jc w:val="both"/>
      </w:pPr>
    </w:p>
    <w:sectPr w:rsidR="00D61620" w:rsidSect="00A77F35">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B35297"/>
    <w:multiLevelType w:val="hybridMultilevel"/>
    <w:tmpl w:val="C4826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1620"/>
    <w:rsid w:val="0012058C"/>
    <w:rsid w:val="0012157B"/>
    <w:rsid w:val="00125122"/>
    <w:rsid w:val="00481557"/>
    <w:rsid w:val="00576063"/>
    <w:rsid w:val="005D4701"/>
    <w:rsid w:val="006B530D"/>
    <w:rsid w:val="0076704B"/>
    <w:rsid w:val="00786B5D"/>
    <w:rsid w:val="007E4D70"/>
    <w:rsid w:val="00806B7C"/>
    <w:rsid w:val="0087410F"/>
    <w:rsid w:val="008775DC"/>
    <w:rsid w:val="008E78CD"/>
    <w:rsid w:val="0090789F"/>
    <w:rsid w:val="009F5F34"/>
    <w:rsid w:val="00A00705"/>
    <w:rsid w:val="00A3118E"/>
    <w:rsid w:val="00A42868"/>
    <w:rsid w:val="00A46A6D"/>
    <w:rsid w:val="00A77F35"/>
    <w:rsid w:val="00A9211B"/>
    <w:rsid w:val="00AB2F8F"/>
    <w:rsid w:val="00B81FF0"/>
    <w:rsid w:val="00B95DD0"/>
    <w:rsid w:val="00BA65E5"/>
    <w:rsid w:val="00BA779F"/>
    <w:rsid w:val="00D61620"/>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4:docId w14:val="10D8198C"/>
  <w15:chartTrackingRefBased/>
  <w15:docId w15:val="{36E05F96-8DBC-EE47-B08D-BE697B3EC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1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1620"/>
    <w:rPr>
      <w:lang w:val="en-US"/>
    </w:rPr>
  </w:style>
  <w:style w:type="character" w:styleId="Hyperlink">
    <w:name w:val="Hyperlink"/>
    <w:basedOn w:val="DefaultParagraphFont"/>
    <w:uiPriority w:val="99"/>
    <w:unhideWhenUsed/>
    <w:rsid w:val="00A42868"/>
    <w:rPr>
      <w:color w:val="0563C1" w:themeColor="hyperlink"/>
      <w:u w:val="single"/>
    </w:rPr>
  </w:style>
  <w:style w:type="paragraph" w:styleId="ListParagraph">
    <w:name w:val="List Paragraph"/>
    <w:basedOn w:val="Normal"/>
    <w:uiPriority w:val="34"/>
    <w:qFormat/>
    <w:rsid w:val="005760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0451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vanBoxtel@prinsesmaximacentrum.n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1357</Words>
  <Characters>7562</Characters>
  <Application>Microsoft Office Word</Application>
  <DocSecurity>0</DocSecurity>
  <Lines>118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Brandsma, Arianne</dc:creator>
  <cp:keywords/>
  <dc:description/>
  <cp:lastModifiedBy>Arianne Brandsma</cp:lastModifiedBy>
  <cp:revision>2</cp:revision>
  <cp:lastPrinted>2021-06-22T12:07:00Z</cp:lastPrinted>
  <dcterms:created xsi:type="dcterms:W3CDTF">2021-06-23T12:07:00Z</dcterms:created>
  <dcterms:modified xsi:type="dcterms:W3CDTF">2021-06-23T12:07:00Z</dcterms:modified>
</cp:coreProperties>
</file>